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256.xml.htm"/>
      <w:bookmarkStart w:id="1" w:name="kswkform4_17906262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Tzitzon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ACUITY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1170 PEACHTREE STREET, NE,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ACUITY INC. (DE)</w:t>
              </w:r>
            </w:hyperlink>
            <w:r>
              <w:rPr/>
              <w:t xml:space="preserve"> [ </w:t>
            </w:r>
            <w:r>
              <w:rPr>
                <w:rFonts w:ascii="Times;serif" w:hAnsi="Times;serif"/>
                <w:color w:val="0000FF"/>
                <w:sz w:val="24"/>
                <w:shd w:fill="FFFFFF" w:val="clear"/>
              </w:rPr>
              <w:t>AYI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01/20/2027</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306.74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1-for-1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Restricted Stock Units (DSUs) issued pursuant to the Issuer's Amended and Restated 2012 Omnibus Stock Incentive Compensation Plan. The DSUs resulted from the Reporting Person's election to receive a portion of annual director fees in the form of a DSU. The DSUs will vest in full on the first anniversary of the grant date, or, if earlier, the date of the next subsequent annual meeting of the Issuer's stockholders following the grant date. Once vested, DSUs will be payable upon retirement in either lump sum or five annual installments.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Chanda Kirchner, Attorney-in-Fact for Nicholas J. Tzitzon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538" TargetMode="External"/><Relationship Id="rId5" Type="http://schemas.openxmlformats.org/officeDocument/2006/relationships/hyperlink" Target="http://www.sec.gov/cgi-bin/browse-edgar?action=getcompany&amp;CIK=00011442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3616</Characters>
  <CharactersWithSpaces>4212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