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823595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772160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WASHINGTON, D.C. 20549</w:t>
      </w:r>
    </w:p>
    <w:p>
      <w:pPr>
        <w:spacing w:after="0" w:line="217"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34" w:lineRule="exact"/>
        <w:rPr>
          <w:sz w:val="24"/>
          <w:szCs w:val="24"/>
          <w:color w:val="auto"/>
        </w:rPr>
      </w:pPr>
    </w:p>
    <w:p>
      <w:pPr>
        <w:jc w:val="center"/>
        <w:ind w:right="-1080"/>
        <w:spacing w:after="0"/>
        <w:rPr>
          <w:sz w:val="20"/>
          <w:szCs w:val="20"/>
          <w:color w:val="auto"/>
        </w:rPr>
      </w:pPr>
      <w:r>
        <w:rPr>
          <w:rFonts w:ascii="Arial" w:cs="Arial" w:eastAsia="Arial" w:hAnsi="Arial"/>
          <w:sz w:val="32"/>
          <w:szCs w:val="32"/>
          <w:b w:val="1"/>
          <w:bCs w:val="1"/>
          <w:color w:val="auto"/>
        </w:rPr>
        <w:t>FORM 11-K</w:t>
      </w:r>
    </w:p>
    <w:p>
      <w:pPr>
        <w:spacing w:after="0" w:line="59"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224" w:lineRule="exact"/>
        <w:rPr>
          <w:sz w:val="24"/>
          <w:szCs w:val="24"/>
          <w:color w:val="auto"/>
        </w:rPr>
      </w:pPr>
    </w:p>
    <w:p>
      <w:pPr>
        <w:ind w:left="1520"/>
        <w:spacing w:after="0"/>
        <w:rPr>
          <w:sz w:val="20"/>
          <w:szCs w:val="20"/>
          <w:color w:val="auto"/>
        </w:rPr>
      </w:pPr>
      <w:r>
        <w:rPr>
          <w:rFonts w:ascii="Arial" w:cs="Arial" w:eastAsia="Arial" w:hAnsi="Arial"/>
          <w:sz w:val="22"/>
          <w:szCs w:val="22"/>
          <w:b w:val="1"/>
          <w:bCs w:val="1"/>
          <w:color w:val="auto"/>
        </w:rPr>
        <w:t>Annual Report Pursuant to Section 15(d) of the Securities Exchange Act of 1934</w:t>
      </w:r>
    </w:p>
    <w:p>
      <w:pPr>
        <w:spacing w:after="0" w:line="200" w:lineRule="exact"/>
        <w:rPr>
          <w:sz w:val="24"/>
          <w:szCs w:val="24"/>
          <w:color w:val="auto"/>
        </w:rPr>
      </w:pPr>
    </w:p>
    <w:p>
      <w:pPr>
        <w:spacing w:after="0" w:line="250" w:lineRule="exact"/>
        <w:rPr>
          <w:sz w:val="24"/>
          <w:szCs w:val="24"/>
          <w:color w:val="auto"/>
        </w:rPr>
      </w:pPr>
    </w:p>
    <w:p>
      <w:pPr>
        <w:ind w:left="1140"/>
        <w:spacing w:after="0"/>
        <w:rPr>
          <w:sz w:val="20"/>
          <w:szCs w:val="20"/>
          <w:color w:val="auto"/>
        </w:rPr>
      </w:pPr>
      <w:r>
        <w:rPr>
          <w:rFonts w:ascii="Arial" w:cs="Arial" w:eastAsia="Arial" w:hAnsi="Arial"/>
          <w:sz w:val="16"/>
          <w:szCs w:val="16"/>
          <w:b w:val="1"/>
          <w:bCs w:val="1"/>
          <w:color w:val="auto"/>
        </w:rPr>
        <w:t>(Mark One)</w:t>
      </w:r>
    </w:p>
    <w:p>
      <w:pPr>
        <w:spacing w:after="0" w:line="86" w:lineRule="exact"/>
        <w:rPr>
          <w:sz w:val="24"/>
          <w:szCs w:val="24"/>
          <w:color w:val="auto"/>
        </w:rPr>
      </w:pPr>
    </w:p>
    <w:p>
      <w:pPr>
        <w:ind w:left="2460" w:right="159" w:hanging="981"/>
        <w:spacing w:after="0" w:line="396" w:lineRule="auto"/>
        <w:tabs>
          <w:tab w:leader="none" w:pos="24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15(d) OF THE SECURITIES EXCHANGE ACT OF 1934. For the fiscal year ended: December 31, 2025</w:t>
      </w:r>
    </w:p>
    <w:p>
      <w:pPr>
        <w:spacing w:after="0" w:line="182" w:lineRule="exact"/>
        <w:rPr>
          <w:sz w:val="24"/>
          <w:szCs w:val="24"/>
          <w:color w:val="auto"/>
        </w:rPr>
      </w:pPr>
    </w:p>
    <w:p>
      <w:pPr>
        <w:ind w:left="5500"/>
        <w:spacing w:after="0"/>
        <w:rPr>
          <w:sz w:val="20"/>
          <w:szCs w:val="20"/>
          <w:color w:val="auto"/>
        </w:rPr>
      </w:pPr>
      <w:r>
        <w:rPr>
          <w:rFonts w:ascii="Arial" w:cs="Arial" w:eastAsia="Arial" w:hAnsi="Arial"/>
          <w:sz w:val="16"/>
          <w:szCs w:val="16"/>
          <w:b w:val="1"/>
          <w:bCs w:val="1"/>
          <w:color w:val="auto"/>
        </w:rPr>
        <w:t>OR</w:t>
      </w:r>
    </w:p>
    <w:p>
      <w:pPr>
        <w:spacing w:after="0" w:line="329" w:lineRule="exact"/>
        <w:rPr>
          <w:sz w:val="24"/>
          <w:szCs w:val="24"/>
          <w:color w:val="auto"/>
        </w:rPr>
      </w:pPr>
    </w:p>
    <w:p>
      <w:pPr>
        <w:ind w:left="2460" w:right="299" w:hanging="980"/>
        <w:spacing w:after="0" w:line="241" w:lineRule="auto"/>
        <w:tabs>
          <w:tab w:leader="none" w:pos="2460" w:val="left"/>
        </w:tabs>
        <w:numPr>
          <w:ilvl w:val="0"/>
          <w:numId w:val="2"/>
        </w:numPr>
        <w:rPr>
          <w:rFonts w:ascii="Wingdings" w:cs="Wingdings" w:eastAsia="Wingdings" w:hAnsi="Wingdings"/>
          <w:sz w:val="18"/>
          <w:szCs w:val="18"/>
          <w:b w:val="1"/>
          <w:bCs w:val="1"/>
          <w:color w:val="auto"/>
        </w:rPr>
      </w:pPr>
      <w:r>
        <w:rPr>
          <w:rFonts w:ascii="Arial" w:cs="Arial" w:eastAsia="Arial" w:hAnsi="Arial"/>
          <w:sz w:val="16"/>
          <w:szCs w:val="16"/>
          <w:b w:val="1"/>
          <w:bCs w:val="1"/>
          <w:color w:val="auto"/>
        </w:rPr>
        <w:t>TRANSITION REPORT PURSUANT TO SECTION 15(d) OF THE SECURITIES EXCHANGE ACT OF 1934.</w:t>
      </w:r>
    </w:p>
    <w:p>
      <w:pPr>
        <w:spacing w:after="0" w:line="46" w:lineRule="exact"/>
        <w:rPr>
          <w:rFonts w:ascii="Wingdings" w:cs="Wingdings" w:eastAsia="Wingdings" w:hAnsi="Wingdings"/>
          <w:sz w:val="18"/>
          <w:szCs w:val="18"/>
          <w:b w:val="1"/>
          <w:bCs w:val="1"/>
          <w:color w:val="auto"/>
        </w:rPr>
      </w:pPr>
    </w:p>
    <w:p>
      <w:pPr>
        <w:ind w:left="2460"/>
        <w:spacing w:after="0"/>
        <w:rPr>
          <w:rFonts w:ascii="Wingdings" w:cs="Wingdings" w:eastAsia="Wingdings" w:hAnsi="Wingdings"/>
          <w:sz w:val="18"/>
          <w:szCs w:val="18"/>
          <w:b w:val="1"/>
          <w:bCs w:val="1"/>
          <w:color w:val="auto"/>
        </w:rPr>
      </w:pPr>
      <w:r>
        <w:rPr>
          <w:rFonts w:ascii="Arial" w:cs="Arial" w:eastAsia="Arial" w:hAnsi="Arial"/>
          <w:sz w:val="16"/>
          <w:szCs w:val="16"/>
          <w:b w:val="1"/>
          <w:bCs w:val="1"/>
          <w:color w:val="auto"/>
        </w:rPr>
        <w:t>For the transition period from to .</w:t>
      </w:r>
    </w:p>
    <w:p>
      <w:pPr>
        <w:spacing w:after="0" w:line="200" w:lineRule="exact"/>
        <w:rPr>
          <w:sz w:val="24"/>
          <w:szCs w:val="24"/>
          <w:color w:val="auto"/>
        </w:rPr>
      </w:pPr>
    </w:p>
    <w:p>
      <w:pPr>
        <w:spacing w:after="0" w:line="25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2180" w:hanging="662"/>
        <w:spacing w:after="0"/>
        <w:tabs>
          <w:tab w:leader="none" w:pos="2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Full title of the plans and the address of the plans, if different from that of the issuer named below:</w:t>
      </w:r>
    </w:p>
    <w:p>
      <w:pPr>
        <w:spacing w:after="0" w:line="194" w:lineRule="exact"/>
        <w:rPr>
          <w:sz w:val="24"/>
          <w:szCs w:val="24"/>
          <w:color w:val="auto"/>
        </w:rPr>
      </w:pPr>
    </w:p>
    <w:p>
      <w:pPr>
        <w:ind w:left="2140"/>
        <w:spacing w:after="0"/>
        <w:rPr>
          <w:sz w:val="20"/>
          <w:szCs w:val="20"/>
          <w:color w:val="auto"/>
        </w:rPr>
      </w:pPr>
      <w:r>
        <w:rPr>
          <w:rFonts w:ascii="Arial" w:cs="Arial" w:eastAsia="Arial" w:hAnsi="Arial"/>
          <w:sz w:val="16"/>
          <w:szCs w:val="16"/>
          <w:color w:val="auto"/>
        </w:rPr>
        <w:t>Acuity Inc. 401(k) Plan</w:t>
      </w:r>
    </w:p>
    <w:p>
      <w:pPr>
        <w:spacing w:after="0" w:line="86" w:lineRule="exact"/>
        <w:rPr>
          <w:sz w:val="24"/>
          <w:szCs w:val="24"/>
          <w:color w:val="auto"/>
        </w:rPr>
      </w:pPr>
    </w:p>
    <w:p>
      <w:pPr>
        <w:ind w:left="2140"/>
        <w:spacing w:after="0"/>
        <w:rPr>
          <w:sz w:val="20"/>
          <w:szCs w:val="20"/>
          <w:color w:val="auto"/>
        </w:rPr>
      </w:pPr>
      <w:r>
        <w:rPr>
          <w:rFonts w:ascii="Arial" w:cs="Arial" w:eastAsia="Arial" w:hAnsi="Arial"/>
          <w:sz w:val="16"/>
          <w:szCs w:val="16"/>
          <w:color w:val="auto"/>
        </w:rPr>
        <w:t>Acuity Brands Lighting, Inc. 401(k) Plan for Hourly Employees</w:t>
      </w:r>
    </w:p>
    <w:p>
      <w:pPr>
        <w:spacing w:after="0" w:line="80" w:lineRule="exact"/>
        <w:rPr>
          <w:sz w:val="24"/>
          <w:szCs w:val="24"/>
          <w:color w:val="auto"/>
        </w:rPr>
      </w:pPr>
    </w:p>
    <w:p>
      <w:pPr>
        <w:ind w:left="2140"/>
        <w:spacing w:after="0"/>
        <w:rPr>
          <w:sz w:val="20"/>
          <w:szCs w:val="20"/>
          <w:color w:val="auto"/>
        </w:rPr>
      </w:pPr>
      <w:r>
        <w:rPr>
          <w:rFonts w:ascii="Arial" w:cs="Arial" w:eastAsia="Arial" w:hAnsi="Arial"/>
          <w:sz w:val="16"/>
          <w:szCs w:val="16"/>
          <w:color w:val="auto"/>
        </w:rPr>
        <w:t>Holophane Division of Acuity Brands Lighting 401(k) Plan for Hourly Employees Covered by a Collective</w:t>
      </w:r>
    </w:p>
    <w:p>
      <w:pPr>
        <w:ind w:left="2140"/>
        <w:spacing w:after="0"/>
        <w:rPr>
          <w:sz w:val="20"/>
          <w:szCs w:val="20"/>
          <w:color w:val="auto"/>
        </w:rPr>
      </w:pPr>
      <w:r>
        <w:rPr>
          <w:rFonts w:ascii="Arial" w:cs="Arial" w:eastAsia="Arial" w:hAnsi="Arial"/>
          <w:sz w:val="16"/>
          <w:szCs w:val="16"/>
          <w:color w:val="auto"/>
        </w:rPr>
        <w:t>Bargaining Agreement</w:t>
      </w:r>
    </w:p>
    <w:p>
      <w:pPr>
        <w:spacing w:after="0" w:line="200" w:lineRule="exact"/>
        <w:rPr>
          <w:sz w:val="24"/>
          <w:szCs w:val="24"/>
          <w:color w:val="auto"/>
        </w:rPr>
      </w:pPr>
    </w:p>
    <w:p>
      <w:pPr>
        <w:spacing w:after="0" w:line="397" w:lineRule="exact"/>
        <w:rPr>
          <w:sz w:val="24"/>
          <w:szCs w:val="24"/>
          <w:color w:val="auto"/>
        </w:rPr>
      </w:pPr>
    </w:p>
    <w:p>
      <w:pPr>
        <w:ind w:left="2180" w:hanging="662"/>
        <w:spacing w:after="0"/>
        <w:tabs>
          <w:tab w:leader="none" w:pos="2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of the securities held pursuant to the plans and the address of the principal executive office:</w:t>
      </w:r>
    </w:p>
    <w:p>
      <w:pPr>
        <w:spacing w:after="0" w:line="194" w:lineRule="exact"/>
        <w:rPr>
          <w:sz w:val="24"/>
          <w:szCs w:val="24"/>
          <w:color w:val="auto"/>
        </w:rPr>
      </w:pPr>
    </w:p>
    <w:p>
      <w:pPr>
        <w:ind w:left="2140"/>
        <w:spacing w:after="0"/>
        <w:rPr>
          <w:sz w:val="20"/>
          <w:szCs w:val="20"/>
          <w:color w:val="auto"/>
        </w:rPr>
      </w:pPr>
      <w:r>
        <w:rPr>
          <w:rFonts w:ascii="Arial" w:cs="Arial" w:eastAsia="Arial" w:hAnsi="Arial"/>
          <w:sz w:val="16"/>
          <w:szCs w:val="16"/>
          <w:color w:val="auto"/>
        </w:rPr>
        <w:t>Acuity Inc.</w:t>
      </w:r>
    </w:p>
    <w:p>
      <w:pPr>
        <w:spacing w:after="0" w:line="86" w:lineRule="exact"/>
        <w:rPr>
          <w:sz w:val="24"/>
          <w:szCs w:val="24"/>
          <w:color w:val="auto"/>
        </w:rPr>
      </w:pPr>
    </w:p>
    <w:p>
      <w:pPr>
        <w:ind w:left="2140"/>
        <w:spacing w:after="0"/>
        <w:rPr>
          <w:sz w:val="20"/>
          <w:szCs w:val="20"/>
          <w:color w:val="auto"/>
        </w:rPr>
      </w:pPr>
      <w:r>
        <w:rPr>
          <w:rFonts w:ascii="Arial" w:cs="Arial" w:eastAsia="Arial" w:hAnsi="Arial"/>
          <w:sz w:val="16"/>
          <w:szCs w:val="16"/>
          <w:color w:val="auto"/>
        </w:rPr>
        <w:t>1170 Peachtree Street, NE</w:t>
      </w:r>
    </w:p>
    <w:p>
      <w:pPr>
        <w:spacing w:after="0" w:line="86" w:lineRule="exact"/>
        <w:rPr>
          <w:sz w:val="24"/>
          <w:szCs w:val="24"/>
          <w:color w:val="auto"/>
        </w:rPr>
      </w:pPr>
    </w:p>
    <w:p>
      <w:pPr>
        <w:ind w:left="2140"/>
        <w:spacing w:after="0"/>
        <w:rPr>
          <w:sz w:val="20"/>
          <w:szCs w:val="20"/>
          <w:color w:val="auto"/>
        </w:rPr>
      </w:pPr>
      <w:r>
        <w:rPr>
          <w:rFonts w:ascii="Arial" w:cs="Arial" w:eastAsia="Arial" w:hAnsi="Arial"/>
          <w:sz w:val="16"/>
          <w:szCs w:val="16"/>
          <w:color w:val="auto"/>
        </w:rPr>
        <w:t>Suite 1200</w:t>
      </w:r>
    </w:p>
    <w:p>
      <w:pPr>
        <w:spacing w:after="0" w:line="86" w:lineRule="exact"/>
        <w:rPr>
          <w:sz w:val="24"/>
          <w:szCs w:val="24"/>
          <w:color w:val="auto"/>
        </w:rPr>
      </w:pPr>
    </w:p>
    <w:p>
      <w:pPr>
        <w:ind w:left="2140"/>
        <w:spacing w:after="0"/>
        <w:rPr>
          <w:sz w:val="20"/>
          <w:szCs w:val="20"/>
          <w:color w:val="auto"/>
        </w:rPr>
      </w:pPr>
      <w:r>
        <w:rPr>
          <w:rFonts w:ascii="Arial" w:cs="Arial" w:eastAsia="Arial" w:hAnsi="Arial"/>
          <w:sz w:val="16"/>
          <w:szCs w:val="16"/>
          <w:color w:val="auto"/>
        </w:rPr>
        <w:t>Atlanta, Georgia 30309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1276985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621030</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603885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Acuity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Selected 401(k) Plans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Audited Financial Statements and Supplemental Schedules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2025 and 2024 and for the year ended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0" w:type="dxa"/>
            <w:vAlign w:val="bottom"/>
            <w:gridSpan w:val="4"/>
          </w:tcPr>
          <w:p>
            <w:pPr>
              <w:jc w:val="right"/>
              <w:ind w:right="5220"/>
              <w:spacing w:after="0"/>
              <w:rPr>
                <w:sz w:val="20"/>
                <w:szCs w:val="20"/>
                <w:color w:val="auto"/>
              </w:rPr>
            </w:pPr>
            <w:r>
              <w:rPr>
                <w:rFonts w:ascii="Arial" w:cs="Arial" w:eastAsia="Arial" w:hAnsi="Arial"/>
                <w:sz w:val="18"/>
                <w:szCs w:val="18"/>
                <w:b w:val="1"/>
                <w:bCs w:val="1"/>
                <w:color w:val="auto"/>
              </w:rPr>
              <w:t>Contents</w:t>
            </w:r>
          </w:p>
        </w:tc>
      </w:tr>
      <w:tr>
        <w:trPr>
          <w:trHeight w:val="487"/>
        </w:trPr>
        <w:tc>
          <w:tcPr>
            <w:tcW w:w="120" w:type="dxa"/>
            <w:vAlign w:val="bottom"/>
          </w:tcPr>
          <w:p>
            <w:pPr>
              <w:spacing w:after="0"/>
              <w:rPr>
                <w:sz w:val="24"/>
                <w:szCs w:val="24"/>
                <w:color w:val="auto"/>
              </w:rPr>
            </w:pPr>
          </w:p>
        </w:tc>
        <w:tc>
          <w:tcPr>
            <w:tcW w:w="4920" w:type="dxa"/>
            <w:vAlign w:val="bottom"/>
            <w:gridSpan w:val="19"/>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608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120" w:type="dxa"/>
            <w:vAlign w:val="bottom"/>
          </w:tcPr>
          <w:p>
            <w:pPr>
              <w:spacing w:after="0"/>
              <w:rPr>
                <w:sz w:val="24"/>
                <w:szCs w:val="24"/>
                <w:color w:val="auto"/>
              </w:rPr>
            </w:pPr>
          </w:p>
        </w:tc>
      </w:tr>
      <w:tr>
        <w:trPr>
          <w:trHeight w:val="515"/>
        </w:trPr>
        <w:tc>
          <w:tcPr>
            <w:tcW w:w="120" w:type="dxa"/>
            <w:vAlign w:val="bottom"/>
          </w:tcPr>
          <w:p>
            <w:pPr>
              <w:spacing w:after="0"/>
              <w:rPr>
                <w:sz w:val="24"/>
                <w:szCs w:val="24"/>
                <w:color w:val="auto"/>
              </w:rPr>
            </w:pPr>
          </w:p>
        </w:tc>
        <w:tc>
          <w:tcPr>
            <w:tcW w:w="4600" w:type="dxa"/>
            <w:vAlign w:val="bottom"/>
            <w:tcBorders>
              <w:top w:val="single" w:sz="8" w:color="0000FF"/>
            </w:tcBorders>
            <w:gridSpan w:val="17"/>
          </w:tcPr>
          <w:p>
            <w:pPr>
              <w:spacing w:after="0"/>
              <w:rPr>
                <w:sz w:val="20"/>
                <w:szCs w:val="20"/>
                <w:color w:val="auto"/>
              </w:rPr>
            </w:pPr>
            <w:r>
              <w:rPr>
                <w:rFonts w:ascii="Arial" w:cs="Arial" w:eastAsia="Arial" w:hAnsi="Arial"/>
                <w:sz w:val="18"/>
                <w:szCs w:val="18"/>
                <w:b w:val="1"/>
                <w:bCs w:val="1"/>
                <w:color w:val="auto"/>
              </w:rPr>
              <w:t>Audited Financial Statements</w:t>
            </w:r>
          </w:p>
        </w:tc>
        <w:tc>
          <w:tcPr>
            <w:tcW w:w="320" w:type="dxa"/>
            <w:vAlign w:val="bottom"/>
            <w:gridSpan w:val="2"/>
          </w:tcPr>
          <w:p>
            <w:pPr>
              <w:spacing w:after="0"/>
              <w:rPr>
                <w:sz w:val="24"/>
                <w:szCs w:val="24"/>
                <w:color w:val="auto"/>
              </w:rPr>
            </w:pPr>
          </w:p>
        </w:tc>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3780" w:type="dxa"/>
            <w:vAlign w:val="bottom"/>
            <w:tcBorders>
              <w:bottom w:val="single" w:sz="8" w:color="0000FF"/>
            </w:tcBorders>
            <w:gridSpan w:val="15"/>
          </w:tcPr>
          <w:p>
            <w:pPr>
              <w:spacing w:after="0" w:line="195" w:lineRule="exact"/>
              <w:rPr>
                <w:sz w:val="20"/>
                <w:szCs w:val="20"/>
                <w:color w:val="auto"/>
              </w:rPr>
            </w:pPr>
            <w:r>
              <w:rPr>
                <w:rFonts w:ascii="Arial" w:cs="Arial" w:eastAsia="Arial" w:hAnsi="Arial"/>
                <w:sz w:val="18"/>
                <w:szCs w:val="18"/>
                <w:color w:val="0000FF"/>
                <w:w w:val="99"/>
              </w:rPr>
              <w:t>Statements of Net Assets Available for Benefits</w:t>
            </w:r>
          </w:p>
        </w:tc>
        <w:tc>
          <w:tcPr>
            <w:tcW w:w="1140" w:type="dxa"/>
            <w:vAlign w:val="bottom"/>
            <w:gridSpan w:val="4"/>
          </w:tcPr>
          <w:p>
            <w:pPr>
              <w:spacing w:after="0"/>
              <w:rPr>
                <w:sz w:val="16"/>
                <w:szCs w:val="16"/>
                <w:color w:val="auto"/>
              </w:rPr>
            </w:pPr>
          </w:p>
        </w:tc>
        <w:tc>
          <w:tcPr>
            <w:tcW w:w="598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79"/>
              </w:rPr>
              <w:t>2</w:t>
            </w:r>
          </w:p>
        </w:tc>
        <w:tc>
          <w:tcPr>
            <w:tcW w:w="120" w:type="dxa"/>
            <w:vAlign w:val="bottom"/>
          </w:tcPr>
          <w:p>
            <w:pPr>
              <w:spacing w:after="0"/>
              <w:rPr>
                <w:sz w:val="16"/>
                <w:szCs w:val="16"/>
                <w:color w:val="auto"/>
              </w:rPr>
            </w:pPr>
          </w:p>
        </w:tc>
      </w:tr>
      <w:tr>
        <w:trPr>
          <w:trHeight w:val="209"/>
        </w:trPr>
        <w:tc>
          <w:tcPr>
            <w:tcW w:w="120" w:type="dxa"/>
            <w:vAlign w:val="bottom"/>
          </w:tcPr>
          <w:p>
            <w:pPr>
              <w:spacing w:after="0"/>
              <w:rPr>
                <w:sz w:val="18"/>
                <w:szCs w:val="18"/>
                <w:color w:val="auto"/>
              </w:rPr>
            </w:pPr>
          </w:p>
        </w:tc>
        <w:tc>
          <w:tcPr>
            <w:tcW w:w="47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Statements of Changes in Net Assets Available for Benefits</w:t>
            </w:r>
          </w:p>
        </w:tc>
        <w:tc>
          <w:tcPr>
            <w:tcW w:w="180" w:type="dxa"/>
            <w:vAlign w:val="bottom"/>
          </w:tcPr>
          <w:p>
            <w:pPr>
              <w:spacing w:after="0"/>
              <w:rPr>
                <w:sz w:val="18"/>
                <w:szCs w:val="18"/>
                <w:color w:val="auto"/>
              </w:rPr>
            </w:pPr>
          </w:p>
        </w:tc>
        <w:tc>
          <w:tcPr>
            <w:tcW w:w="59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12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4920" w:type="dxa"/>
            <w:vAlign w:val="bottom"/>
            <w:gridSpan w:val="19"/>
          </w:tcPr>
          <w:p>
            <w:pPr>
              <w:spacing w:after="0"/>
              <w:rPr>
                <w:sz w:val="20"/>
                <w:szCs w:val="20"/>
                <w:color w:val="auto"/>
              </w:rPr>
            </w:pPr>
            <w:r>
              <w:rPr>
                <w:rFonts w:ascii="Arial" w:cs="Arial" w:eastAsia="Arial" w:hAnsi="Arial"/>
                <w:sz w:val="18"/>
                <w:szCs w:val="18"/>
                <w:color w:val="0000FF"/>
              </w:rPr>
              <w:t>Notes to Financial Statements</w:t>
            </w:r>
          </w:p>
        </w:tc>
        <w:tc>
          <w:tcPr>
            <w:tcW w:w="608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1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Note 1 - Description of the Plans</w:t>
            </w:r>
          </w:p>
        </w:tc>
        <w:tc>
          <w:tcPr>
            <w:tcW w:w="2200" w:type="dxa"/>
            <w:vAlign w:val="bottom"/>
            <w:gridSpan w:val="9"/>
          </w:tcPr>
          <w:p>
            <w:pPr>
              <w:spacing w:after="0"/>
              <w:rPr>
                <w:sz w:val="18"/>
                <w:szCs w:val="18"/>
                <w:color w:val="auto"/>
              </w:rPr>
            </w:pPr>
          </w:p>
        </w:tc>
        <w:tc>
          <w:tcPr>
            <w:tcW w:w="59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12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Note 2 - Summary of Accounting Policies</w:t>
            </w:r>
          </w:p>
        </w:tc>
        <w:tc>
          <w:tcPr>
            <w:tcW w:w="1520" w:type="dxa"/>
            <w:vAlign w:val="bottom"/>
            <w:gridSpan w:val="5"/>
          </w:tcPr>
          <w:p>
            <w:pPr>
              <w:spacing w:after="0"/>
              <w:rPr>
                <w:sz w:val="18"/>
                <w:szCs w:val="18"/>
                <w:color w:val="auto"/>
              </w:rPr>
            </w:pPr>
          </w:p>
        </w:tc>
        <w:tc>
          <w:tcPr>
            <w:tcW w:w="59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12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Note 3 - Acuity DC Trust</w:t>
            </w:r>
          </w:p>
        </w:tc>
        <w:tc>
          <w:tcPr>
            <w:tcW w:w="2840" w:type="dxa"/>
            <w:vAlign w:val="bottom"/>
            <w:gridSpan w:val="14"/>
          </w:tcPr>
          <w:p>
            <w:pPr>
              <w:spacing w:after="0"/>
              <w:rPr>
                <w:sz w:val="18"/>
                <w:szCs w:val="18"/>
                <w:color w:val="auto"/>
              </w:rPr>
            </w:pPr>
          </w:p>
        </w:tc>
        <w:tc>
          <w:tcPr>
            <w:tcW w:w="59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12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18"/>
          </w:tcPr>
          <w:p>
            <w:pPr>
              <w:spacing w:after="0"/>
              <w:rPr>
                <w:sz w:val="20"/>
                <w:szCs w:val="20"/>
                <w:color w:val="auto"/>
              </w:rPr>
            </w:pPr>
            <w:r>
              <w:rPr>
                <w:rFonts w:ascii="Arial" w:cs="Arial" w:eastAsia="Arial" w:hAnsi="Arial"/>
                <w:sz w:val="18"/>
                <w:szCs w:val="18"/>
                <w:color w:val="0000FF"/>
              </w:rPr>
              <w:t>Note 4 - Stable Value Investments</w:t>
            </w:r>
          </w:p>
        </w:tc>
        <w:tc>
          <w:tcPr>
            <w:tcW w:w="608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1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18"/>
          </w:tcPr>
          <w:p>
            <w:pPr>
              <w:spacing w:after="0"/>
              <w:rPr>
                <w:sz w:val="20"/>
                <w:szCs w:val="20"/>
                <w:color w:val="auto"/>
              </w:rPr>
            </w:pPr>
            <w:r>
              <w:rPr>
                <w:rFonts w:ascii="Arial" w:cs="Arial" w:eastAsia="Arial" w:hAnsi="Arial"/>
                <w:sz w:val="18"/>
                <w:szCs w:val="18"/>
                <w:color w:val="0000FF"/>
              </w:rPr>
              <w:t>Note 5 - Fair Value Measurements</w:t>
            </w:r>
          </w:p>
        </w:tc>
        <w:tc>
          <w:tcPr>
            <w:tcW w:w="6200" w:type="dxa"/>
            <w:vAlign w:val="bottom"/>
            <w:gridSpan w:val="4"/>
          </w:tcPr>
          <w:p>
            <w:pPr>
              <w:jc w:val="right"/>
              <w:ind w:right="120"/>
              <w:spacing w:after="0"/>
              <w:rPr>
                <w:sz w:val="20"/>
                <w:szCs w:val="20"/>
                <w:color w:val="auto"/>
              </w:rPr>
            </w:pPr>
            <w:r>
              <w:rPr>
                <w:rFonts w:ascii="Arial" w:cs="Arial" w:eastAsia="Arial" w:hAnsi="Arial"/>
                <w:sz w:val="18"/>
                <w:szCs w:val="18"/>
                <w:color w:val="0000FF"/>
              </w:rPr>
              <w:t>10</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9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6"/>
          </w:tcPr>
          <w:p>
            <w:pPr>
              <w:spacing w:after="0"/>
              <w:rPr>
                <w:sz w:val="20"/>
                <w:szCs w:val="20"/>
                <w:color w:val="auto"/>
              </w:rPr>
            </w:pPr>
            <w:r>
              <w:rPr>
                <w:rFonts w:ascii="Arial" w:cs="Arial" w:eastAsia="Arial" w:hAnsi="Arial"/>
                <w:sz w:val="18"/>
                <w:szCs w:val="18"/>
                <w:color w:val="0000FF"/>
                <w:w w:val="98"/>
              </w:rPr>
              <w:t>Note 6 - Income Tax Status</w:t>
            </w:r>
          </w:p>
        </w:tc>
        <w:tc>
          <w:tcPr>
            <w:tcW w:w="560" w:type="dxa"/>
            <w:vAlign w:val="bottom"/>
            <w:gridSpan w:val="5"/>
          </w:tcPr>
          <w:p>
            <w:pPr>
              <w:spacing w:after="0"/>
              <w:rPr>
                <w:sz w:val="18"/>
                <w:szCs w:val="18"/>
                <w:color w:val="auto"/>
              </w:rPr>
            </w:pPr>
          </w:p>
        </w:tc>
        <w:tc>
          <w:tcPr>
            <w:tcW w:w="2060" w:type="dxa"/>
            <w:vAlign w:val="bottom"/>
            <w:gridSpan w:val="7"/>
          </w:tcPr>
          <w:p>
            <w:pPr>
              <w:spacing w:after="0"/>
              <w:rPr>
                <w:sz w:val="18"/>
                <w:szCs w:val="18"/>
                <w:color w:val="auto"/>
              </w:rPr>
            </w:pPr>
          </w:p>
        </w:tc>
        <w:tc>
          <w:tcPr>
            <w:tcW w:w="590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0000FF"/>
                <w:w w:val="79"/>
              </w:rPr>
              <w:t>11</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6"/>
          </w:tcPr>
          <w:p>
            <w:pPr>
              <w:spacing w:after="0"/>
              <w:rPr>
                <w:sz w:val="20"/>
                <w:szCs w:val="20"/>
                <w:color w:val="auto"/>
              </w:rPr>
            </w:pPr>
            <w:r>
              <w:rPr>
                <w:rFonts w:ascii="Arial" w:cs="Arial" w:eastAsia="Arial" w:hAnsi="Arial"/>
                <w:sz w:val="18"/>
                <w:szCs w:val="18"/>
                <w:color w:val="0000FF"/>
              </w:rPr>
              <w:t>Note 7 - Benefits Payable</w:t>
            </w:r>
          </w:p>
        </w:tc>
        <w:tc>
          <w:tcPr>
            <w:tcW w:w="2620" w:type="dxa"/>
            <w:vAlign w:val="bottom"/>
            <w:gridSpan w:val="12"/>
          </w:tcPr>
          <w:p>
            <w:pPr>
              <w:spacing w:after="0"/>
              <w:rPr>
                <w:sz w:val="18"/>
                <w:szCs w:val="18"/>
                <w:color w:val="auto"/>
              </w:rPr>
            </w:pPr>
          </w:p>
        </w:tc>
        <w:tc>
          <w:tcPr>
            <w:tcW w:w="6200" w:type="dxa"/>
            <w:vAlign w:val="bottom"/>
            <w:gridSpan w:val="4"/>
          </w:tcPr>
          <w:p>
            <w:pPr>
              <w:jc w:val="right"/>
              <w:ind w:right="120"/>
              <w:spacing w:after="0"/>
              <w:rPr>
                <w:sz w:val="20"/>
                <w:szCs w:val="20"/>
                <w:color w:val="auto"/>
              </w:rPr>
            </w:pPr>
            <w:r>
              <w:rPr>
                <w:rFonts w:ascii="Arial" w:cs="Arial" w:eastAsia="Arial" w:hAnsi="Arial"/>
                <w:sz w:val="18"/>
                <w:szCs w:val="18"/>
                <w:color w:val="0000FF"/>
              </w:rPr>
              <w:t>11</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18"/>
          </w:tcPr>
          <w:p>
            <w:pPr>
              <w:spacing w:after="0"/>
              <w:rPr>
                <w:sz w:val="20"/>
                <w:szCs w:val="20"/>
                <w:color w:val="auto"/>
              </w:rPr>
            </w:pPr>
            <w:r>
              <w:rPr>
                <w:rFonts w:ascii="Arial" w:cs="Arial" w:eastAsia="Arial" w:hAnsi="Arial"/>
                <w:sz w:val="18"/>
                <w:szCs w:val="18"/>
                <w:color w:val="0000FF"/>
              </w:rPr>
              <w:t>Note 8 - Risks and Uncertainties</w:t>
            </w:r>
          </w:p>
        </w:tc>
        <w:tc>
          <w:tcPr>
            <w:tcW w:w="6200" w:type="dxa"/>
            <w:vAlign w:val="bottom"/>
            <w:gridSpan w:val="4"/>
          </w:tcPr>
          <w:p>
            <w:pPr>
              <w:jc w:val="right"/>
              <w:ind w:right="120"/>
              <w:spacing w:after="0"/>
              <w:rPr>
                <w:sz w:val="20"/>
                <w:szCs w:val="20"/>
                <w:color w:val="auto"/>
              </w:rPr>
            </w:pPr>
            <w:r>
              <w:rPr>
                <w:rFonts w:ascii="Arial" w:cs="Arial" w:eastAsia="Arial" w:hAnsi="Arial"/>
                <w:sz w:val="18"/>
                <w:szCs w:val="18"/>
                <w:color w:val="0000FF"/>
              </w:rPr>
              <w:t>11</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0000FF"/>
                <w:w w:val="99"/>
              </w:rPr>
              <w:t>Note 9 - Acquisitions</w:t>
            </w:r>
          </w:p>
        </w:tc>
        <w:tc>
          <w:tcPr>
            <w:tcW w:w="920" w:type="dxa"/>
            <w:vAlign w:val="bottom"/>
            <w:gridSpan w:val="5"/>
          </w:tcPr>
          <w:p>
            <w:pPr>
              <w:spacing w:after="0"/>
              <w:rPr>
                <w:sz w:val="18"/>
                <w:szCs w:val="18"/>
                <w:color w:val="auto"/>
              </w:rPr>
            </w:pPr>
          </w:p>
        </w:tc>
        <w:tc>
          <w:tcPr>
            <w:tcW w:w="2220" w:type="dxa"/>
            <w:vAlign w:val="bottom"/>
            <w:gridSpan w:val="10"/>
          </w:tcPr>
          <w:p>
            <w:pPr>
              <w:spacing w:after="0"/>
              <w:rPr>
                <w:sz w:val="18"/>
                <w:szCs w:val="18"/>
                <w:color w:val="auto"/>
              </w:rPr>
            </w:pPr>
          </w:p>
        </w:tc>
        <w:tc>
          <w:tcPr>
            <w:tcW w:w="590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0000FF"/>
                <w:w w:val="79"/>
              </w:rPr>
              <w:t>12</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5"/>
        </w:trPr>
        <w:tc>
          <w:tcPr>
            <w:tcW w:w="120" w:type="dxa"/>
            <w:vAlign w:val="bottom"/>
          </w:tcPr>
          <w:p>
            <w:pPr>
              <w:spacing w:after="0"/>
              <w:rPr>
                <w:sz w:val="24"/>
                <w:szCs w:val="24"/>
                <w:color w:val="auto"/>
              </w:rPr>
            </w:pPr>
          </w:p>
        </w:tc>
        <w:tc>
          <w:tcPr>
            <w:tcW w:w="4920" w:type="dxa"/>
            <w:vAlign w:val="bottom"/>
            <w:gridSpan w:val="19"/>
          </w:tcPr>
          <w:p>
            <w:pPr>
              <w:spacing w:after="0"/>
              <w:rPr>
                <w:sz w:val="20"/>
                <w:szCs w:val="20"/>
                <w:color w:val="auto"/>
              </w:rPr>
            </w:pPr>
            <w:r>
              <w:rPr>
                <w:rFonts w:ascii="Arial" w:cs="Arial" w:eastAsia="Arial" w:hAnsi="Arial"/>
                <w:sz w:val="18"/>
                <w:szCs w:val="18"/>
                <w:b w:val="1"/>
                <w:bCs w:val="1"/>
                <w:color w:val="auto"/>
              </w:rPr>
              <w:t>Supplemental Schedule</w:t>
            </w:r>
          </w:p>
        </w:tc>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3880" w:type="dxa"/>
            <w:vAlign w:val="bottom"/>
            <w:gridSpan w:val="16"/>
          </w:tcPr>
          <w:p>
            <w:pPr>
              <w:spacing w:after="0" w:line="195" w:lineRule="exact"/>
              <w:rPr>
                <w:sz w:val="20"/>
                <w:szCs w:val="20"/>
                <w:color w:val="auto"/>
              </w:rPr>
            </w:pPr>
            <w:r>
              <w:rPr>
                <w:rFonts w:ascii="Arial" w:cs="Arial" w:eastAsia="Arial" w:hAnsi="Arial"/>
                <w:sz w:val="18"/>
                <w:szCs w:val="18"/>
                <w:color w:val="0000FF"/>
                <w:w w:val="99"/>
              </w:rPr>
              <w:t>Schedule of Delinquent Participant Contributions</w:t>
            </w:r>
          </w:p>
        </w:tc>
        <w:tc>
          <w:tcPr>
            <w:tcW w:w="1040" w:type="dxa"/>
            <w:vAlign w:val="bottom"/>
            <w:gridSpan w:val="3"/>
          </w:tcPr>
          <w:p>
            <w:pPr>
              <w:spacing w:after="0"/>
              <w:rPr>
                <w:sz w:val="16"/>
                <w:szCs w:val="16"/>
                <w:color w:val="auto"/>
              </w:rPr>
            </w:pPr>
          </w:p>
        </w:tc>
        <w:tc>
          <w:tcPr>
            <w:tcW w:w="5900" w:type="dxa"/>
            <w:vAlign w:val="bottom"/>
          </w:tcPr>
          <w:p>
            <w:pPr>
              <w:spacing w:after="0"/>
              <w:rPr>
                <w:sz w:val="16"/>
                <w:szCs w:val="16"/>
                <w:color w:val="auto"/>
              </w:rPr>
            </w:pPr>
          </w:p>
        </w:tc>
        <w:tc>
          <w:tcPr>
            <w:tcW w:w="300" w:type="dxa"/>
            <w:vAlign w:val="bottom"/>
            <w:gridSpan w:val="3"/>
          </w:tcPr>
          <w:p>
            <w:pPr>
              <w:jc w:val="right"/>
              <w:ind w:right="120"/>
              <w:spacing w:after="0" w:line="195" w:lineRule="exact"/>
              <w:rPr>
                <w:sz w:val="20"/>
                <w:szCs w:val="20"/>
                <w:color w:val="auto"/>
              </w:rPr>
            </w:pPr>
            <w:r>
              <w:rPr>
                <w:rFonts w:ascii="Arial" w:cs="Arial" w:eastAsia="Arial" w:hAnsi="Arial"/>
                <w:sz w:val="18"/>
                <w:szCs w:val="18"/>
                <w:color w:val="0000FF"/>
                <w:w w:val="79"/>
              </w:rPr>
              <w:t>13</w:t>
            </w: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280" w:type="dxa"/>
            <w:vAlign w:val="bottom"/>
            <w:gridSpan w:val="13"/>
          </w:tcPr>
          <w:p>
            <w:pPr>
              <w:spacing w:after="0"/>
              <w:rPr>
                <w:sz w:val="20"/>
                <w:szCs w:val="20"/>
                <w:color w:val="auto"/>
              </w:rPr>
            </w:pPr>
            <w:r>
              <w:rPr>
                <w:rFonts w:ascii="Arial" w:cs="Arial" w:eastAsia="Arial" w:hAnsi="Arial"/>
                <w:sz w:val="18"/>
                <w:szCs w:val="18"/>
                <w:color w:val="0000FF"/>
                <w:w w:val="99"/>
              </w:rPr>
              <w:t>Schedule of Assets (Held at End of Year)</w:t>
            </w:r>
          </w:p>
        </w:tc>
        <w:tc>
          <w:tcPr>
            <w:tcW w:w="60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c>
          <w:tcPr>
            <w:tcW w:w="590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0000FF"/>
                <w:w w:val="79"/>
              </w:rPr>
              <w:t>14</w:t>
            </w: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1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w w:val="98"/>
              </w:rPr>
              <w:t>Exhibit Index</w:t>
            </w:r>
          </w:p>
        </w:tc>
        <w:tc>
          <w:tcPr>
            <w:tcW w:w="2240" w:type="dxa"/>
            <w:vAlign w:val="bottom"/>
            <w:gridSpan w:val="10"/>
          </w:tcPr>
          <w:p>
            <w:pPr>
              <w:spacing w:after="0"/>
              <w:rPr>
                <w:sz w:val="24"/>
                <w:szCs w:val="24"/>
                <w:color w:val="auto"/>
              </w:rPr>
            </w:pPr>
          </w:p>
        </w:tc>
        <w:tc>
          <w:tcPr>
            <w:tcW w:w="1640" w:type="dxa"/>
            <w:vAlign w:val="bottom"/>
            <w:gridSpan w:val="6"/>
          </w:tcPr>
          <w:p>
            <w:pPr>
              <w:spacing w:after="0"/>
              <w:rPr>
                <w:sz w:val="24"/>
                <w:szCs w:val="24"/>
                <w:color w:val="auto"/>
              </w:rPr>
            </w:pPr>
          </w:p>
        </w:tc>
        <w:tc>
          <w:tcPr>
            <w:tcW w:w="5900" w:type="dxa"/>
            <w:vAlign w:val="bottom"/>
          </w:tcPr>
          <w:p>
            <w:pPr>
              <w:spacing w:after="0"/>
              <w:rPr>
                <w:sz w:val="24"/>
                <w:szCs w:val="24"/>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0000FF"/>
                <w:w w:val="79"/>
              </w:rPr>
              <w:t>15</w:t>
            </w:r>
          </w:p>
        </w:tc>
      </w:tr>
      <w:tr>
        <w:trPr>
          <w:trHeight w:val="20"/>
        </w:trPr>
        <w:tc>
          <w:tcPr>
            <w:tcW w:w="1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80" w:type="dxa"/>
            <w:vAlign w:val="bottom"/>
            <w:gridSpan w:val="16"/>
          </w:tcPr>
          <w:p>
            <w:pPr>
              <w:spacing w:after="0" w:line="20" w:lineRule="exact"/>
              <w:rPr>
                <w:sz w:val="1"/>
                <w:szCs w:val="1"/>
                <w:color w:val="auto"/>
              </w:rPr>
            </w:pPr>
          </w:p>
        </w:tc>
        <w:tc>
          <w:tcPr>
            <w:tcW w:w="59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1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rPr>
              <w:t>Signatures</w:t>
            </w:r>
          </w:p>
        </w:tc>
        <w:tc>
          <w:tcPr>
            <w:tcW w:w="3880" w:type="dxa"/>
            <w:vAlign w:val="bottom"/>
            <w:gridSpan w:val="16"/>
          </w:tcPr>
          <w:p>
            <w:pPr>
              <w:spacing w:after="0"/>
              <w:rPr>
                <w:sz w:val="24"/>
                <w:szCs w:val="24"/>
                <w:color w:val="auto"/>
              </w:rPr>
            </w:pPr>
          </w:p>
        </w:tc>
        <w:tc>
          <w:tcPr>
            <w:tcW w:w="5900" w:type="dxa"/>
            <w:vAlign w:val="bottom"/>
          </w:tcPr>
          <w:p>
            <w:pPr>
              <w:spacing w:after="0"/>
              <w:rPr>
                <w:sz w:val="24"/>
                <w:szCs w:val="24"/>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0000FF"/>
                <w:w w:val="79"/>
              </w:rPr>
              <w:t>16</w:t>
            </w:r>
          </w:p>
        </w:tc>
      </w:tr>
      <w:tr>
        <w:trPr>
          <w:trHeight w:val="1283"/>
        </w:trPr>
        <w:tc>
          <w:tcPr>
            <w:tcW w:w="1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Plan Administrator and Participants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Acuity Inc. Selected 401(k) Plans</w:t>
      </w:r>
    </w:p>
    <w:p>
      <w:pPr>
        <w:spacing w:after="0"/>
        <w:rPr>
          <w:sz w:val="20"/>
          <w:szCs w:val="20"/>
          <w:color w:val="auto"/>
        </w:rPr>
      </w:pPr>
      <w:r>
        <w:rPr>
          <w:rFonts w:ascii="Arial" w:cs="Arial" w:eastAsia="Arial" w:hAnsi="Arial"/>
          <w:sz w:val="16"/>
          <w:szCs w:val="16"/>
          <w:color w:val="auto"/>
        </w:rPr>
        <w:t>Atlanta, Georgia</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We have audited the accompanying statements of net assets available for benefits of the Acuity, Inc. 401(k) Plan, the Acuity Brands Lighting, Inc. 401(k) Plan for Hourly Employees and the Holophane Division of Acuity Brands Lighting 401(k) Plan for Hourly Employees Covered by a Collective Bargaining Agreement (the Plans) as of December 31, 2025 and 2024, the related statement of changes in net assets available for benefits for the year ended December 31, 2025,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Plans are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Information</w:t>
      </w:r>
    </w:p>
    <w:p>
      <w:pPr>
        <w:spacing w:after="0" w:line="23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supplemental information in the accompanying ERISA-required Supplemental Schedule of Assets (Held at End of Year) as of December 31, 2025 and Schedule of Delinquent Participant Contributions for the year ended December 31, 2025 have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their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 BDO USA, P.C.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Plans' auditor since 2012.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Jacksonville, Florida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Acuity Inc. Selected 401(k) Plans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Statements of Net Assets Available for Benefits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December 31, 2025</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ind w:right="39"/>
              <w:spacing w:after="0"/>
              <w:rPr>
                <w:sz w:val="20"/>
                <w:szCs w:val="20"/>
                <w:color w:val="auto"/>
              </w:rPr>
            </w:pPr>
            <w:r>
              <w:rPr>
                <w:rFonts w:ascii="Arial" w:cs="Arial" w:eastAsia="Arial" w:hAnsi="Arial"/>
                <w:sz w:val="16"/>
                <w:szCs w:val="16"/>
                <w:b w:val="1"/>
                <w:bCs w:val="1"/>
                <w:color w:val="auto"/>
              </w:rPr>
              <w:t>Holophane Division of</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Acuity Brands Lighting</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Acuity Brands Lighting,</w:t>
            </w:r>
          </w:p>
        </w:tc>
        <w:tc>
          <w:tcPr>
            <w:tcW w:w="120" w:type="dxa"/>
            <w:vAlign w:val="bottom"/>
          </w:tcPr>
          <w:p>
            <w:pPr>
              <w:spacing w:after="0"/>
              <w:rPr>
                <w:sz w:val="14"/>
                <w:szCs w:val="14"/>
                <w:color w:val="auto"/>
              </w:rPr>
            </w:pPr>
          </w:p>
        </w:tc>
        <w:tc>
          <w:tcPr>
            <w:tcW w:w="19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401(k) Plan for Hourly</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20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Employees Covered by a</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Acuity Inc. 401(k) Plan</w:t>
            </w:r>
          </w:p>
        </w:tc>
        <w:tc>
          <w:tcPr>
            <w:tcW w:w="2220" w:type="dxa"/>
            <w:vAlign w:val="bottom"/>
            <w:gridSpan w:val="3"/>
          </w:tcPr>
          <w:p>
            <w:pPr>
              <w:jc w:val="center"/>
              <w:ind w:right="180"/>
              <w:spacing w:after="0" w:line="162" w:lineRule="exact"/>
              <w:rPr>
                <w:sz w:val="20"/>
                <w:szCs w:val="20"/>
                <w:color w:val="auto"/>
              </w:rPr>
            </w:pPr>
            <w:r>
              <w:rPr>
                <w:rFonts w:ascii="Arial" w:cs="Arial" w:eastAsia="Arial" w:hAnsi="Arial"/>
                <w:sz w:val="16"/>
                <w:szCs w:val="16"/>
                <w:b w:val="1"/>
                <w:bCs w:val="1"/>
                <w:color w:val="auto"/>
              </w:rPr>
              <w:t>Inc. 401(k) Plan for Hourly</w:t>
            </w:r>
          </w:p>
        </w:tc>
        <w:tc>
          <w:tcPr>
            <w:tcW w:w="120" w:type="dxa"/>
            <w:vAlign w:val="bottom"/>
          </w:tcPr>
          <w:p>
            <w:pPr>
              <w:spacing w:after="0"/>
              <w:rPr>
                <w:sz w:val="14"/>
                <w:szCs w:val="14"/>
                <w:color w:val="auto"/>
              </w:rPr>
            </w:pPr>
          </w:p>
        </w:tc>
        <w:tc>
          <w:tcPr>
            <w:tcW w:w="19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Collective Bargaining</w:t>
            </w:r>
          </w:p>
        </w:tc>
        <w:tc>
          <w:tcPr>
            <w:tcW w:w="0" w:type="dxa"/>
            <w:vAlign w:val="bottom"/>
          </w:tcPr>
          <w:p>
            <w:pPr>
              <w:spacing w:after="0"/>
              <w:rPr>
                <w:sz w:val="1"/>
                <w:szCs w:val="1"/>
                <w:color w:val="auto"/>
              </w:rPr>
            </w:pPr>
          </w:p>
        </w:tc>
      </w:tr>
      <w:tr>
        <w:trPr>
          <w:trHeight w:val="215"/>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Employees</w:t>
            </w:r>
          </w:p>
        </w:tc>
        <w:tc>
          <w:tcPr>
            <w:tcW w:w="120" w:type="dxa"/>
            <w:vAlign w:val="bottom"/>
          </w:tcPr>
          <w:p>
            <w:pPr>
              <w:spacing w:after="0"/>
              <w:rPr>
                <w:sz w:val="18"/>
                <w:szCs w:val="18"/>
                <w:color w:val="auto"/>
              </w:rPr>
            </w:pPr>
          </w:p>
        </w:tc>
        <w:tc>
          <w:tcPr>
            <w:tcW w:w="1960" w:type="dxa"/>
            <w:vAlign w:val="bottom"/>
          </w:tcPr>
          <w:p>
            <w:pPr>
              <w:jc w:val="center"/>
              <w:ind w:right="39"/>
              <w:spacing w:after="0"/>
              <w:rPr>
                <w:sz w:val="20"/>
                <w:szCs w:val="20"/>
                <w:color w:val="auto"/>
              </w:rPr>
            </w:pPr>
            <w:r>
              <w:rPr>
                <w:rFonts w:ascii="Arial" w:cs="Arial" w:eastAsia="Arial" w:hAnsi="Arial"/>
                <w:sz w:val="16"/>
                <w:szCs w:val="16"/>
                <w:b w:val="1"/>
                <w:bCs w:val="1"/>
                <w:color w:val="auto"/>
              </w:rPr>
              <w:t>Agreement</w:t>
            </w:r>
          </w:p>
        </w:tc>
        <w:tc>
          <w:tcPr>
            <w:tcW w:w="0" w:type="dxa"/>
            <w:vAlign w:val="bottom"/>
          </w:tcPr>
          <w:p>
            <w:pPr>
              <w:spacing w:after="0"/>
              <w:rPr>
                <w:sz w:val="1"/>
                <w:szCs w:val="1"/>
                <w:color w:val="auto"/>
              </w:rPr>
            </w:pPr>
          </w:p>
        </w:tc>
      </w:tr>
      <w:tr>
        <w:trPr>
          <w:trHeight w:val="217"/>
        </w:trPr>
        <w:tc>
          <w:tcPr>
            <w:tcW w:w="4720" w:type="dxa"/>
            <w:vAlign w:val="bottom"/>
            <w:tcBorders>
              <w:bottom w:val="single" w:sz="8" w:color="CCEEFF"/>
            </w:tcBorders>
          </w:tcPr>
          <w:p>
            <w:pPr>
              <w:ind w:left="3400"/>
              <w:spacing w:after="0"/>
              <w:rPr>
                <w:sz w:val="20"/>
                <w:szCs w:val="20"/>
                <w:color w:val="auto"/>
              </w:rPr>
            </w:pPr>
            <w:r>
              <w:rPr>
                <w:rFonts w:ascii="Arial" w:cs="Arial" w:eastAsia="Arial" w:hAnsi="Arial"/>
                <w:sz w:val="16"/>
                <w:szCs w:val="16"/>
                <w:b w:val="1"/>
                <w:bCs w:val="1"/>
                <w:color w:val="auto"/>
              </w:rPr>
              <w:t>Filing Plan No.</w:t>
            </w: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033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067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070</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Plan interest in Acuity DC Trust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665,515,840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24,295,034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21,871,798</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20"/>
              <w:spacing w:after="0"/>
              <w:rPr>
                <w:sz w:val="20"/>
                <w:szCs w:val="20"/>
                <w:color w:val="auto"/>
              </w:rPr>
            </w:pPr>
            <w:r>
              <w:rPr>
                <w:rFonts w:ascii="Arial" w:cs="Arial" w:eastAsia="Arial" w:hAnsi="Arial"/>
                <w:sz w:val="16"/>
                <w:szCs w:val="16"/>
                <w:color w:val="auto"/>
              </w:rPr>
              <w:t>Employer contributions</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383,981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Participant contributions</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Total receivables</w:t>
            </w:r>
          </w:p>
        </w:tc>
        <w:tc>
          <w:tcPr>
            <w:tcW w:w="1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384,044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from participants</w:t>
            </w:r>
          </w:p>
        </w:tc>
        <w:tc>
          <w:tcPr>
            <w:tcW w:w="1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6,086,457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894,197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314,605</w:t>
            </w:r>
          </w:p>
        </w:tc>
        <w:tc>
          <w:tcPr>
            <w:tcW w:w="0" w:type="dxa"/>
            <w:vAlign w:val="bottom"/>
          </w:tcPr>
          <w:p>
            <w:pPr>
              <w:spacing w:after="0"/>
              <w:rPr>
                <w:sz w:val="1"/>
                <w:szCs w:val="1"/>
                <w:color w:val="auto"/>
              </w:rPr>
            </w:pPr>
          </w:p>
        </w:tc>
      </w:tr>
      <w:tr>
        <w:trPr>
          <w:trHeight w:val="209"/>
        </w:trPr>
        <w:tc>
          <w:tcPr>
            <w:tcW w:w="4720" w:type="dxa"/>
            <w:vAlign w:val="bottom"/>
          </w:tcPr>
          <w:p>
            <w:pPr>
              <w:ind w:left="60"/>
              <w:spacing w:after="0"/>
              <w:rPr>
                <w:sz w:val="20"/>
                <w:szCs w:val="20"/>
                <w:color w:val="auto"/>
              </w:rPr>
            </w:pPr>
            <w:r>
              <w:rPr>
                <w:rFonts w:ascii="Arial" w:cs="Arial" w:eastAsia="Arial" w:hAnsi="Arial"/>
                <w:sz w:val="16"/>
                <w:szCs w:val="16"/>
                <w:color w:val="auto"/>
              </w:rPr>
              <w:t>Total assets</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671,986,341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25,189,231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22,186,403</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expenses</w:t>
            </w: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91,546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Net assets available for benefits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671,894,795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25,185,799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22,183,381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Acuity Inc. Selected 401(k) Plans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Statements of Net Assets Available for Benefits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December 31,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jc w:val="center"/>
              <w:ind w:right="59"/>
              <w:spacing w:after="0"/>
              <w:rPr>
                <w:sz w:val="20"/>
                <w:szCs w:val="20"/>
                <w:color w:val="auto"/>
              </w:rPr>
            </w:pPr>
            <w:r>
              <w:rPr>
                <w:rFonts w:ascii="Arial" w:cs="Arial" w:eastAsia="Arial" w:hAnsi="Arial"/>
                <w:sz w:val="16"/>
                <w:szCs w:val="16"/>
                <w:b w:val="1"/>
                <w:bCs w:val="1"/>
                <w:color w:val="auto"/>
              </w:rPr>
              <w:t>Holophane Division of</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Acuity Brands Lighting</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Acuity Brands Lighting,</w:t>
            </w:r>
          </w:p>
        </w:tc>
        <w:tc>
          <w:tcPr>
            <w:tcW w:w="140" w:type="dxa"/>
            <w:vAlign w:val="bottom"/>
          </w:tcPr>
          <w:p>
            <w:pPr>
              <w:spacing w:after="0"/>
              <w:rPr>
                <w:sz w:val="14"/>
                <w:szCs w:val="14"/>
                <w:color w:val="auto"/>
              </w:rPr>
            </w:pPr>
          </w:p>
        </w:tc>
        <w:tc>
          <w:tcPr>
            <w:tcW w:w="19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401(k) Plan for Hourly</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21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Employees Covered by a</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Acuity Inc. 401(k) Plan</w:t>
            </w:r>
          </w:p>
        </w:tc>
        <w:tc>
          <w:tcPr>
            <w:tcW w:w="2220" w:type="dxa"/>
            <w:vAlign w:val="bottom"/>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rPr>
              <w:t>Inc. 401(k) Plan for Hourly</w:t>
            </w:r>
          </w:p>
        </w:tc>
        <w:tc>
          <w:tcPr>
            <w:tcW w:w="140" w:type="dxa"/>
            <w:vAlign w:val="bottom"/>
          </w:tcPr>
          <w:p>
            <w:pPr>
              <w:spacing w:after="0"/>
              <w:rPr>
                <w:sz w:val="14"/>
                <w:szCs w:val="14"/>
                <w:color w:val="auto"/>
              </w:rPr>
            </w:pPr>
          </w:p>
        </w:tc>
        <w:tc>
          <w:tcPr>
            <w:tcW w:w="19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Collective Bargaining</w:t>
            </w:r>
          </w:p>
        </w:tc>
        <w:tc>
          <w:tcPr>
            <w:tcW w:w="0" w:type="dxa"/>
            <w:vAlign w:val="bottom"/>
          </w:tcPr>
          <w:p>
            <w:pPr>
              <w:spacing w:after="0"/>
              <w:rPr>
                <w:sz w:val="1"/>
                <w:szCs w:val="1"/>
                <w:color w:val="auto"/>
              </w:rPr>
            </w:pPr>
          </w:p>
        </w:tc>
      </w:tr>
      <w:tr>
        <w:trPr>
          <w:trHeight w:val="215"/>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Employees</w:t>
            </w:r>
          </w:p>
        </w:tc>
        <w:tc>
          <w:tcPr>
            <w:tcW w:w="140" w:type="dxa"/>
            <w:vAlign w:val="bottom"/>
          </w:tcPr>
          <w:p>
            <w:pPr>
              <w:spacing w:after="0"/>
              <w:rPr>
                <w:sz w:val="18"/>
                <w:szCs w:val="18"/>
                <w:color w:val="auto"/>
              </w:rPr>
            </w:pPr>
          </w:p>
        </w:tc>
        <w:tc>
          <w:tcPr>
            <w:tcW w:w="1960" w:type="dxa"/>
            <w:vAlign w:val="bottom"/>
          </w:tcPr>
          <w:p>
            <w:pPr>
              <w:jc w:val="center"/>
              <w:ind w:right="79"/>
              <w:spacing w:after="0"/>
              <w:rPr>
                <w:sz w:val="20"/>
                <w:szCs w:val="20"/>
                <w:color w:val="auto"/>
              </w:rPr>
            </w:pPr>
            <w:r>
              <w:rPr>
                <w:rFonts w:ascii="Arial" w:cs="Arial" w:eastAsia="Arial" w:hAnsi="Arial"/>
                <w:sz w:val="16"/>
                <w:szCs w:val="16"/>
                <w:b w:val="1"/>
                <w:bCs w:val="1"/>
                <w:color w:val="auto"/>
              </w:rPr>
              <w:t>Agreement</w:t>
            </w:r>
          </w:p>
        </w:tc>
        <w:tc>
          <w:tcPr>
            <w:tcW w:w="0" w:type="dxa"/>
            <w:vAlign w:val="bottom"/>
          </w:tcPr>
          <w:p>
            <w:pPr>
              <w:spacing w:after="0"/>
              <w:rPr>
                <w:sz w:val="1"/>
                <w:szCs w:val="1"/>
                <w:color w:val="auto"/>
              </w:rPr>
            </w:pPr>
          </w:p>
        </w:tc>
      </w:tr>
      <w:tr>
        <w:trPr>
          <w:trHeight w:val="217"/>
        </w:trPr>
        <w:tc>
          <w:tcPr>
            <w:tcW w:w="4720" w:type="dxa"/>
            <w:vAlign w:val="bottom"/>
            <w:tcBorders>
              <w:bottom w:val="single" w:sz="8" w:color="CCEEFF"/>
            </w:tcBorders>
          </w:tcPr>
          <w:p>
            <w:pPr>
              <w:ind w:left="3420"/>
              <w:spacing w:after="0"/>
              <w:rPr>
                <w:sz w:val="20"/>
                <w:szCs w:val="20"/>
                <w:color w:val="auto"/>
              </w:rPr>
            </w:pPr>
            <w:r>
              <w:rPr>
                <w:rFonts w:ascii="Arial" w:cs="Arial" w:eastAsia="Arial" w:hAnsi="Arial"/>
                <w:sz w:val="16"/>
                <w:szCs w:val="16"/>
                <w:b w:val="1"/>
                <w:bCs w:val="1"/>
                <w:color w:val="auto"/>
              </w:rPr>
              <w:t>Filing Plan No.</w:t>
            </w: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033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067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070</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Plan interest in Acuity DC Trust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513,578,312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15,917,756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20,360,749</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20"/>
              <w:spacing w:after="0"/>
              <w:rPr>
                <w:sz w:val="20"/>
                <w:szCs w:val="20"/>
                <w:color w:val="auto"/>
              </w:rPr>
            </w:pPr>
            <w:r>
              <w:rPr>
                <w:rFonts w:ascii="Arial" w:cs="Arial" w:eastAsia="Arial" w:hAnsi="Arial"/>
                <w:sz w:val="16"/>
                <w:szCs w:val="16"/>
                <w:color w:val="auto"/>
              </w:rPr>
              <w:t>Employer contributions</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879,507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4,885</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Participant contributions</w:t>
            </w:r>
          </w:p>
        </w:tc>
        <w:tc>
          <w:tcPr>
            <w:tcW w:w="1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1,349,385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8,922</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Total receivables</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2,228,892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17,767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13,807</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from participants</w:t>
            </w:r>
          </w:p>
        </w:tc>
        <w:tc>
          <w:tcPr>
            <w:tcW w:w="1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5,429,672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745,174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250,638</w:t>
            </w:r>
          </w:p>
        </w:tc>
        <w:tc>
          <w:tcPr>
            <w:tcW w:w="0" w:type="dxa"/>
            <w:vAlign w:val="bottom"/>
          </w:tcPr>
          <w:p>
            <w:pPr>
              <w:spacing w:after="0"/>
              <w:rPr>
                <w:sz w:val="1"/>
                <w:szCs w:val="1"/>
                <w:color w:val="auto"/>
              </w:rPr>
            </w:pPr>
          </w:p>
        </w:tc>
      </w:tr>
      <w:tr>
        <w:trPr>
          <w:trHeight w:val="209"/>
        </w:trPr>
        <w:tc>
          <w:tcPr>
            <w:tcW w:w="4720" w:type="dxa"/>
            <w:vAlign w:val="bottom"/>
          </w:tcPr>
          <w:p>
            <w:pPr>
              <w:ind w:left="60"/>
              <w:spacing w:after="0"/>
              <w:rPr>
                <w:sz w:val="20"/>
                <w:szCs w:val="20"/>
                <w:color w:val="auto"/>
              </w:rPr>
            </w:pPr>
            <w:r>
              <w:rPr>
                <w:rFonts w:ascii="Arial" w:cs="Arial" w:eastAsia="Arial" w:hAnsi="Arial"/>
                <w:sz w:val="16"/>
                <w:szCs w:val="16"/>
                <w:color w:val="auto"/>
              </w:rPr>
              <w:t>Total assets</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521,236,876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16,680,697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20,625,194</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expenses</w:t>
            </w: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3,538</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Net assets available for benefits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521,147,475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16,677,836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20,621,656</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Acuity Inc. Selected 401(k) Plans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 Ended December 31, 2025</w:t>
      </w: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ind w:right="39"/>
              <w:spacing w:after="0"/>
              <w:rPr>
                <w:sz w:val="20"/>
                <w:szCs w:val="20"/>
                <w:color w:val="auto"/>
              </w:rPr>
            </w:pPr>
            <w:r>
              <w:rPr>
                <w:rFonts w:ascii="Arial" w:cs="Arial" w:eastAsia="Arial" w:hAnsi="Arial"/>
                <w:sz w:val="16"/>
                <w:szCs w:val="16"/>
                <w:b w:val="1"/>
                <w:bCs w:val="1"/>
                <w:color w:val="auto"/>
              </w:rPr>
              <w:t>Holophane Division of</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Acuity Brands Lighting</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Acuity Brands Lighting,</w:t>
            </w:r>
          </w:p>
        </w:tc>
        <w:tc>
          <w:tcPr>
            <w:tcW w:w="120" w:type="dxa"/>
            <w:vAlign w:val="bottom"/>
          </w:tcPr>
          <w:p>
            <w:pPr>
              <w:spacing w:after="0"/>
              <w:rPr>
                <w:sz w:val="14"/>
                <w:szCs w:val="14"/>
                <w:color w:val="auto"/>
              </w:rPr>
            </w:pPr>
          </w:p>
        </w:tc>
        <w:tc>
          <w:tcPr>
            <w:tcW w:w="20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401(k) Plan for Hourly</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Employees Covered by a</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Acuity Inc. 401(k) Plan</w:t>
            </w:r>
          </w:p>
        </w:tc>
        <w:tc>
          <w:tcPr>
            <w:tcW w:w="228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Inc. 401(k) Plan for Hourly</w:t>
            </w:r>
          </w:p>
        </w:tc>
        <w:tc>
          <w:tcPr>
            <w:tcW w:w="120" w:type="dxa"/>
            <w:vAlign w:val="bottom"/>
          </w:tcPr>
          <w:p>
            <w:pPr>
              <w:spacing w:after="0"/>
              <w:rPr>
                <w:sz w:val="14"/>
                <w:szCs w:val="14"/>
                <w:color w:val="auto"/>
              </w:rPr>
            </w:pPr>
          </w:p>
        </w:tc>
        <w:tc>
          <w:tcPr>
            <w:tcW w:w="20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Collective Bargaining</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Employees</w:t>
            </w:r>
          </w:p>
        </w:tc>
        <w:tc>
          <w:tcPr>
            <w:tcW w:w="120" w:type="dxa"/>
            <w:vAlign w:val="bottom"/>
          </w:tcPr>
          <w:p>
            <w:pPr>
              <w:spacing w:after="0"/>
              <w:rPr>
                <w:sz w:val="18"/>
                <w:szCs w:val="18"/>
                <w:color w:val="auto"/>
              </w:rPr>
            </w:pPr>
          </w:p>
        </w:tc>
        <w:tc>
          <w:tcPr>
            <w:tcW w:w="2040" w:type="dxa"/>
            <w:vAlign w:val="bottom"/>
          </w:tcPr>
          <w:p>
            <w:pPr>
              <w:jc w:val="center"/>
              <w:ind w:right="39"/>
              <w:spacing w:after="0"/>
              <w:rPr>
                <w:sz w:val="20"/>
                <w:szCs w:val="20"/>
                <w:color w:val="auto"/>
              </w:rPr>
            </w:pPr>
            <w:r>
              <w:rPr>
                <w:rFonts w:ascii="Arial" w:cs="Arial" w:eastAsia="Arial" w:hAnsi="Arial"/>
                <w:sz w:val="16"/>
                <w:szCs w:val="16"/>
                <w:b w:val="1"/>
                <w:bCs w:val="1"/>
                <w:color w:val="auto"/>
              </w:rPr>
              <w:t>Agreement</w:t>
            </w:r>
          </w:p>
        </w:tc>
        <w:tc>
          <w:tcPr>
            <w:tcW w:w="0" w:type="dxa"/>
            <w:vAlign w:val="bottom"/>
          </w:tcPr>
          <w:p>
            <w:pPr>
              <w:spacing w:after="0"/>
              <w:rPr>
                <w:sz w:val="1"/>
                <w:szCs w:val="1"/>
                <w:color w:val="auto"/>
              </w:rPr>
            </w:pPr>
          </w:p>
        </w:tc>
      </w:tr>
      <w:tr>
        <w:trPr>
          <w:trHeight w:val="217"/>
        </w:trPr>
        <w:tc>
          <w:tcPr>
            <w:tcW w:w="3180" w:type="dxa"/>
            <w:vAlign w:val="bottom"/>
          </w:tcPr>
          <w:p>
            <w:pPr>
              <w:spacing w:after="0"/>
              <w:rPr>
                <w:sz w:val="18"/>
                <w:szCs w:val="18"/>
                <w:color w:val="auto"/>
              </w:rPr>
            </w:pPr>
          </w:p>
        </w:tc>
        <w:tc>
          <w:tcPr>
            <w:tcW w:w="14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Filing Plan No.</w:t>
            </w:r>
          </w:p>
        </w:tc>
        <w:tc>
          <w:tcPr>
            <w:tcW w:w="2000" w:type="dxa"/>
            <w:vAlign w:val="bottom"/>
          </w:tcPr>
          <w:p>
            <w:pPr>
              <w:jc w:val="right"/>
              <w:ind w:right="859"/>
              <w:spacing w:after="0"/>
              <w:rPr>
                <w:sz w:val="20"/>
                <w:szCs w:val="20"/>
                <w:color w:val="auto"/>
              </w:rPr>
            </w:pPr>
            <w:r>
              <w:rPr>
                <w:rFonts w:ascii="Arial" w:cs="Arial" w:eastAsia="Arial" w:hAnsi="Arial"/>
                <w:sz w:val="16"/>
                <w:szCs w:val="16"/>
                <w:b w:val="1"/>
                <w:bCs w:val="1"/>
                <w:color w:val="auto"/>
              </w:rPr>
              <w:t>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9"/>
              <w:spacing w:after="0"/>
              <w:rPr>
                <w:sz w:val="20"/>
                <w:szCs w:val="20"/>
                <w:color w:val="auto"/>
              </w:rPr>
            </w:pPr>
            <w:r>
              <w:rPr>
                <w:rFonts w:ascii="Arial" w:cs="Arial" w:eastAsia="Arial" w:hAnsi="Arial"/>
                <w:sz w:val="16"/>
                <w:szCs w:val="16"/>
                <w:b w:val="1"/>
                <w:bCs w:val="1"/>
                <w:color w:val="auto"/>
              </w:rPr>
              <w:t>067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ind w:right="39"/>
              <w:spacing w:after="0"/>
              <w:rPr>
                <w:sz w:val="20"/>
                <w:szCs w:val="20"/>
                <w:color w:val="auto"/>
              </w:rPr>
            </w:pPr>
            <w:r>
              <w:rPr>
                <w:rFonts w:ascii="Arial" w:cs="Arial" w:eastAsia="Arial" w:hAnsi="Arial"/>
                <w:sz w:val="16"/>
                <w:szCs w:val="16"/>
                <w:b w:val="1"/>
                <w:bCs w:val="1"/>
                <w:color w:val="auto"/>
              </w:rPr>
              <w:t>070</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Additions to net assets:</w:t>
            </w:r>
          </w:p>
        </w:tc>
        <w:tc>
          <w:tcPr>
            <w:tcW w:w="1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80" w:type="dxa"/>
            <w:vAlign w:val="bottom"/>
          </w:tcPr>
          <w:p>
            <w:pPr>
              <w:ind w:left="120"/>
              <w:spacing w:after="0"/>
              <w:rPr>
                <w:sz w:val="20"/>
                <w:szCs w:val="20"/>
                <w:color w:val="auto"/>
              </w:rPr>
            </w:pPr>
            <w:r>
              <w:rPr>
                <w:rFonts w:ascii="Arial" w:cs="Arial" w:eastAsia="Arial" w:hAnsi="Arial"/>
                <w:sz w:val="16"/>
                <w:szCs w:val="16"/>
                <w:color w:val="auto"/>
              </w:rPr>
              <w:t>Net investment gain from Acuity DC Trust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80,711,896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2,455,484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2,321,155</w:t>
            </w: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income on notes receivable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23,068</w:t>
            </w:r>
          </w:p>
        </w:tc>
        <w:tc>
          <w:tcPr>
            <w:tcW w:w="0" w:type="dxa"/>
            <w:vAlign w:val="bottom"/>
          </w:tcPr>
          <w:p>
            <w:pPr>
              <w:spacing w:after="0"/>
              <w:rPr>
                <w:sz w:val="1"/>
                <w:szCs w:val="1"/>
                <w:color w:val="auto"/>
              </w:rPr>
            </w:pPr>
          </w:p>
        </w:tc>
      </w:tr>
      <w:tr>
        <w:trPr>
          <w:trHeight w:val="215"/>
        </w:trPr>
        <w:tc>
          <w:tcPr>
            <w:tcW w:w="3180" w:type="dxa"/>
            <w:vAlign w:val="bottom"/>
          </w:tcPr>
          <w:p>
            <w:pPr>
              <w:ind w:left="120"/>
              <w:spacing w:after="0"/>
              <w:rPr>
                <w:sz w:val="20"/>
                <w:szCs w:val="20"/>
                <w:color w:val="auto"/>
              </w:rPr>
            </w:pPr>
            <w:r>
              <w:rPr>
                <w:rFonts w:ascii="Arial" w:cs="Arial" w:eastAsia="Arial" w:hAnsi="Arial"/>
                <w:sz w:val="16"/>
                <w:szCs w:val="16"/>
                <w:color w:val="auto"/>
              </w:rPr>
              <w:t>Contributions: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Participant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26,811,441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963,045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504,917</w:t>
            </w:r>
          </w:p>
        </w:tc>
        <w:tc>
          <w:tcPr>
            <w:tcW w:w="0" w:type="dxa"/>
            <w:vAlign w:val="bottom"/>
          </w:tcPr>
          <w:p>
            <w:pPr>
              <w:spacing w:after="0"/>
              <w:rPr>
                <w:sz w:val="1"/>
                <w:szCs w:val="1"/>
                <w:color w:val="auto"/>
              </w:rPr>
            </w:pPr>
          </w:p>
        </w:tc>
      </w:tr>
      <w:tr>
        <w:trPr>
          <w:trHeight w:val="215"/>
        </w:trPr>
        <w:tc>
          <w:tcPr>
            <w:tcW w:w="3180" w:type="dxa"/>
            <w:vAlign w:val="bottom"/>
          </w:tcPr>
          <w:p>
            <w:pPr>
              <w:ind w:left="220"/>
              <w:spacing w:after="0"/>
              <w:rPr>
                <w:sz w:val="20"/>
                <w:szCs w:val="20"/>
                <w:color w:val="auto"/>
              </w:rPr>
            </w:pPr>
            <w:r>
              <w:rPr>
                <w:rFonts w:ascii="Arial" w:cs="Arial" w:eastAsia="Arial" w:hAnsi="Arial"/>
                <w:sz w:val="16"/>
                <w:szCs w:val="16"/>
                <w:color w:val="auto"/>
              </w:rPr>
              <w:t>Employer</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10,086,636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244,923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263,925</w:t>
            </w: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Rollover</w:t>
            </w:r>
          </w:p>
        </w:tc>
        <w:tc>
          <w:tcPr>
            <w:tcW w:w="1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2,827,869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56,580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additions</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120,938,837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3,785,479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3,113,065</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Deductions from net assets:</w:t>
            </w: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80" w:type="dxa"/>
            <w:vAlign w:val="bottom"/>
          </w:tcPr>
          <w:p>
            <w:pPr>
              <w:ind w:left="120"/>
              <w:spacing w:after="0"/>
              <w:rPr>
                <w:sz w:val="20"/>
                <w:szCs w:val="20"/>
                <w:color w:val="auto"/>
              </w:rPr>
            </w:pPr>
            <w:r>
              <w:rPr>
                <w:rFonts w:ascii="Arial" w:cs="Arial" w:eastAsia="Arial" w:hAnsi="Arial"/>
                <w:sz w:val="16"/>
                <w:szCs w:val="16"/>
                <w:color w:val="auto"/>
              </w:rPr>
              <w:t>Benefit payments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85,567,192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2,414,091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1,541,166</w:t>
            </w: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Expenses</w:t>
            </w:r>
          </w:p>
        </w:tc>
        <w:tc>
          <w:tcPr>
            <w:tcW w:w="1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312,653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10,174</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deductions</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85,879,845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2,448,644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1,551,340</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before transfers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35,058,992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1,336,835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1,561,725</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Transfers: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Conversion from other qualified plans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115,651,010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7,208,446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Plan transfers in (out), net</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(37,318)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conversions and transfers</w:t>
            </w:r>
          </w:p>
        </w:tc>
        <w:tc>
          <w:tcPr>
            <w:tcW w:w="1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115,688,328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7,171,128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Arial" w:cs="Arial" w:eastAsia="Arial" w:hAnsi="Arial"/>
                <w:sz w:val="16"/>
                <w:szCs w:val="16"/>
                <w:color w:val="auto"/>
              </w:rPr>
              <w:t>Net increase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150,747,320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8,507,963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1,561,725</w:t>
            </w: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Beginning of year</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521,147,475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16,677,836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20,621,656</w:t>
            </w:r>
          </w:p>
        </w:tc>
        <w:tc>
          <w:tcPr>
            <w:tcW w:w="0" w:type="dxa"/>
            <w:vAlign w:val="bottom"/>
          </w:tcPr>
          <w:p>
            <w:pPr>
              <w:spacing w:after="0"/>
              <w:rPr>
                <w:sz w:val="1"/>
                <w:szCs w:val="1"/>
                <w:color w:val="auto"/>
              </w:rPr>
            </w:pPr>
          </w:p>
        </w:tc>
      </w:tr>
      <w:tr>
        <w:trPr>
          <w:trHeight w:val="235"/>
        </w:trPr>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End of year</w:t>
            </w:r>
          </w:p>
        </w:tc>
        <w:tc>
          <w:tcPr>
            <w:tcW w:w="1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671,894,795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25,185,799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22,183,381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 Selected 401(k) Plans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the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positions and changes in net assets of the Acuity Inc. 401(k) Plan (the "AYI Plan"), the Acuity Brands Lighting, Inc. 401(k) Plan for Hourly Employees (the "ABL Plan"), and the Holophane Division of Acuity Brands Lighting 401(k) Plan for Hourly Employees Covered by a Collective Bargaining Agreement (the "Holophane Plan") (collectively, the "Plans") are included in the accompanying financial statements. The investment assets of the Plans are included in the Acuity Inc. Defined Contribution Plans Master Trust (the "Acuity DC Trust"). The Plans are subject to the provisions of the Employee Retirement Income Security Act of 1974, as amended ("ERISA").</w:t>
      </w:r>
    </w:p>
    <w:p>
      <w:pPr>
        <w:spacing w:after="0" w:line="8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Refer to the respective plan agreement for additional information about the Plans' eligibility, funding, allocation, vesting, and benefit provisions</w:t>
      </w:r>
      <w:r>
        <w:rPr>
          <w:rFonts w:ascii="Arial" w:cs="Arial" w:eastAsia="Arial" w:hAnsi="Arial"/>
          <w:sz w:val="18"/>
          <w:szCs w:val="18"/>
          <w:b w:val="1"/>
          <w:bCs w:val="1"/>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and Forfeitures</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Each of the Plans is a defined contribution plan. The Plans cover substantially all U.S. salaried, commissioned, and union and non-union hourly employees of Acuity Inc. and its subsidiaries ("Acuity," "we," "our," "us," or the "Company"). Employees may immediately participate upon attaining the age requirement of each respective plan.</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Plans provide that forfeitures of Company contributions may be used to pay plan administrative expenses or reduce future Company contributions. Forfeited nonvested accounts totaled $291,500 and $386,131 at December 31, 2025 and 2024, respectively. Employer contributions were reduced by forfeited nonvested accounts of $786,875 for the year ended December 31, 2025. No plan expenses were paid using forfeited nonvested accounts during the year ended December 31, 2025.</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event of the cessation of operation of a plant or the discontinuance of a component of our business, plan participants identified for separation from the Company shall automatically become fully vested in employer contributions upon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Administration of the Plans is the responsibility of our Investment Committee, members of which are designated by the President and Chief Executive Officer of the Company. Certain administrative expenses of the Plans were paid by the Company during the year ended December 31, 2025. The Investment Committee determines the appropriateness of the Plans' investment offerings and monitors investment performance.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Participant loans are reflected as notes receivable from participants on the </w:t>
      </w:r>
      <w:r>
        <w:rPr>
          <w:rFonts w:ascii="Arial" w:cs="Arial" w:eastAsia="Arial" w:hAnsi="Arial"/>
          <w:sz w:val="18"/>
          <w:szCs w:val="18"/>
          <w:i w:val="1"/>
          <w:iCs w:val="1"/>
          <w:color w:val="auto"/>
        </w:rPr>
        <w:t>Statements of Net Assets Available for Benefits</w:t>
      </w:r>
      <w:r>
        <w:rPr>
          <w:rFonts w:ascii="Arial" w:cs="Arial" w:eastAsia="Arial" w:hAnsi="Arial"/>
          <w:sz w:val="18"/>
          <w:szCs w:val="18"/>
          <w:color w:val="auto"/>
        </w:rPr>
        <w:t>. Participants may borrow the lesser of 50% of their vested balance or $50,000 (reduced by the participant's highest outstanding loan balance from the twelve months prior to the loan request). Participants agree to loan repayment terms upon endorsement of the borrowed funds. Participants within the AYI Plan and the ABL Plan may have up to two outstanding general-purpose loans during a calendar year. Participants within the Holophane Plan may have outstanding one general-purpose loan and one residential loan issued for the purchase of a primary residence during a calendar year. The loan interest rate is a fixed rate at the time the loan is taken out. The interest rate is set at one percent above the prime rate, as defined per the plan.</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Loan repayments must be substantially equal in amount over the term of the loan and must be made by payroll deduction on an after-tax basis. General-purpose loans must be repaid within five years, and residential loans must be repaid within ten years.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Loan repayments may be suspended at our discretion for a period of not more than twelve months if a participant is on unpaid leave of absence, disability, or military service. Upon return, the loan will be amortized over the remaining initial loan repayment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 Selected 401(k) Plans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Termination</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we intend for the Plans to be permanent, the Plan agreements provide us the right to discontinue contributions or to terminate the Plans at any time subject to the provisions of ERISA. In the event of a plan termination, participants shall be 100% vested in the balance of their accounts and their proportionate share of any future adjustments or forfeitures.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Parties-In-Interest and Related-Party Transactions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As of December 31, 2025 and 2024, the percentage of the Plans' net assets invested in the Acuity stock fund was approximately 2.0% and 2.1%, respectively. As described in </w:t>
      </w:r>
      <w:r>
        <w:rPr>
          <w:rFonts w:ascii="Arial" w:cs="Arial" w:eastAsia="Arial" w:hAnsi="Arial"/>
          <w:sz w:val="18"/>
          <w:szCs w:val="18"/>
          <w:i w:val="1"/>
          <w:iCs w:val="1"/>
          <w:color w:val="auto"/>
        </w:rPr>
        <w:t>Note 2 — Summary of Accounting Policies</w:t>
      </w:r>
      <w:r>
        <w:rPr>
          <w:rFonts w:ascii="Arial" w:cs="Arial" w:eastAsia="Arial" w:hAnsi="Arial"/>
          <w:sz w:val="18"/>
          <w:szCs w:val="18"/>
          <w:color w:val="auto"/>
        </w:rPr>
        <w:t xml:space="preserve"> of the </w:t>
      </w:r>
      <w:r>
        <w:rPr>
          <w:rFonts w:ascii="Arial" w:cs="Arial" w:eastAsia="Arial" w:hAnsi="Arial"/>
          <w:sz w:val="18"/>
          <w:szCs w:val="18"/>
          <w:i w:val="1"/>
          <w:iCs w:val="1"/>
          <w:color w:val="auto"/>
        </w:rPr>
        <w:t>Notes to Financial Statements</w:t>
      </w:r>
      <w:r>
        <w:rPr>
          <w:rFonts w:ascii="Arial" w:cs="Arial" w:eastAsia="Arial" w:hAnsi="Arial"/>
          <w:sz w:val="18"/>
          <w:szCs w:val="18"/>
          <w:color w:val="auto"/>
        </w:rPr>
        <w:t>, the Plans paid certain expenses related to plan operations and investment activity to various service providers. The Plans also have outstanding notes receivable from participants. These transactions are party-in-interest transactions under ERISA.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Participants are vested immediately in their contributions and the related earnings. Participants in the AYI Plan and the ABL Plan vest in employer contributions to their accounts ratably over a five-year service period. Participants in the Holophane Plan vest in our contributions to their accounts immediately upon the third anniversary of their hire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of Benefits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termination of service due to death, disability, or retirement, participants may elect to receive either a lump sum amount equal to the value of the vested interest in their accounts or annual installments over a ten-year period. For termination of service for other reasons, participants may receive the value of the vested interest in their accounts as a lump-sum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participant’s account is credited with the participant’s contributions and our matching contributions, as well as the applicable portion of net earnings/losses generated by the investment fund(s) selected by the participant. Net earnings/losses for each investment fund consist of both realized and unrealized gross earnings/losses, which are adjusted to incorporate fund management expenses specific to each investment fund. Additionally, participants are charged a quarterly administrative recordkeeping fee. We directly pay certain expenses of maintaining the Plans, which are excluded from these financial statements. Fees related to the administration of notes receivable from participants are charged directly to the participant's account. Participants are entitled to the benefits that can be provided from their vested accounts.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basis for determining Company contributions is outlined in the following table:</w:t>
      </w:r>
    </w:p>
    <w:p>
      <w:pPr>
        <w:sectPr>
          <w:pgSz w:w="11900" w:h="16838" w:orient="portrait"/>
          <w:cols w:equalWidth="0" w:num="1">
            <w:col w:w="11240"/>
          </w:cols>
          <w:pgMar w:left="320" w:top="121"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Plan Name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AYI Plan</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ABL Plan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Holophane Plan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20955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0"/>
          <w:szCs w:val="20"/>
          <w:color w:val="auto"/>
        </w:rPr>
      </w:pPr>
    </w:p>
    <w:p>
      <w:pPr>
        <w:ind w:right="580"/>
        <w:spacing w:after="0" w:line="301" w:lineRule="auto"/>
        <w:rPr>
          <w:sz w:val="20"/>
          <w:szCs w:val="20"/>
          <w:color w:val="auto"/>
        </w:rPr>
      </w:pPr>
      <w:r>
        <w:rPr>
          <w:rFonts w:ascii="Arial" w:cs="Arial" w:eastAsia="Arial" w:hAnsi="Arial"/>
          <w:sz w:val="14"/>
          <w:szCs w:val="14"/>
          <w:color w:val="auto"/>
        </w:rPr>
        <w:t>Matching contribution of 60% up to 6% of participant compensation contributed. New hires are automatically enrolled at 3% contribution to the plan.</w:t>
      </w:r>
    </w:p>
    <w:p>
      <w:pPr>
        <w:spacing w:after="0" w:line="1" w:lineRule="exact"/>
        <w:rPr>
          <w:sz w:val="20"/>
          <w:szCs w:val="20"/>
          <w:color w:val="auto"/>
        </w:rPr>
      </w:pPr>
    </w:p>
    <w:p>
      <w:pPr>
        <w:ind w:right="460"/>
        <w:spacing w:after="0" w:line="301" w:lineRule="auto"/>
        <w:rPr>
          <w:sz w:val="20"/>
          <w:szCs w:val="20"/>
          <w:color w:val="auto"/>
        </w:rPr>
      </w:pPr>
      <w:r>
        <w:rPr>
          <w:rFonts w:ascii="Arial" w:cs="Arial" w:eastAsia="Arial" w:hAnsi="Arial"/>
          <w:sz w:val="14"/>
          <w:szCs w:val="14"/>
          <w:color w:val="auto"/>
        </w:rPr>
        <w:t>Teamsters Local Union 673, IBEW Local 953, and non-union hourly associates have a matching contribution of 60% up to 6% of participant compensation contributed.</w:t>
      </w:r>
    </w:p>
    <w:p>
      <w:pPr>
        <w:spacing w:after="0" w:line="1" w:lineRule="exact"/>
        <w:rPr>
          <w:sz w:val="20"/>
          <w:szCs w:val="20"/>
          <w:color w:val="auto"/>
        </w:rPr>
      </w:pPr>
    </w:p>
    <w:p>
      <w:pPr>
        <w:ind w:right="340"/>
        <w:spacing w:after="0" w:line="301" w:lineRule="auto"/>
        <w:rPr>
          <w:sz w:val="20"/>
          <w:szCs w:val="20"/>
          <w:color w:val="auto"/>
        </w:rPr>
      </w:pPr>
      <w:r>
        <w:rPr>
          <w:rFonts w:ascii="Arial" w:cs="Arial" w:eastAsia="Arial" w:hAnsi="Arial"/>
          <w:sz w:val="14"/>
          <w:szCs w:val="14"/>
          <w:color w:val="auto"/>
        </w:rPr>
        <w:t>IBEW Local 613, IBEW Local 1048, IBEW Local 1710, and Teamsters Local Union 728 associates participating in the plan do not receive a matching contribution.</w:t>
      </w:r>
    </w:p>
    <w:p>
      <w:pPr>
        <w:spacing w:after="0" w:line="1"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USW Local Nos. 4, 105, and 525 - Participating associates hired prior to August 5, 2002 receive an employer matching contribution of 30% up to 6% of compensation contributed, plus an additional basic employer contribution of 5% of annual compensation. Participating associates hired on or after August 5, 2002 receive an employer matching contribution of 60% up to 6% of compensation contributed.</w:t>
      </w:r>
    </w:p>
    <w:p>
      <w:pPr>
        <w:spacing w:after="0" w:line="200" w:lineRule="exact"/>
        <w:rPr>
          <w:sz w:val="20"/>
          <w:szCs w:val="20"/>
          <w:color w:val="auto"/>
        </w:rPr>
      </w:pPr>
    </w:p>
    <w:p>
      <w:pPr>
        <w:sectPr>
          <w:pgSz w:w="11900" w:h="16838" w:orient="portrait"/>
          <w:cols w:equalWidth="0" w:num="2">
            <w:col w:w="3960" w:space="720"/>
            <w:col w:w="6560"/>
          </w:cols>
          <w:pgMar w:left="320" w:top="121" w:right="339" w:bottom="1440" w:gutter="0" w:footer="0" w:header="0"/>
          <w:type w:val="continuous"/>
        </w:sectPr>
      </w:pPr>
    </w:p>
    <w:p>
      <w:pPr>
        <w:spacing w:after="0" w:line="287" w:lineRule="auto"/>
        <w:rPr>
          <w:sz w:val="20"/>
          <w:szCs w:val="20"/>
          <w:color w:val="auto"/>
        </w:rPr>
      </w:pPr>
      <w:r>
        <w:rPr>
          <w:rFonts w:ascii="Arial" w:cs="Arial" w:eastAsia="Arial" w:hAnsi="Arial"/>
          <w:sz w:val="18"/>
          <w:szCs w:val="18"/>
          <w:color w:val="auto"/>
        </w:rPr>
        <w:t>Under all of the Plans, participants are able to contribute up to 100% of their compensation. Participants direct the investment of their contributions into various investment options offered by the Plans. Additionally, participants who</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 Selected 401(k) Plans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have attained age 50 before the end of the Plan year are eligible to make catch-up contributions. Participants may also contribute amounts representing distributions from other qualified plans. Participants may make traditional or Roth contributions in the Plans. Contributions are subject to certain Internal Revenue Service ("IRS") limitations.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Amendments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Effective December 29, 2025 , the Plans were amended and restated primarily to change the employer’s legal name from Acuity Brands, Inc. to Acuity Inc and to merge the QSC, LLC 401(k) Retirement Savings Plan (the "QSC Plan") into the Plans. Refer to </w:t>
      </w:r>
      <w:r>
        <w:rPr>
          <w:rFonts w:ascii="Arial" w:cs="Arial" w:eastAsia="Arial" w:hAnsi="Arial"/>
          <w:sz w:val="18"/>
          <w:szCs w:val="18"/>
          <w:i w:val="1"/>
          <w:iCs w:val="1"/>
          <w:color w:val="auto"/>
        </w:rPr>
        <w:t>Note 9 — Acquisitions</w:t>
      </w:r>
      <w:r>
        <w:rPr>
          <w:rFonts w:ascii="Arial" w:cs="Arial" w:eastAsia="Arial" w:hAnsi="Arial"/>
          <w:sz w:val="18"/>
          <w:szCs w:val="18"/>
          <w:color w:val="auto"/>
        </w:rPr>
        <w:t xml:space="preserve"> of the </w:t>
      </w:r>
      <w:r>
        <w:rPr>
          <w:rFonts w:ascii="Arial" w:cs="Arial" w:eastAsia="Arial" w:hAnsi="Arial"/>
          <w:sz w:val="18"/>
          <w:szCs w:val="18"/>
          <w:i w:val="1"/>
          <w:iCs w:val="1"/>
          <w:color w:val="auto"/>
        </w:rPr>
        <w:t>Notes to the Financial Statements</w:t>
      </w:r>
      <w:r>
        <w:rPr>
          <w:rFonts w:ascii="Arial" w:cs="Arial" w:eastAsia="Arial" w:hAnsi="Arial"/>
          <w:sz w:val="18"/>
          <w:szCs w:val="18"/>
          <w:color w:val="auto"/>
        </w:rPr>
        <w:t xml:space="preserve"> for further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accompanying financial statements are prepared on the accrual method of accounting in accordance with accounting principles generally accepted in the United States of America ("U.S.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4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investments in the Acuity DC Trust are subject to certain administrative guidelines and limitations as to the type and amount of securities held. Fund assets are allocated to selected independent investment managers to invest under these guidelines.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Certain investments of the Acuity DC Trust are stated at fair value. Fair value is defined as the price that would be received to sell an asset or paid to transfer a liability in an orderly transaction between market participants at the measurement date (an exit price). Stable value funds are listed at contract value, which is defined as the amount participants would receive if they were to initiate transactions under the terms of the ongoing plan. Refer to </w:t>
      </w:r>
      <w:r>
        <w:rPr>
          <w:rFonts w:ascii="Arial" w:cs="Arial" w:eastAsia="Arial" w:hAnsi="Arial"/>
          <w:sz w:val="18"/>
          <w:szCs w:val="18"/>
          <w:i w:val="1"/>
          <w:iCs w:val="1"/>
          <w:color w:val="auto"/>
        </w:rPr>
        <w:t>Note 3 — Acuity DC Trust</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5 — Fair Value Measurements</w:t>
      </w:r>
      <w:r>
        <w:rPr>
          <w:rFonts w:ascii="Arial" w:cs="Arial" w:eastAsia="Arial" w:hAnsi="Arial"/>
          <w:sz w:val="18"/>
          <w:szCs w:val="18"/>
          <w:color w:val="auto"/>
        </w:rPr>
        <w:t xml:space="preserve"> of the </w:t>
      </w:r>
      <w:r>
        <w:rPr>
          <w:rFonts w:ascii="Arial" w:cs="Arial" w:eastAsia="Arial" w:hAnsi="Arial"/>
          <w:sz w:val="18"/>
          <w:szCs w:val="18"/>
          <w:i w:val="1"/>
          <w:iCs w:val="1"/>
          <w:color w:val="auto"/>
        </w:rPr>
        <w:t>Notes to the Financial Statements</w:t>
      </w:r>
      <w:r>
        <w:rPr>
          <w:rFonts w:ascii="Arial" w:cs="Arial" w:eastAsia="Arial" w:hAnsi="Arial"/>
          <w:sz w:val="18"/>
          <w:szCs w:val="18"/>
          <w:color w:val="auto"/>
        </w:rPr>
        <w:t xml:space="preserve"> for further discussion.</w:t>
      </w:r>
    </w:p>
    <w:p>
      <w:pPr>
        <w:spacing w:after="0" w:line="8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Purchases and sales of securities are recorded on a trade-date basis. Interest income is recorded on the accrual basis. Dividends are recorded on the dividend date. </w:t>
      </w:r>
      <w:r>
        <w:rPr>
          <w:rFonts w:ascii="Arial" w:cs="Arial" w:eastAsia="Arial" w:hAnsi="Arial"/>
          <w:sz w:val="18"/>
          <w:szCs w:val="18"/>
          <w:i w:val="1"/>
          <w:iCs w:val="1"/>
          <w:color w:val="auto"/>
        </w:rPr>
        <w:t>Net investment gain from Acuity DC Trust</w:t>
      </w:r>
      <w:r>
        <w:rPr>
          <w:rFonts w:ascii="Arial" w:cs="Arial" w:eastAsia="Arial" w:hAnsi="Arial"/>
          <w:sz w:val="18"/>
          <w:szCs w:val="18"/>
          <w:color w:val="auto"/>
        </w:rPr>
        <w:t xml:space="preserve"> includes the Plans' gains and losses on investments bought and sold as well as held during the year.</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Acuity DC Trust holds investments in the Invesco Stable Value Fund, which holds synthetic guaranteed investment contracts ("synthetic GICs") and a diversified portfolio of investments, including units of collective trust funds held in the name of the Acuity DC Trust. Refer to </w:t>
      </w:r>
      <w:r>
        <w:rPr>
          <w:rFonts w:ascii="Arial" w:cs="Arial" w:eastAsia="Arial" w:hAnsi="Arial"/>
          <w:sz w:val="18"/>
          <w:szCs w:val="18"/>
          <w:i w:val="1"/>
          <w:iCs w:val="1"/>
          <w:color w:val="auto"/>
        </w:rPr>
        <w:t xml:space="preserve">Note 4 — Stable Value Investments </w:t>
      </w:r>
      <w:r>
        <w:rPr>
          <w:rFonts w:ascii="Arial" w:cs="Arial" w:eastAsia="Arial" w:hAnsi="Arial"/>
          <w:sz w:val="18"/>
          <w:szCs w:val="18"/>
          <w:color w:val="auto"/>
        </w:rPr>
        <w:t>of the</w:t>
      </w:r>
      <w:r>
        <w:rPr>
          <w:rFonts w:ascii="Arial" w:cs="Arial" w:eastAsia="Arial" w:hAnsi="Arial"/>
          <w:sz w:val="18"/>
          <w:szCs w:val="18"/>
          <w:i w:val="1"/>
          <w:iCs w:val="1"/>
          <w:color w:val="auto"/>
        </w:rPr>
        <w:t xml:space="preserve"> Notes to the Financial Statements </w:t>
      </w:r>
      <w:r>
        <w:rPr>
          <w:rFonts w:ascii="Arial" w:cs="Arial" w:eastAsia="Arial" w:hAnsi="Arial"/>
          <w:sz w:val="18"/>
          <w:szCs w:val="18"/>
          <w:color w:val="auto"/>
        </w:rPr>
        <w:t>for further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notes receivable from participants represent participant loans, which are carried at principal amounts outstanding plus accrued but unpaid interest. Interest income and fees recognized as administrative expense are recorded on the accrual basis. No allowance for credit losses has been recorded as of December 31, 2025 and 2024. If a participant ceases to make loan repayments and the Plan Administrator deems the participant loan to be in default, the participant loan balance is reduced, and a benefit payment is recorded.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reported amounts of assets and liabilities and changes therein and disclosure of contingent assets and liabilities. Actual results could differ from those estimates.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 Selected 401(k) Plans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4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Contributions to the Plans from participants, and when applicable, from the Company are recorded in the period that payroll deductions are made from Plan participants.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 are recorded when paid.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Investment-related expenses are included within </w:t>
      </w:r>
      <w:r>
        <w:rPr>
          <w:rFonts w:ascii="Arial" w:cs="Arial" w:eastAsia="Arial" w:hAnsi="Arial"/>
          <w:sz w:val="18"/>
          <w:szCs w:val="18"/>
          <w:i w:val="1"/>
          <w:iCs w:val="1"/>
          <w:color w:val="auto"/>
        </w:rPr>
        <w:t>Net investment gain from Acuity DC Trust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Statements of Changes in Net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Available for Benefits</w:t>
      </w:r>
      <w:r>
        <w:rPr>
          <w:rFonts w:ascii="Arial" w:cs="Arial" w:eastAsia="Arial" w:hAnsi="Arial"/>
          <w:sz w:val="18"/>
          <w:szCs w:val="18"/>
          <w:color w:val="auto"/>
        </w:rPr>
        <w:t>. Additionally, participants are charged a quarterly administrative recordkeeping fee, which is included within</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 xml:space="preserve">on the </w:t>
      </w:r>
      <w:r>
        <w:rPr>
          <w:rFonts w:ascii="Arial" w:cs="Arial" w:eastAsia="Arial" w:hAnsi="Arial"/>
          <w:sz w:val="18"/>
          <w:szCs w:val="18"/>
          <w:i w:val="1"/>
          <w:iCs w:val="1"/>
          <w:color w:val="auto"/>
        </w:rPr>
        <w:t>Statements of Changes in Net Assets Available for Benefits</w:t>
      </w:r>
      <w:r>
        <w:rPr>
          <w:rFonts w:ascii="Arial" w:cs="Arial" w:eastAsia="Arial" w:hAnsi="Arial"/>
          <w:sz w:val="18"/>
          <w:szCs w:val="18"/>
          <w:color w:val="auto"/>
        </w:rPr>
        <w:t>. Certain investment funds provide for a revenue sharing arrangement with the Plans that provides for a portion of the fund expenses to be credited to the Plans to pay for certain administrative expenses that are incurred by the Plans. The Company directly pays certain expenses of maintaining the Plans, which are excluded from these financial statements. Fees related to the administration of notes receivable from participants and certain administrative fees are charged directly to the participant's account and are included in expenses.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Acuity DC Trust</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Acuity DC Trust is a collective investment of the assets of our participating employee benefit plans. Trust assets are allocated among participating plans by assigning to each plan certain transactions, primarily contributions and benefit payments that can be specifically identified and distributed among all plans, in proportion to the fair value of the assets assigned to each plan, as well as income and expenses resulting from the collective investment of the Trust assets. For the year ended December 31, 2025, total interest income, dividend income, and net appreciation in investments were $1,336,091, $15,575,037, and $68,577,407, respectively. The fair values of the net assets of the Acuity DC Trust and each plan's interest in those assets as of December 31, 2025 and 2024 are presented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7"/>
          </w:tcPr>
          <w:p>
            <w:pPr>
              <w:jc w:val="center"/>
              <w:ind w:right="168"/>
              <w:spacing w:after="0"/>
              <w:rPr>
                <w:sz w:val="20"/>
                <w:szCs w:val="20"/>
                <w:color w:val="auto"/>
              </w:rPr>
            </w:pPr>
            <w:r>
              <w:rPr>
                <w:rFonts w:ascii="Arial" w:cs="Arial" w:eastAsia="Arial" w:hAnsi="Arial"/>
                <w:sz w:val="14"/>
                <w:szCs w:val="14"/>
                <w:b w:val="1"/>
                <w:bCs w:val="1"/>
                <w:color w:val="auto"/>
              </w:rPr>
              <w:t>Plan’s Interest in Master Trust Balances</w:t>
            </w:r>
          </w:p>
        </w:tc>
      </w:tr>
      <w:tr>
        <w:trPr>
          <w:trHeight w:val="196"/>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right"/>
              <w:ind w:right="788"/>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Plan</w:t>
            </w:r>
          </w:p>
        </w:tc>
        <w:tc>
          <w:tcPr>
            <w:tcW w:w="2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Plan</w:t>
            </w:r>
          </w:p>
        </w:tc>
        <w:tc>
          <w:tcPr>
            <w:tcW w:w="24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Arial" w:cs="Arial" w:eastAsia="Arial" w:hAnsi="Arial"/>
                <w:sz w:val="14"/>
                <w:szCs w:val="14"/>
                <w:b w:val="1"/>
                <w:bCs w:val="1"/>
                <w:color w:val="auto"/>
              </w:rPr>
              <w:t>Plan</w:t>
            </w:r>
          </w:p>
        </w:tc>
      </w:tr>
      <w:tr>
        <w:trPr>
          <w:trHeight w:val="203"/>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Master Trust Balances</w:t>
            </w:r>
          </w:p>
        </w:tc>
        <w:tc>
          <w:tcPr>
            <w:tcW w:w="2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 033</w:t>
            </w:r>
          </w:p>
        </w:tc>
        <w:tc>
          <w:tcPr>
            <w:tcW w:w="2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No. 067</w:t>
            </w:r>
          </w:p>
        </w:tc>
        <w:tc>
          <w:tcPr>
            <w:tcW w:w="240" w:type="dxa"/>
            <w:vAlign w:val="bottom"/>
          </w:tcPr>
          <w:p>
            <w:pPr>
              <w:spacing w:after="0"/>
              <w:rPr>
                <w:sz w:val="17"/>
                <w:szCs w:val="17"/>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b w:val="1"/>
                <w:bCs w:val="1"/>
                <w:color w:val="auto"/>
              </w:rPr>
              <w:t>No. 070</w:t>
            </w:r>
          </w:p>
        </w:tc>
      </w:tr>
      <w:tr>
        <w:trPr>
          <w:trHeight w:val="197"/>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Mutual funds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268,971,306</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249,073,238</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7,282,552</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12,615,516</w:t>
            </w:r>
          </w:p>
        </w:tc>
      </w:tr>
      <w:tr>
        <w:trPr>
          <w:trHeight w:val="199"/>
        </w:trPr>
        <w:tc>
          <w:tcPr>
            <w:tcW w:w="4660" w:type="dxa"/>
            <w:vAlign w:val="bottom"/>
          </w:tcPr>
          <w:p>
            <w:pPr>
              <w:ind w:left="20"/>
              <w:spacing w:after="0"/>
              <w:rPr>
                <w:sz w:val="20"/>
                <w:szCs w:val="20"/>
                <w:color w:val="auto"/>
              </w:rPr>
            </w:pPr>
            <w:r>
              <w:rPr>
                <w:rFonts w:ascii="Arial" w:cs="Arial" w:eastAsia="Arial" w:hAnsi="Arial"/>
                <w:sz w:val="14"/>
                <w:szCs w:val="14"/>
                <w:color w:val="auto"/>
              </w:rPr>
              <w:t>Self-directed brokerage accounts</w:t>
            </w:r>
          </w:p>
        </w:tc>
        <w:tc>
          <w:tcPr>
            <w:tcW w:w="160" w:type="dxa"/>
            <w:vAlign w:val="bottom"/>
          </w:tcPr>
          <w:p>
            <w:pPr>
              <w:spacing w:after="0"/>
              <w:rPr>
                <w:sz w:val="17"/>
                <w:szCs w:val="17"/>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51,679,977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51,279,987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399,990</w:t>
            </w:r>
          </w:p>
        </w:tc>
      </w:tr>
      <w:tr>
        <w:trPr>
          <w:trHeight w:val="206"/>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Acuity stock fund</w:t>
            </w: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14,081,073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13,181,889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209,068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690,116</w:t>
            </w:r>
          </w:p>
        </w:tc>
      </w:tr>
      <w:tr>
        <w:trPr>
          <w:trHeight w:val="19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Common/collective trusts</w:t>
            </w: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337,923,055</w:t>
            </w:r>
          </w:p>
        </w:tc>
        <w:tc>
          <w:tcPr>
            <w:tcW w:w="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319,516,197</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14,842,438</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3,564,420</w:t>
            </w:r>
          </w:p>
        </w:tc>
      </w:tr>
      <w:tr>
        <w:trPr>
          <w:trHeight w:val="200"/>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investments at fair value</w:t>
            </w: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672,655,411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633,051,311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22,334,058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17,270,042</w:t>
            </w:r>
          </w:p>
        </w:tc>
      </w:tr>
      <w:tr>
        <w:trPr>
          <w:trHeight w:val="198"/>
        </w:trPr>
        <w:tc>
          <w:tcPr>
            <w:tcW w:w="4660" w:type="dxa"/>
            <w:vAlign w:val="bottom"/>
          </w:tcPr>
          <w:p>
            <w:pPr>
              <w:ind w:left="20"/>
              <w:spacing w:after="0"/>
              <w:rPr>
                <w:sz w:val="20"/>
                <w:szCs w:val="20"/>
                <w:color w:val="auto"/>
              </w:rPr>
            </w:pPr>
            <w:r>
              <w:rPr>
                <w:rFonts w:ascii="Arial" w:cs="Arial" w:eastAsia="Arial" w:hAnsi="Arial"/>
                <w:sz w:val="14"/>
                <w:szCs w:val="14"/>
                <w:color w:val="auto"/>
              </w:rPr>
              <w:t>Unallocated cash</w:t>
            </w:r>
          </w:p>
        </w:tc>
        <w:tc>
          <w:tcPr>
            <w:tcW w:w="160" w:type="dxa"/>
            <w:vAlign w:val="bottom"/>
          </w:tcPr>
          <w:p>
            <w:pPr>
              <w:spacing w:after="0"/>
              <w:rPr>
                <w:sz w:val="17"/>
                <w:szCs w:val="17"/>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14,973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2,586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12,387</w:t>
            </w:r>
          </w:p>
        </w:tc>
      </w:tr>
      <w:tr>
        <w:trPr>
          <w:trHeight w:val="206"/>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income and pending trades</w:t>
            </w:r>
          </w:p>
        </w:tc>
        <w:tc>
          <w:tcPr>
            <w:tcW w:w="16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8,550</w:t>
            </w:r>
          </w:p>
        </w:tc>
        <w:tc>
          <w:tcPr>
            <w:tcW w:w="3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3,743</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r>
      <w:tr>
        <w:trPr>
          <w:trHeight w:val="195"/>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Acuity DC Trust at fair value</w:t>
            </w:r>
          </w:p>
        </w:tc>
        <w:tc>
          <w:tcPr>
            <w:tcW w:w="16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672,678,934</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633,058,493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22,337,801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17,282,640</w:t>
            </w:r>
          </w:p>
        </w:tc>
      </w:tr>
      <w:tr>
        <w:trPr>
          <w:trHeight w:val="20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Invesco Stable Value Fund at contract value</w:t>
            </w: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36,790,940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30,479,381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1,722,401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4,589,158</w:t>
            </w:r>
          </w:p>
        </w:tc>
      </w:tr>
      <w:tr>
        <w:trPr>
          <w:trHeight w:val="19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Key Guaranteed Portfolio Fund at contract value</w:t>
            </w: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2,212,798</w:t>
            </w:r>
          </w:p>
        </w:tc>
        <w:tc>
          <w:tcPr>
            <w:tcW w:w="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1,977,966</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234,832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Plan interest in Acuity DC Trust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711,682,672</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665,515,840</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24,295,034</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21,871,798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 Selected 401(k) Plans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7"/>
          </w:tcPr>
          <w:p>
            <w:pPr>
              <w:jc w:val="center"/>
              <w:ind w:right="168"/>
              <w:spacing w:after="0"/>
              <w:rPr>
                <w:sz w:val="20"/>
                <w:szCs w:val="20"/>
                <w:color w:val="auto"/>
              </w:rPr>
            </w:pPr>
            <w:r>
              <w:rPr>
                <w:rFonts w:ascii="Arial" w:cs="Arial" w:eastAsia="Arial" w:hAnsi="Arial"/>
                <w:sz w:val="14"/>
                <w:szCs w:val="14"/>
                <w:b w:val="1"/>
                <w:bCs w:val="1"/>
                <w:color w:val="auto"/>
              </w:rPr>
              <w:t>Plan’s Interest in Master Trust Balances</w:t>
            </w:r>
          </w:p>
        </w:tc>
      </w:tr>
      <w:tr>
        <w:trPr>
          <w:trHeight w:val="196"/>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ind w:right="788"/>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Plan</w:t>
            </w:r>
          </w:p>
        </w:tc>
        <w:tc>
          <w:tcPr>
            <w:tcW w:w="2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Plan</w:t>
            </w:r>
          </w:p>
        </w:tc>
        <w:tc>
          <w:tcPr>
            <w:tcW w:w="24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Arial" w:cs="Arial" w:eastAsia="Arial" w:hAnsi="Arial"/>
                <w:sz w:val="14"/>
                <w:szCs w:val="14"/>
                <w:b w:val="1"/>
                <w:bCs w:val="1"/>
                <w:color w:val="auto"/>
              </w:rPr>
              <w:t>Plan</w:t>
            </w: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Master Trust Balances</w:t>
            </w:r>
          </w:p>
        </w:tc>
        <w:tc>
          <w:tcPr>
            <w:tcW w:w="2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 033</w:t>
            </w:r>
          </w:p>
        </w:tc>
        <w:tc>
          <w:tcPr>
            <w:tcW w:w="2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No. 067</w:t>
            </w:r>
          </w:p>
        </w:tc>
        <w:tc>
          <w:tcPr>
            <w:tcW w:w="240" w:type="dxa"/>
            <w:vAlign w:val="bottom"/>
          </w:tcPr>
          <w:p>
            <w:pPr>
              <w:spacing w:after="0"/>
              <w:rPr>
                <w:sz w:val="17"/>
                <w:szCs w:val="17"/>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b w:val="1"/>
                <w:bCs w:val="1"/>
                <w:color w:val="auto"/>
              </w:rPr>
              <w:t>No. 070</w:t>
            </w:r>
          </w:p>
        </w:tc>
      </w:tr>
      <w:tr>
        <w:trPr>
          <w:trHeight w:val="197"/>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Mutual funds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238,564,816</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222,519,917</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4,936,411</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11,108,488</w:t>
            </w:r>
          </w:p>
        </w:tc>
      </w:tr>
      <w:tr>
        <w:trPr>
          <w:trHeight w:val="198"/>
        </w:trPr>
        <w:tc>
          <w:tcPr>
            <w:tcW w:w="4680" w:type="dxa"/>
            <w:vAlign w:val="bottom"/>
          </w:tcPr>
          <w:p>
            <w:pPr>
              <w:ind w:left="20"/>
              <w:spacing w:after="0"/>
              <w:rPr>
                <w:sz w:val="20"/>
                <w:szCs w:val="20"/>
                <w:color w:val="auto"/>
              </w:rPr>
            </w:pPr>
            <w:r>
              <w:rPr>
                <w:rFonts w:ascii="Arial" w:cs="Arial" w:eastAsia="Arial" w:hAnsi="Arial"/>
                <w:sz w:val="14"/>
                <w:szCs w:val="14"/>
                <w:color w:val="auto"/>
              </w:rPr>
              <w:t>Self-directed brokerage accounts</w:t>
            </w:r>
          </w:p>
        </w:tc>
        <w:tc>
          <w:tcPr>
            <w:tcW w:w="1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53,351,894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52,973,045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378,849</w:t>
            </w: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Acuity stock fund</w:t>
            </w: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11,854,007</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11,128,543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191,572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533,892</w:t>
            </w:r>
          </w:p>
        </w:tc>
      </w:tr>
      <w:tr>
        <w:trPr>
          <w:trHeight w:val="19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Common/collective trusts</w:t>
            </w: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205,848,129</w:t>
            </w:r>
          </w:p>
        </w:tc>
        <w:tc>
          <w:tcPr>
            <w:tcW w:w="3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193,956,586</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9,023,569</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2,867,974</w:t>
            </w: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investments at fair value</w:t>
            </w: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509,618,846</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480,578,091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14,151,552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14,889,203</w:t>
            </w:r>
          </w:p>
        </w:tc>
      </w:tr>
      <w:tr>
        <w:trPr>
          <w:trHeight w:val="199"/>
        </w:trPr>
        <w:tc>
          <w:tcPr>
            <w:tcW w:w="4680" w:type="dxa"/>
            <w:vAlign w:val="bottom"/>
          </w:tcPr>
          <w:p>
            <w:pPr>
              <w:ind w:left="20"/>
              <w:spacing w:after="0"/>
              <w:rPr>
                <w:sz w:val="20"/>
                <w:szCs w:val="20"/>
                <w:color w:val="auto"/>
              </w:rPr>
            </w:pPr>
            <w:r>
              <w:rPr>
                <w:rFonts w:ascii="Arial" w:cs="Arial" w:eastAsia="Arial" w:hAnsi="Arial"/>
                <w:sz w:val="14"/>
                <w:szCs w:val="14"/>
                <w:color w:val="auto"/>
              </w:rPr>
              <w:t>Unallocated cash</w:t>
            </w:r>
          </w:p>
        </w:tc>
        <w:tc>
          <w:tcPr>
            <w:tcW w:w="1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157,242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43,071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114,171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income and pending trades</w:t>
            </w:r>
          </w:p>
        </w:tc>
        <w:tc>
          <w:tcPr>
            <w:tcW w:w="18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3,414</w:t>
            </w:r>
          </w:p>
        </w:tc>
        <w:tc>
          <w:tcPr>
            <w:tcW w:w="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95"/>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Acuity DC Trust at fair value</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509,779,502</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480,622,697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14,267,557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14,889,248</w:t>
            </w: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Invesco Stable Value Fund at contract value</w:t>
            </w:r>
          </w:p>
        </w:tc>
        <w:tc>
          <w:tcPr>
            <w:tcW w:w="18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40,077,315</w:t>
            </w:r>
          </w:p>
        </w:tc>
        <w:tc>
          <w:tcPr>
            <w:tcW w:w="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32,955,615</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1,650,199</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5,471,501</w:t>
            </w:r>
          </w:p>
        </w:tc>
      </w:tr>
      <w:tr>
        <w:trPr>
          <w:trHeight w:val="200"/>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Plan interest in Acuity DC Trust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549,856,817</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513,578,312</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15,917,756</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20,360,749</w:t>
            </w: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Stable Value Investments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Invesco Stable Value Fund</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Acuity DC Trust holds investments in the Invesco Stable Value Fund, which holds synthetic GICs and a diversified portfolio of investments, including units of collective trust funds held in the name of the Acuity DC Trust. The synthetic GICs have features that provide for variable interest crediting rates that are credited to the contract value of the contracts' underlying holdings. The investments in synthetic GICs are deemed to be fully benefit-responsive and are recorded at contract value.</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Contract value represents contributions made under the contract plus earnings less member withdrawals and administrative expenses. Members may ordinarily direct the withdrawal and transfer of all or a portion of their investment at contract value. The crediting interest rate is based on a mutually agreed upon formula that resets on a monthly basis depending on the performance of the underlying investments being managed. The crediting interest rate will not be less than 0%.</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events limit the ability of the Plans to transact at contract value with the issuers. These events include, but are not limited to, the following: (1) amendments to the Plan documents that materially and adversely affect the risk borne by the contract issuer, unless otherwise approved by the issuers, (2) bankruptcy of the Plans' sponsor or other events that would cause a significant withdrawal from the Plans, or (3) the failure of the Acuity DC Trust to qualify for exemption from federal income taxes or any required prohibited transaction exemption under ERISA. We do not believe that the occurrence of any event limiting the Plans' ability to transact at contract value with the issuers has occurred or is probable.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contract values of the synthetic GICs in the Invesco Stable Value Fund: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Contract Issuer</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 Contract Value</w:t>
            </w:r>
          </w:p>
        </w:tc>
        <w:tc>
          <w:tcPr>
            <w:tcW w:w="360" w:type="dxa"/>
            <w:vAlign w:val="bottom"/>
          </w:tcPr>
          <w:p>
            <w:pPr>
              <w:spacing w:after="0"/>
              <w:rPr>
                <w:sz w:val="17"/>
                <w:szCs w:val="17"/>
                <w:color w:val="auto"/>
              </w:rPr>
            </w:pPr>
          </w:p>
        </w:tc>
        <w:tc>
          <w:tcPr>
            <w:tcW w:w="38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Contract Issuer</w:t>
            </w: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 Contract Value</w:t>
            </w:r>
          </w:p>
        </w:tc>
      </w:tr>
      <w:tr>
        <w:trPr>
          <w:trHeight w:val="197"/>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Synthetic GICs: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Synthetic GICs:</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8"/>
        </w:trPr>
        <w:tc>
          <w:tcPr>
            <w:tcW w:w="3820" w:type="dxa"/>
            <w:vAlign w:val="bottom"/>
          </w:tcPr>
          <w:p>
            <w:pPr>
              <w:ind w:left="140"/>
              <w:spacing w:after="0"/>
              <w:rPr>
                <w:sz w:val="20"/>
                <w:szCs w:val="20"/>
                <w:color w:val="auto"/>
              </w:rPr>
            </w:pPr>
            <w:r>
              <w:rPr>
                <w:rFonts w:ascii="Arial" w:cs="Arial" w:eastAsia="Arial" w:hAnsi="Arial"/>
                <w:sz w:val="14"/>
                <w:szCs w:val="14"/>
                <w:color w:val="auto"/>
              </w:rPr>
              <w:t>Mass Mutual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4,687,072</w:t>
            </w:r>
          </w:p>
        </w:tc>
        <w:tc>
          <w:tcPr>
            <w:tcW w:w="360" w:type="dxa"/>
            <w:vAlign w:val="bottom"/>
          </w:tcPr>
          <w:p>
            <w:pPr>
              <w:spacing w:after="0"/>
              <w:rPr>
                <w:sz w:val="17"/>
                <w:szCs w:val="17"/>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Mass Mutual</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5,221,466</w:t>
            </w:r>
          </w:p>
        </w:tc>
      </w:tr>
      <w:tr>
        <w:trPr>
          <w:trHeight w:val="207"/>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Nationwide Life Insurance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5,978,233</w:t>
            </w:r>
          </w:p>
        </w:tc>
        <w:tc>
          <w:tcPr>
            <w:tcW w:w="360" w:type="dxa"/>
            <w:vAlign w:val="bottom"/>
          </w:tcPr>
          <w:p>
            <w:pPr>
              <w:spacing w:after="0"/>
              <w:rPr>
                <w:sz w:val="17"/>
                <w:szCs w:val="17"/>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Nationwide Life Insurance</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6,664,897</w:t>
            </w:r>
          </w:p>
        </w:tc>
      </w:tr>
      <w:tr>
        <w:trPr>
          <w:trHeight w:val="198"/>
        </w:trPr>
        <w:tc>
          <w:tcPr>
            <w:tcW w:w="3820" w:type="dxa"/>
            <w:vAlign w:val="bottom"/>
          </w:tcPr>
          <w:p>
            <w:pPr>
              <w:ind w:left="140"/>
              <w:spacing w:after="0"/>
              <w:rPr>
                <w:sz w:val="20"/>
                <w:szCs w:val="20"/>
                <w:color w:val="auto"/>
              </w:rPr>
            </w:pPr>
            <w:r>
              <w:rPr>
                <w:rFonts w:ascii="Arial" w:cs="Arial" w:eastAsia="Arial" w:hAnsi="Arial"/>
                <w:sz w:val="14"/>
                <w:szCs w:val="14"/>
                <w:color w:val="auto"/>
              </w:rPr>
              <w:t>Pacific Life Insurance</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6,077,316</w:t>
            </w:r>
          </w:p>
        </w:tc>
        <w:tc>
          <w:tcPr>
            <w:tcW w:w="360" w:type="dxa"/>
            <w:vAlign w:val="bottom"/>
          </w:tcPr>
          <w:p>
            <w:pPr>
              <w:spacing w:after="0"/>
              <w:rPr>
                <w:sz w:val="17"/>
                <w:szCs w:val="17"/>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Pacific Life Insurance</w:t>
            </w:r>
          </w:p>
        </w:tc>
        <w:tc>
          <w:tcPr>
            <w:tcW w:w="10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6,774,262</w:t>
            </w:r>
          </w:p>
        </w:tc>
      </w:tr>
      <w:tr>
        <w:trPr>
          <w:trHeight w:val="207"/>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Prudential Insurance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5,952,584</w:t>
            </w:r>
          </w:p>
        </w:tc>
        <w:tc>
          <w:tcPr>
            <w:tcW w:w="360" w:type="dxa"/>
            <w:vAlign w:val="bottom"/>
          </w:tcPr>
          <w:p>
            <w:pPr>
              <w:spacing w:after="0"/>
              <w:rPr>
                <w:sz w:val="17"/>
                <w:szCs w:val="17"/>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Prudential Insurance</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6,634,732</w:t>
            </w:r>
          </w:p>
        </w:tc>
      </w:tr>
      <w:tr>
        <w:trPr>
          <w:trHeight w:val="198"/>
        </w:trPr>
        <w:tc>
          <w:tcPr>
            <w:tcW w:w="3820" w:type="dxa"/>
            <w:vAlign w:val="bottom"/>
          </w:tcPr>
          <w:p>
            <w:pPr>
              <w:ind w:left="140"/>
              <w:spacing w:after="0"/>
              <w:rPr>
                <w:sz w:val="20"/>
                <w:szCs w:val="20"/>
                <w:color w:val="auto"/>
              </w:rPr>
            </w:pPr>
            <w:r>
              <w:rPr>
                <w:rFonts w:ascii="Arial" w:cs="Arial" w:eastAsia="Arial" w:hAnsi="Arial"/>
                <w:sz w:val="14"/>
                <w:szCs w:val="14"/>
                <w:color w:val="auto"/>
              </w:rPr>
              <w:t>Transamerica</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6,734,519</w:t>
            </w:r>
          </w:p>
        </w:tc>
        <w:tc>
          <w:tcPr>
            <w:tcW w:w="360" w:type="dxa"/>
            <w:vAlign w:val="bottom"/>
          </w:tcPr>
          <w:p>
            <w:pPr>
              <w:spacing w:after="0"/>
              <w:rPr>
                <w:sz w:val="17"/>
                <w:szCs w:val="17"/>
                <w:color w:val="auto"/>
              </w:rPr>
            </w:pPr>
          </w:p>
        </w:tc>
        <w:tc>
          <w:tcPr>
            <w:tcW w:w="3840" w:type="dxa"/>
            <w:vAlign w:val="bottom"/>
          </w:tcPr>
          <w:p>
            <w:pPr>
              <w:ind w:left="140"/>
              <w:spacing w:after="0"/>
              <w:rPr>
                <w:sz w:val="20"/>
                <w:szCs w:val="20"/>
                <w:color w:val="auto"/>
              </w:rPr>
            </w:pPr>
            <w:r>
              <w:rPr>
                <w:rFonts w:ascii="Arial" w:cs="Arial" w:eastAsia="Arial" w:hAnsi="Arial"/>
                <w:sz w:val="14"/>
                <w:szCs w:val="14"/>
                <w:color w:val="auto"/>
              </w:rPr>
              <w:t>Transamerica</w:t>
            </w:r>
          </w:p>
        </w:tc>
        <w:tc>
          <w:tcPr>
            <w:tcW w:w="10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7,510,362</w:t>
            </w:r>
          </w:p>
        </w:tc>
      </w:tr>
      <w:tr>
        <w:trPr>
          <w:trHeight w:val="207"/>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Voya</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5,703,426</w:t>
            </w:r>
          </w:p>
        </w:tc>
        <w:tc>
          <w:tcPr>
            <w:tcW w:w="360" w:type="dxa"/>
            <w:vAlign w:val="bottom"/>
          </w:tcPr>
          <w:p>
            <w:pPr>
              <w:spacing w:after="0"/>
              <w:rPr>
                <w:sz w:val="17"/>
                <w:szCs w:val="17"/>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Voya</w:t>
            </w:r>
          </w:p>
        </w:tc>
        <w:tc>
          <w:tcPr>
            <w:tcW w:w="1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6,359,400</w:t>
            </w:r>
          </w:p>
        </w:tc>
      </w:tr>
      <w:tr>
        <w:trPr>
          <w:trHeight w:val="192"/>
        </w:trPr>
        <w:tc>
          <w:tcPr>
            <w:tcW w:w="3820" w:type="dxa"/>
            <w:vAlign w:val="bottom"/>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35,133,150</w:t>
            </w:r>
          </w:p>
        </w:tc>
        <w:tc>
          <w:tcPr>
            <w:tcW w:w="360" w:type="dxa"/>
            <w:vAlign w:val="bottom"/>
          </w:tcPr>
          <w:p>
            <w:pPr>
              <w:spacing w:after="0"/>
              <w:rPr>
                <w:sz w:val="16"/>
                <w:szCs w:val="16"/>
                <w:color w:val="auto"/>
              </w:rPr>
            </w:pPr>
          </w:p>
        </w:tc>
        <w:tc>
          <w:tcPr>
            <w:tcW w:w="3840" w:type="dxa"/>
            <w:vAlign w:val="bottom"/>
          </w:tcPr>
          <w:p>
            <w:pPr>
              <w:ind w:left="220"/>
              <w:spacing w:after="0"/>
              <w:rPr>
                <w:sz w:val="20"/>
                <w:szCs w:val="20"/>
                <w:color w:val="auto"/>
              </w:rPr>
            </w:pPr>
            <w:r>
              <w:rPr>
                <w:rFonts w:ascii="Arial" w:cs="Arial" w:eastAsia="Arial" w:hAnsi="Arial"/>
                <w:sz w:val="14"/>
                <w:szCs w:val="14"/>
                <w:color w:val="auto"/>
              </w:rPr>
              <w:t>Subtotal</w:t>
            </w:r>
          </w:p>
        </w:tc>
        <w:tc>
          <w:tcPr>
            <w:tcW w:w="10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39,165,119</w:t>
            </w:r>
          </w:p>
        </w:tc>
      </w:tr>
      <w:tr>
        <w:trPr>
          <w:trHeight w:val="203"/>
        </w:trPr>
        <w:tc>
          <w:tcPr>
            <w:tcW w:w="3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1,657,790</w:t>
            </w:r>
          </w:p>
        </w:tc>
        <w:tc>
          <w:tcPr>
            <w:tcW w:w="360" w:type="dxa"/>
            <w:vAlign w:val="bottom"/>
          </w:tcPr>
          <w:p>
            <w:pPr>
              <w:spacing w:after="0"/>
              <w:rPr>
                <w:sz w:val="17"/>
                <w:szCs w:val="17"/>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912,196</w:t>
            </w:r>
          </w:p>
        </w:tc>
      </w:tr>
      <w:tr>
        <w:trPr>
          <w:trHeight w:val="200"/>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36,790,940</w:t>
            </w:r>
          </w:p>
        </w:tc>
        <w:tc>
          <w:tcPr>
            <w:tcW w:w="360" w:type="dxa"/>
            <w:vAlign w:val="bottom"/>
          </w:tcPr>
          <w:p>
            <w:pPr>
              <w:spacing w:after="0"/>
              <w:rPr>
                <w:sz w:val="17"/>
                <w:szCs w:val="17"/>
                <w:color w:val="auto"/>
              </w:rPr>
            </w:pPr>
          </w:p>
        </w:tc>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40,077,315</w:t>
            </w:r>
          </w:p>
        </w:tc>
      </w:tr>
      <w:tr>
        <w:trPr>
          <w:trHeight w:val="20"/>
        </w:trPr>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 Selected 401(k) Plans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Guaranteed Portfolio Fund</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Key Guaranteed Portfolio Fund is a group annuity contract with Great-West Life &amp; Annuity Insurance Company. The group annuity contract was part of the assets merged into the Plans from the QSC, LLC 401(k) Retirement Savings Plan and Profit Sharing Plan in 2025. Refer to </w:t>
      </w:r>
      <w:r>
        <w:rPr>
          <w:rFonts w:ascii="Arial" w:cs="Arial" w:eastAsia="Arial" w:hAnsi="Arial"/>
          <w:sz w:val="18"/>
          <w:szCs w:val="18"/>
          <w:i w:val="1"/>
          <w:iCs w:val="1"/>
          <w:color w:val="auto"/>
        </w:rPr>
        <w:t>Note 9 — Acquisitions</w:t>
      </w:r>
      <w:r>
        <w:rPr>
          <w:rFonts w:ascii="Arial" w:cs="Arial" w:eastAsia="Arial" w:hAnsi="Arial"/>
          <w:sz w:val="18"/>
          <w:szCs w:val="18"/>
          <w:color w:val="auto"/>
        </w:rPr>
        <w:t xml:space="preserve"> of the </w:t>
      </w:r>
      <w:r>
        <w:rPr>
          <w:rFonts w:ascii="Arial" w:cs="Arial" w:eastAsia="Arial" w:hAnsi="Arial"/>
          <w:sz w:val="18"/>
          <w:szCs w:val="18"/>
          <w:i w:val="1"/>
          <w:iCs w:val="1"/>
          <w:color w:val="auto"/>
        </w:rPr>
        <w:t>Notes to the Financial Statements</w:t>
      </w:r>
      <w:r>
        <w:rPr>
          <w:rFonts w:ascii="Arial" w:cs="Arial" w:eastAsia="Arial" w:hAnsi="Arial"/>
          <w:sz w:val="18"/>
          <w:szCs w:val="18"/>
          <w:color w:val="auto"/>
        </w:rPr>
        <w:t xml:space="preserve"> for further discussion.</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investments are deemed to be fully benefit-responsive and are recorded at contract value. Contract value represents contributions made under the contract plus earnings less member withdrawals and administrative expenses. As of December 31, 2025, the contract value of the investment was $2,212,798.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accordance with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fair value measurements are determined using an exit price based on the assumptions a market participant would use in pricing an asset or liability. ASC 820 establishes a three-tiered hierarchy making a distinction between market participant assumptions based on (i) observable inputs such as quoted prices in active markets (Level 1), (ii) inputs other than quoted prices in active markets that are observable either directly or indirectly (Level 2), and</w:t>
      </w:r>
    </w:p>
    <w:p>
      <w:pPr>
        <w:spacing w:after="0" w:line="2" w:lineRule="exact"/>
        <w:rPr>
          <w:sz w:val="20"/>
          <w:szCs w:val="20"/>
          <w:color w:val="auto"/>
        </w:rPr>
      </w:pPr>
    </w:p>
    <w:p>
      <w:pPr>
        <w:ind w:firstLine="8"/>
        <w:spacing w:after="0" w:line="266" w:lineRule="auto"/>
        <w:tabs>
          <w:tab w:leader="none" w:pos="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unobservable inputs that reflect the Plans' best estimate of what market participants would use in pricing an asset or liability including consideration of the risk inherent in the valuation technique and the risk inherent in the inputs to the model (Level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 (Quoted market prices in active markets for identical assets)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 valued using the net asset value ("NAV") of shares held at year end as reported by the fund. Mutual funds held by the Acuity</w:t>
      </w:r>
      <w:r>
        <w:rPr>
          <w:rFonts w:ascii="Arial" w:cs="Arial" w:eastAsia="Arial" w:hAnsi="Arial"/>
          <w:sz w:val="18"/>
          <w:szCs w:val="18"/>
          <w:i w:val="1"/>
          <w:iCs w:val="1"/>
          <w:color w:val="auto"/>
        </w:rPr>
        <w:t xml:space="preserve"> </w:t>
      </w:r>
      <w:r>
        <w:rPr>
          <w:rFonts w:ascii="Arial" w:cs="Arial" w:eastAsia="Arial" w:hAnsi="Arial"/>
          <w:sz w:val="18"/>
          <w:szCs w:val="18"/>
          <w:color w:val="auto"/>
        </w:rPr>
        <w:t>DC Trust are open-end mutual funds that are registered with the Securities and Exchange Commission.</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Self-Directed Brokerage Accounts </w:t>
      </w:r>
      <w:r>
        <w:rPr>
          <w:rFonts w:ascii="Arial" w:cs="Arial" w:eastAsia="Arial" w:hAnsi="Arial"/>
          <w:sz w:val="18"/>
          <w:szCs w:val="18"/>
          <w:color w:val="auto"/>
        </w:rPr>
        <w:t>- valued at the closing price reported by the fund or in the market where such investments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traded.</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Acuity Stock Fund - </w:t>
      </w:r>
      <w:r>
        <w:rPr>
          <w:rFonts w:ascii="Arial" w:cs="Arial" w:eastAsia="Arial" w:hAnsi="Arial"/>
          <w:sz w:val="18"/>
          <w:szCs w:val="18"/>
          <w:color w:val="auto"/>
        </w:rPr>
        <w:t>valued at the last sales price in the market where such securities are primarily traded. If the last sales price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the security is generally valued at the closing bid price obtained from the primary exchange.</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unallocated cash and cash equivalents, which are required to be carried at fair market value and measured on a recurring basis, were $14,973 as of December 31, 2025. We had $157,242 of unallocated cash and cash equivalents outstanding as of December 31,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Excluded from Fair Value Hierarchy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common/collective trusts held by the Acuity DC Trust are valued using the NAV provided by the trustee, which are based on the fair value of the underlying investments held by a fund less its liabilities. The common/collective trusts' NAVs are used as a practical expedient to estimate fair value since it is not probable that the funds will sell the investment for an amount different than the reported NAV. There are currently no redemption restrictions or unfunded commitments on these investments. Generally, redemptions of the fund units for investments in this category may be made each business day, based upon a transaction price per unit that is substantially equivalent to net asset value per share as of the close of the previous business day.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 Selected 401(k) Plans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 presents information about the Acuity DC Trust's investments that are carried at fair value as of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Fair Value Measurements as of:</w:t>
            </w: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47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 Fair Value</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 Fair Value</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Level 1</w:t>
            </w:r>
          </w:p>
        </w:tc>
      </w:tr>
      <w:tr>
        <w:trPr>
          <w:trHeight w:val="19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Mutual funds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268,971,306</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268,971,306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238,564,816</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238,564,816</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Acuity stock fund</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14,081,073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14,081,073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11,854,007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11,854,007</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Self-directed brokerage accounts</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51,679,977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51,679,977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53,351,894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53,351,894</w:t>
            </w:r>
          </w:p>
        </w:tc>
      </w:tr>
      <w:tr>
        <w:trPr>
          <w:trHeight w:val="19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Common/collective trust</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337,923,055</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gridSpan w:val="2"/>
          </w:tcPr>
          <w:p>
            <w:pPr>
              <w:ind w:left="900"/>
              <w:spacing w:after="0"/>
              <w:rPr>
                <w:sz w:val="20"/>
                <w:szCs w:val="20"/>
                <w:color w:val="auto"/>
              </w:rPr>
            </w:pPr>
            <w:r>
              <w:rPr>
                <w:rFonts w:ascii="Arial" w:cs="Arial" w:eastAsia="Arial" w:hAnsi="Arial"/>
                <w:sz w:val="14"/>
                <w:szCs w:val="14"/>
                <w:color w:val="auto"/>
              </w:rPr>
              <w:t>N/A</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205,848,129</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N/A</w:t>
            </w:r>
          </w:p>
        </w:tc>
      </w:tr>
      <w:tr>
        <w:trPr>
          <w:trHeight w:val="22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investments at fair value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672,655,411</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509,618,846</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 transfers between the levels of the fair value hierarchy occurred during the plan years presented. In the event of a transfer in or out of a level within the fair value hierarchy, the transfers would be recognized as of the end of the plan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 Status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AYI Plan, ABL Plan, and Holophane Plan obtained their latest determination letters on August 12, 2013, July 10, 2013, and May 29, 2014, respectively, in which the IRS stated these plans are qualified under Section 401(a) of the Internal Revenue Code ("IRC"). The Plans have been amended since requesting the latest determination letters, and the Plan Administrator believes the Plans are currently designed and being operated in compliance with the applicable requirements of the IRC. Thus, the Plans and related trust continue to be tax-exempt. Therefore, no provision for income taxes is included in these financial statements.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GAAP requires plan management to evaluate uncertain tax positions taken by the Plans. The financial statement impact of a tax position is recognized when the position is more likely than not, based on its technical merits, to be sustained upon examination by the IRS. The Plan Administrator has analyzed the tax positions taken by the Plans and has concluded that as of December 31, 2025, there are no uncertain positions taken or expected to be taken. The Plans have recognized no interest or penalties related to uncertain tax positions. The Plans are subject to routine audits by taxing jurisdictions; however, there are currently no audits for any tax periods in progress.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Benefits Payable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Plans had benefit payments that were approved for payment prior to December 31 but were not paid until subsequent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Plan No.</w:t>
            </w:r>
          </w:p>
        </w:tc>
        <w:tc>
          <w:tcPr>
            <w:tcW w:w="6820" w:type="dxa"/>
            <w:vAlign w:val="bottom"/>
            <w:gridSpan w:val="2"/>
          </w:tcPr>
          <w:p>
            <w:pPr>
              <w:ind w:left="2920"/>
              <w:spacing w:after="0"/>
              <w:rPr>
                <w:sz w:val="20"/>
                <w:szCs w:val="20"/>
                <w:color w:val="auto"/>
              </w:rPr>
            </w:pPr>
            <w:r>
              <w:rPr>
                <w:rFonts w:ascii="Arial" w:cs="Arial" w:eastAsia="Arial" w:hAnsi="Arial"/>
                <w:sz w:val="16"/>
                <w:szCs w:val="16"/>
                <w:b w:val="1"/>
                <w:bCs w:val="1"/>
                <w:color w:val="auto"/>
              </w:rPr>
              <w:t>Plan Name</w:t>
            </w: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033</w:t>
            </w:r>
          </w:p>
        </w:tc>
        <w:tc>
          <w:tcPr>
            <w:tcW w:w="160" w:type="dxa"/>
            <w:vAlign w:val="bottom"/>
            <w:tcBorders>
              <w:top w:val="single" w:sz="8" w:color="CCEEFF"/>
            </w:tcBorders>
            <w:shd w:val="clear" w:color="auto" w:fill="CCEEFF"/>
          </w:tcPr>
          <w:p>
            <w:pPr>
              <w:spacing w:after="0"/>
              <w:rPr>
                <w:sz w:val="18"/>
                <w:szCs w:val="18"/>
                <w:color w:val="auto"/>
              </w:rPr>
            </w:pPr>
          </w:p>
        </w:tc>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Acuity Inc. 401(k) Plan</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2,586</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43,071</w:t>
            </w:r>
          </w:p>
        </w:tc>
        <w:tc>
          <w:tcPr>
            <w:tcW w:w="0" w:type="dxa"/>
            <w:vAlign w:val="bottom"/>
          </w:tcPr>
          <w:p>
            <w:pPr>
              <w:spacing w:after="0"/>
              <w:rPr>
                <w:sz w:val="1"/>
                <w:szCs w:val="1"/>
                <w:color w:val="auto"/>
              </w:rPr>
            </w:pPr>
          </w:p>
        </w:tc>
      </w:tr>
      <w:tr>
        <w:trPr>
          <w:trHeight w:val="215"/>
        </w:trPr>
        <w:tc>
          <w:tcPr>
            <w:tcW w:w="940" w:type="dxa"/>
            <w:vAlign w:val="bottom"/>
          </w:tcPr>
          <w:p>
            <w:pPr>
              <w:jc w:val="center"/>
              <w:spacing w:after="0"/>
              <w:rPr>
                <w:sz w:val="20"/>
                <w:szCs w:val="20"/>
                <w:color w:val="auto"/>
              </w:rPr>
            </w:pPr>
            <w:r>
              <w:rPr>
                <w:rFonts w:ascii="Arial" w:cs="Arial" w:eastAsia="Arial" w:hAnsi="Arial"/>
                <w:sz w:val="16"/>
                <w:szCs w:val="16"/>
                <w:color w:val="auto"/>
                <w:w w:val="97"/>
              </w:rPr>
              <w:t>067</w:t>
            </w:r>
          </w:p>
        </w:tc>
        <w:tc>
          <w:tcPr>
            <w:tcW w:w="160" w:type="dxa"/>
            <w:vAlign w:val="bottom"/>
          </w:tcPr>
          <w:p>
            <w:pPr>
              <w:spacing w:after="0"/>
              <w:rPr>
                <w:sz w:val="18"/>
                <w:szCs w:val="18"/>
                <w:color w:val="auto"/>
              </w:rPr>
            </w:pPr>
          </w:p>
        </w:tc>
        <w:tc>
          <w:tcPr>
            <w:tcW w:w="6820" w:type="dxa"/>
            <w:vAlign w:val="bottom"/>
            <w:gridSpan w:val="2"/>
          </w:tcPr>
          <w:p>
            <w:pPr>
              <w:ind w:left="20"/>
              <w:spacing w:after="0"/>
              <w:rPr>
                <w:sz w:val="20"/>
                <w:szCs w:val="20"/>
                <w:color w:val="auto"/>
              </w:rPr>
            </w:pPr>
            <w:r>
              <w:rPr>
                <w:rFonts w:ascii="Arial" w:cs="Arial" w:eastAsia="Arial" w:hAnsi="Arial"/>
                <w:sz w:val="16"/>
                <w:szCs w:val="16"/>
                <w:color w:val="auto"/>
              </w:rPr>
              <w:t>Acuity Brands Lighting, Inc. 401(k) Plan for Hourly Employees</w:t>
            </w:r>
          </w:p>
        </w:tc>
        <w:tc>
          <w:tcPr>
            <w:tcW w:w="3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114,171</w:t>
            </w:r>
          </w:p>
        </w:tc>
        <w:tc>
          <w:tcPr>
            <w:tcW w:w="0" w:type="dxa"/>
            <w:vAlign w:val="bottom"/>
          </w:tcPr>
          <w:p>
            <w:pPr>
              <w:spacing w:after="0"/>
              <w:rPr>
                <w:sz w:val="1"/>
                <w:szCs w:val="1"/>
                <w:color w:val="auto"/>
              </w:rPr>
            </w:pPr>
          </w:p>
        </w:tc>
      </w:tr>
      <w:tr>
        <w:trPr>
          <w:trHeight w:val="163"/>
        </w:trPr>
        <w:tc>
          <w:tcPr>
            <w:tcW w:w="94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7"/>
              </w:rPr>
              <w:t>070</w:t>
            </w:r>
          </w:p>
        </w:tc>
        <w:tc>
          <w:tcPr>
            <w:tcW w:w="16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Holophane Division of Acuity Brands Lighting 401(k) Plan for Hourly Employees Covered by</w:t>
            </w: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12,387</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 Collective Bargaining Agreement</w:t>
            </w: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These benefit payments represent a reconciling item between the financial statements and Form 5500.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Risks and Uncertainties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Plans invest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w:t>
      </w:r>
      <w:r>
        <w:rPr>
          <w:rFonts w:ascii="Arial" w:cs="Arial" w:eastAsia="Arial" w:hAnsi="Arial"/>
          <w:sz w:val="18"/>
          <w:szCs w:val="18"/>
          <w:i w:val="1"/>
          <w:iCs w:val="1"/>
          <w:color w:val="auto"/>
        </w:rPr>
        <w:t>Statements of Net Assets Available for Benefits</w:t>
      </w:r>
      <w:r>
        <w:rPr>
          <w:rFonts w:ascii="Arial" w:cs="Arial" w:eastAsia="Arial" w:hAnsi="Arial"/>
          <w:sz w:val="18"/>
          <w:szCs w:val="18"/>
          <w:color w:val="auto"/>
        </w:rPr>
        <w: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Inc. Selected 401(k) Plans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Acquisitions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1, 2025, Acuity Inc. acquired QSC, LLC, which administered the QSC, LLC 401(k) Retirement Savings Plan (the "QSC Plan"). Accordingly, we assumed sponsorship of the QSC Plan effective on such date. On September 15, 2025, the QSC Plan was fully merged into the AYI and ABL plans, resulting in the transfer of plan assets from the QSC Plan totaling $115,651,010 and $7,208,446, respectively.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Acuity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Selected 401(k) Plans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Delinquent Participant Contributions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2025</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Participant Contributions Transferred Late to</w:t>
            </w:r>
          </w:p>
        </w:tc>
        <w:tc>
          <w:tcPr>
            <w:tcW w:w="200" w:type="dxa"/>
            <w:vAlign w:val="bottom"/>
          </w:tcPr>
          <w:p>
            <w:pPr>
              <w:spacing w:after="0"/>
              <w:rPr>
                <w:sz w:val="14"/>
                <w:szCs w:val="14"/>
                <w:color w:val="auto"/>
              </w:rPr>
            </w:pPr>
          </w:p>
        </w:tc>
        <w:tc>
          <w:tcPr>
            <w:tcW w:w="5480" w:type="dxa"/>
            <w:vAlign w:val="bottom"/>
            <w:gridSpan w:val="7"/>
            <w:vMerge w:val="restart"/>
          </w:tcPr>
          <w:p>
            <w:pPr>
              <w:jc w:val="center"/>
              <w:ind w:right="128"/>
              <w:spacing w:after="0"/>
              <w:rPr>
                <w:sz w:val="20"/>
                <w:szCs w:val="20"/>
                <w:color w:val="auto"/>
              </w:rPr>
            </w:pPr>
            <w:r>
              <w:rPr>
                <w:rFonts w:ascii="Arial" w:cs="Arial" w:eastAsia="Arial" w:hAnsi="Arial"/>
                <w:sz w:val="14"/>
                <w:szCs w:val="14"/>
                <w:b w:val="1"/>
                <w:bCs w:val="1"/>
                <w:color w:val="auto"/>
              </w:rPr>
              <w:t>Total that Constitute Nonexempt Prohibited Transactions</w:t>
            </w:r>
          </w:p>
        </w:tc>
        <w:tc>
          <w:tcPr>
            <w:tcW w:w="240" w:type="dxa"/>
            <w:vAlign w:val="bottom"/>
            <w:gridSpan w:val="2"/>
            <w:vMerge w:val="restart"/>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gridSpan w:val="7"/>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6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Total Fully Corrected</w:t>
            </w: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3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Check here if late Participant Loan Repayments</w:t>
            </w:r>
          </w:p>
        </w:tc>
        <w:tc>
          <w:tcPr>
            <w:tcW w:w="200" w:type="dxa"/>
            <w:vAlign w:val="bottom"/>
          </w:tcPr>
          <w:p>
            <w:pPr>
              <w:spacing w:after="0"/>
              <w:rPr>
                <w:sz w:val="11"/>
                <w:szCs w:val="11"/>
                <w:color w:val="auto"/>
              </w:rPr>
            </w:pPr>
          </w:p>
        </w:tc>
        <w:tc>
          <w:tcPr>
            <w:tcW w:w="17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Contributions Not</w:t>
            </w:r>
          </w:p>
        </w:tc>
        <w:tc>
          <w:tcPr>
            <w:tcW w:w="20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rPr>
              <w:t>Contributions Corrected</w:t>
            </w:r>
          </w:p>
        </w:tc>
        <w:tc>
          <w:tcPr>
            <w:tcW w:w="19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rPr>
              <w:t>Contributions Pending</w:t>
            </w: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3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6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Under VFCP and PTE</w:t>
            </w:r>
          </w:p>
        </w:tc>
        <w:tc>
          <w:tcPr>
            <w:tcW w:w="0" w:type="dxa"/>
            <w:vAlign w:val="bottom"/>
          </w:tcPr>
          <w:p>
            <w:pPr>
              <w:spacing w:after="0"/>
              <w:rPr>
                <w:sz w:val="1"/>
                <w:szCs w:val="1"/>
                <w:color w:val="auto"/>
              </w:rPr>
            </w:pPr>
          </w:p>
        </w:tc>
      </w:tr>
      <w:tr>
        <w:trPr>
          <w:trHeight w:val="185"/>
        </w:trPr>
        <w:tc>
          <w:tcPr>
            <w:tcW w:w="22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are Included: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Corrected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Outside VFCP</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Correction in VFCP</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2002-51</w:t>
            </w:r>
          </w:p>
        </w:tc>
        <w:tc>
          <w:tcPr>
            <w:tcW w:w="0" w:type="dxa"/>
            <w:vAlign w:val="bottom"/>
          </w:tcPr>
          <w:p>
            <w:pPr>
              <w:spacing w:after="0"/>
              <w:rPr>
                <w:sz w:val="1"/>
                <w:szCs w:val="1"/>
                <w:color w:val="auto"/>
              </w:rPr>
            </w:pPr>
          </w:p>
        </w:tc>
      </w:tr>
      <w:tr>
        <w:trPr>
          <w:trHeight w:val="196"/>
        </w:trPr>
        <w:tc>
          <w:tcPr>
            <w:tcW w:w="220" w:type="dxa"/>
            <w:vAlign w:val="bottom"/>
            <w:shd w:val="clear" w:color="auto" w:fill="CCEEFF"/>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Acuity Inc. 401(k) Plan</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ind w:left="14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80" w:type="dxa"/>
            <w:vAlign w:val="bottom"/>
            <w:gridSpan w:val="3"/>
            <w:shd w:val="clear" w:color="auto" w:fill="CCEEFF"/>
          </w:tcPr>
          <w:p>
            <w:pPr>
              <w:ind w:left="1340"/>
              <w:spacing w:after="0"/>
              <w:rPr>
                <w:sz w:val="20"/>
                <w:szCs w:val="20"/>
                <w:color w:val="auto"/>
              </w:rPr>
            </w:pPr>
            <w:r>
              <w:rPr>
                <w:rFonts w:ascii="Arial" w:cs="Arial" w:eastAsia="Arial" w:hAnsi="Arial"/>
                <w:sz w:val="14"/>
                <w:szCs w:val="14"/>
                <w:color w:val="auto"/>
              </w:rPr>
              <w:t>—   $</w:t>
            </w:r>
          </w:p>
        </w:tc>
        <w:tc>
          <w:tcPr>
            <w:tcW w:w="1940" w:type="dxa"/>
            <w:vAlign w:val="bottom"/>
            <w:gridSpan w:val="3"/>
            <w:shd w:val="clear" w:color="auto" w:fill="CCEEFF"/>
          </w:tcPr>
          <w:p>
            <w:pPr>
              <w:ind w:left="1500"/>
              <w:spacing w:after="0"/>
              <w:rPr>
                <w:sz w:val="20"/>
                <w:szCs w:val="20"/>
                <w:color w:val="auto"/>
              </w:rPr>
            </w:pPr>
            <w:r>
              <w:rPr>
                <w:rFonts w:ascii="Arial" w:cs="Arial" w:eastAsia="Arial" w:hAnsi="Arial"/>
                <w:sz w:val="14"/>
                <w:szCs w:val="14"/>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144,607</w:t>
            </w:r>
          </w:p>
        </w:tc>
        <w:tc>
          <w:tcPr>
            <w:tcW w:w="0" w:type="dxa"/>
            <w:vAlign w:val="bottom"/>
          </w:tcPr>
          <w:p>
            <w:pPr>
              <w:spacing w:after="0"/>
              <w:rPr>
                <w:sz w:val="1"/>
                <w:szCs w:val="1"/>
                <w:color w:val="auto"/>
              </w:rPr>
            </w:pPr>
          </w:p>
        </w:tc>
      </w:tr>
      <w:tr>
        <w:trPr>
          <w:trHeight w:val="153"/>
        </w:trPr>
        <w:tc>
          <w:tcPr>
            <w:tcW w:w="3640" w:type="dxa"/>
            <w:vAlign w:val="bottom"/>
            <w:gridSpan w:val="3"/>
          </w:tcPr>
          <w:p>
            <w:pPr>
              <w:ind w:left="40"/>
              <w:spacing w:after="0" w:line="15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Acuity Brands Lighting, Inc. 401(k) Plan for Hourly</w:t>
            </w:r>
          </w:p>
        </w:tc>
        <w:tc>
          <w:tcPr>
            <w:tcW w:w="200" w:type="dxa"/>
            <w:vAlign w:val="bottom"/>
          </w:tcPr>
          <w:p>
            <w:pPr>
              <w:spacing w:after="0"/>
              <w:rPr>
                <w:sz w:val="13"/>
                <w:szCs w:val="13"/>
                <w:color w:val="auto"/>
              </w:rPr>
            </w:pPr>
          </w:p>
        </w:tc>
        <w:tc>
          <w:tcPr>
            <w:tcW w:w="1720" w:type="dxa"/>
            <w:vAlign w:val="bottom"/>
            <w:gridSpan w:val="2"/>
            <w:vMerge w:val="restart"/>
          </w:tcPr>
          <w:p>
            <w:pPr>
              <w:ind w:left="1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780" w:type="dxa"/>
            <w:vAlign w:val="bottom"/>
            <w:gridSpan w:val="3"/>
            <w:vMerge w:val="restart"/>
          </w:tcPr>
          <w:p>
            <w:pPr>
              <w:ind w:left="1340"/>
              <w:spacing w:after="0"/>
              <w:rPr>
                <w:sz w:val="20"/>
                <w:szCs w:val="20"/>
                <w:color w:val="auto"/>
              </w:rPr>
            </w:pPr>
            <w:r>
              <w:rPr>
                <w:rFonts w:ascii="Arial" w:cs="Arial" w:eastAsia="Arial" w:hAnsi="Arial"/>
                <w:sz w:val="14"/>
                <w:szCs w:val="14"/>
                <w:color w:val="auto"/>
              </w:rPr>
              <w:t>—</w:t>
            </w:r>
          </w:p>
        </w:tc>
        <w:tc>
          <w:tcPr>
            <w:tcW w:w="1940" w:type="dxa"/>
            <w:vAlign w:val="bottom"/>
            <w:gridSpan w:val="3"/>
            <w:vMerge w:val="restart"/>
          </w:tcPr>
          <w:p>
            <w:pPr>
              <w:ind w:left="1500"/>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21,249</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Employees</w:t>
            </w:r>
          </w:p>
        </w:tc>
        <w:tc>
          <w:tcPr>
            <w:tcW w:w="2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40" w:type="dxa"/>
            <w:vAlign w:val="bottom"/>
            <w:gridSpan w:val="3"/>
            <w:shd w:val="clear" w:color="auto" w:fill="CCEEFF"/>
          </w:tcPr>
          <w:p>
            <w:pPr>
              <w:ind w:left="40"/>
              <w:spacing w:after="0" w:line="15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Holophane Division of Acuity Brands Lighting</w:t>
            </w: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rPr>
                <w:sz w:val="12"/>
                <w:szCs w:val="12"/>
                <w:color w:val="auto"/>
              </w:rPr>
            </w:pPr>
          </w:p>
        </w:tc>
        <w:tc>
          <w:tcPr>
            <w:tcW w:w="34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401(k) Plan for Hourly Employees Covered by a</w:t>
            </w:r>
          </w:p>
        </w:tc>
        <w:tc>
          <w:tcPr>
            <w:tcW w:w="200" w:type="dxa"/>
            <w:vAlign w:val="bottom"/>
            <w:shd w:val="clear" w:color="auto" w:fill="CCEEFF"/>
          </w:tcPr>
          <w:p>
            <w:pPr>
              <w:spacing w:after="0"/>
              <w:rPr>
                <w:sz w:val="12"/>
                <w:szCs w:val="12"/>
                <w:color w:val="auto"/>
              </w:rPr>
            </w:pPr>
          </w:p>
        </w:tc>
        <w:tc>
          <w:tcPr>
            <w:tcW w:w="1720" w:type="dxa"/>
            <w:vAlign w:val="bottom"/>
            <w:gridSpan w:val="2"/>
            <w:vMerge w:val="restart"/>
            <w:shd w:val="clear" w:color="auto" w:fill="CCEEFF"/>
          </w:tcPr>
          <w:p>
            <w:pPr>
              <w:ind w:left="14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780" w:type="dxa"/>
            <w:vAlign w:val="bottom"/>
            <w:gridSpan w:val="3"/>
            <w:vMerge w:val="restart"/>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940" w:type="dxa"/>
            <w:vAlign w:val="bottom"/>
            <w:gridSpan w:val="3"/>
            <w:vMerge w:val="restart"/>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10,479</w:t>
            </w:r>
          </w:p>
        </w:tc>
        <w:tc>
          <w:tcPr>
            <w:tcW w:w="0" w:type="dxa"/>
            <w:vAlign w:val="bottom"/>
          </w:tcPr>
          <w:p>
            <w:pPr>
              <w:spacing w:after="0"/>
              <w:rPr>
                <w:sz w:val="1"/>
                <w:szCs w:val="1"/>
                <w:color w:val="auto"/>
              </w:rPr>
            </w:pPr>
          </w:p>
        </w:tc>
      </w:tr>
      <w:tr>
        <w:trPr>
          <w:trHeight w:val="185"/>
        </w:trPr>
        <w:tc>
          <w:tcPr>
            <w:tcW w:w="22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Collective Bargaining Agreement</w:t>
            </w:r>
          </w:p>
        </w:tc>
        <w:tc>
          <w:tcPr>
            <w:tcW w:w="200" w:type="dxa"/>
            <w:vAlign w:val="bottom"/>
            <w:shd w:val="clear" w:color="auto" w:fill="CCEEFF"/>
          </w:tcPr>
          <w:p>
            <w:pPr>
              <w:spacing w:after="0"/>
              <w:rPr>
                <w:sz w:val="16"/>
                <w:szCs w:val="16"/>
                <w:color w:val="auto"/>
              </w:rPr>
            </w:pPr>
          </w:p>
        </w:tc>
        <w:tc>
          <w:tcPr>
            <w:tcW w:w="17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80" w:type="dxa"/>
            <w:vAlign w:val="bottom"/>
            <w:gridSpan w:val="3"/>
            <w:vMerge w:val="continue"/>
            <w:shd w:val="clear" w:color="auto" w:fill="CCEEFF"/>
          </w:tcPr>
          <w:p>
            <w:pPr>
              <w:spacing w:after="0"/>
              <w:rPr>
                <w:sz w:val="16"/>
                <w:szCs w:val="16"/>
                <w:color w:val="auto"/>
              </w:rPr>
            </w:pPr>
          </w:p>
        </w:tc>
        <w:tc>
          <w:tcPr>
            <w:tcW w:w="1940" w:type="dxa"/>
            <w:vAlign w:val="bottom"/>
            <w:gridSpan w:val="3"/>
            <w:vMerge w:val="continue"/>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Acuity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Selected 401(k) Plans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H, Line 4i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Schedule of Assets (Held at End of Year)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2025</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2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Plan Name</w:t>
            </w:r>
          </w:p>
        </w:tc>
        <w:tc>
          <w:tcPr>
            <w:tcW w:w="100" w:type="dxa"/>
            <w:vAlign w:val="bottom"/>
            <w:vMerge w:val="restart"/>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EIN #</w:t>
            </w:r>
          </w:p>
        </w:tc>
        <w:tc>
          <w:tcPr>
            <w:tcW w:w="100" w:type="dxa"/>
            <w:vAlign w:val="bottom"/>
            <w:vMerge w:val="restart"/>
          </w:tcPr>
          <w:p>
            <w:pPr>
              <w:spacing w:after="0"/>
              <w:rPr>
                <w:sz w:val="14"/>
                <w:szCs w:val="14"/>
                <w:color w:val="auto"/>
              </w:rPr>
            </w:pPr>
          </w:p>
        </w:tc>
        <w:tc>
          <w:tcPr>
            <w:tcW w:w="16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Identity of Issue *</w:t>
            </w:r>
          </w:p>
        </w:tc>
        <w:tc>
          <w:tcPr>
            <w:tcW w:w="0" w:type="dxa"/>
            <w:vAlign w:val="bottom"/>
          </w:tcPr>
          <w:p>
            <w:pPr>
              <w:spacing w:after="0"/>
              <w:rPr>
                <w:sz w:val="1"/>
                <w:szCs w:val="1"/>
                <w:color w:val="auto"/>
              </w:rPr>
            </w:pPr>
          </w:p>
        </w:tc>
      </w:tr>
      <w:tr>
        <w:trPr>
          <w:trHeight w:val="185"/>
        </w:trPr>
        <w:tc>
          <w:tcPr>
            <w:tcW w:w="3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spacing w:after="0"/>
              <w:rPr>
                <w:sz w:val="20"/>
                <w:szCs w:val="20"/>
                <w:color w:val="auto"/>
              </w:rPr>
            </w:pPr>
            <w:r>
              <w:rPr>
                <w:rFonts w:ascii="Arial" w:cs="Arial" w:eastAsia="Arial" w:hAnsi="Arial"/>
                <w:sz w:val="14"/>
                <w:szCs w:val="14"/>
                <w:color w:val="auto"/>
              </w:rPr>
              <w:t>Acuity Inc. 401(k) Plan</w:t>
            </w:r>
          </w:p>
        </w:tc>
        <w:tc>
          <w:tcPr>
            <w:tcW w:w="580" w:type="dxa"/>
            <w:vAlign w:val="bottom"/>
          </w:tcPr>
          <w:p>
            <w:pPr>
              <w:jc w:val="center"/>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58-2632672</w:t>
            </w:r>
          </w:p>
        </w:tc>
        <w:tc>
          <w:tcPr>
            <w:tcW w:w="1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Participant Loans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-131445</wp:posOffset>
            </wp:positionV>
            <wp:extent cx="7106285"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Description of Investment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Varying Maturity Dates and</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Current Value</w:t>
            </w:r>
          </w:p>
        </w:tc>
        <w:tc>
          <w:tcPr>
            <w:tcW w:w="0" w:type="dxa"/>
            <w:vAlign w:val="bottom"/>
          </w:tcPr>
          <w:p>
            <w:pPr>
              <w:spacing w:after="0"/>
              <w:rPr>
                <w:sz w:val="1"/>
                <w:szCs w:val="1"/>
                <w:color w:val="auto"/>
              </w:rPr>
            </w:pPr>
          </w:p>
        </w:tc>
      </w:tr>
      <w:tr>
        <w:trPr>
          <w:trHeight w:val="185"/>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Rates Ranging from:</w:t>
            </w:r>
          </w:p>
        </w:tc>
        <w:tc>
          <w:tcPr>
            <w:tcW w:w="10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24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rPr>
              <w:t>4.25% to 9.50%</w:t>
            </w:r>
          </w:p>
        </w:tc>
        <w:tc>
          <w:tcPr>
            <w:tcW w:w="580" w:type="dxa"/>
            <w:vAlign w:val="bottom"/>
          </w:tcPr>
          <w:p>
            <w:pPr>
              <w:jc w:val="right"/>
              <w:ind w:right="408"/>
              <w:spacing w:after="0" w:line="147" w:lineRule="exact"/>
              <w:rPr>
                <w:sz w:val="20"/>
                <w:szCs w:val="20"/>
                <w:color w:val="auto"/>
              </w:rPr>
            </w:pPr>
            <w:r>
              <w:rPr>
                <w:rFonts w:ascii="Arial" w:cs="Arial" w:eastAsia="Arial" w:hAnsi="Arial"/>
                <w:sz w:val="14"/>
                <w:szCs w:val="14"/>
                <w:color w:val="auto"/>
              </w:rPr>
              <w:t>$</w:t>
            </w:r>
          </w:p>
        </w:tc>
        <w:tc>
          <w:tcPr>
            <w:tcW w:w="580" w:type="dxa"/>
            <w:vAlign w:val="bottom"/>
          </w:tcPr>
          <w:p>
            <w:pPr>
              <w:ind w:left="20"/>
              <w:spacing w:after="0" w:line="147" w:lineRule="exact"/>
              <w:rPr>
                <w:sz w:val="20"/>
                <w:szCs w:val="20"/>
                <w:color w:val="auto"/>
              </w:rPr>
            </w:pPr>
            <w:r>
              <w:rPr>
                <w:rFonts w:ascii="Arial" w:cs="Arial" w:eastAsia="Arial" w:hAnsi="Arial"/>
                <w:sz w:val="14"/>
                <w:szCs w:val="14"/>
                <w:color w:val="auto"/>
              </w:rPr>
              <w:t>—   $</w:t>
            </w: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6,086,457</w:t>
            </w:r>
          </w:p>
        </w:tc>
        <w:tc>
          <w:tcPr>
            <w:tcW w:w="0" w:type="dxa"/>
            <w:vAlign w:val="bottom"/>
          </w:tcPr>
          <w:p>
            <w:pPr>
              <w:spacing w:after="0"/>
              <w:rPr>
                <w:sz w:val="1"/>
                <w:szCs w:val="1"/>
                <w:color w:val="auto"/>
              </w:rPr>
            </w:pPr>
          </w:p>
        </w:tc>
      </w:tr>
      <w:tr>
        <w:trPr>
          <w:trHeight w:val="190"/>
        </w:trPr>
        <w:tc>
          <w:tcPr>
            <w:tcW w:w="2240" w:type="dxa"/>
            <w:vAlign w:val="bottom"/>
            <w:gridSpan w:val="2"/>
          </w:tcPr>
          <w:p>
            <w:pPr>
              <w:jc w:val="center"/>
              <w:ind w:right="100"/>
              <w:spacing w:after="0"/>
              <w:rPr>
                <w:sz w:val="20"/>
                <w:szCs w:val="20"/>
                <w:color w:val="auto"/>
              </w:rPr>
            </w:pPr>
            <w:r>
              <w:rPr>
                <w:rFonts w:ascii="Arial" w:cs="Arial" w:eastAsia="Arial" w:hAnsi="Arial"/>
                <w:sz w:val="14"/>
                <w:szCs w:val="14"/>
                <w:color w:val="auto"/>
              </w:rPr>
              <w:t>(various maturity dates)</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80" w:space="100"/>
            <w:col w:w="4240"/>
          </w:cols>
          <w:pgMar w:left="320" w:top="122" w:right="359" w:bottom="1440" w:gutter="0" w:footer="0" w:header="0"/>
          <w:type w:val="continuous"/>
        </w:sectPr>
      </w:pPr>
    </w:p>
    <w:tbl>
      <w:tblPr>
        <w:tblLayout w:type="fixed"/>
        <w:tblInd w:w="40" w:type="dxa"/>
        <w:tblCellMar>
          <w:top w:w="0" w:type="dxa"/>
          <w:left w:w="0" w:type="dxa"/>
          <w:bottom w:w="0" w:type="dxa"/>
          <w:right w:w="0" w:type="dxa"/>
        </w:tblCellMar>
      </w:tblPr>
      <w:tr>
        <w:trPr>
          <w:trHeight w:val="147"/>
        </w:trPr>
        <w:tc>
          <w:tcPr>
            <w:tcW w:w="3340" w:type="dxa"/>
            <w:vAlign w:val="bottom"/>
          </w:tcPr>
          <w:p>
            <w:pPr>
              <w:spacing w:after="0" w:line="147" w:lineRule="exact"/>
              <w:rPr>
                <w:sz w:val="20"/>
                <w:szCs w:val="20"/>
                <w:color w:val="auto"/>
              </w:rPr>
            </w:pPr>
            <w:r>
              <w:rPr>
                <w:rFonts w:ascii="Arial" w:cs="Arial" w:eastAsia="Arial" w:hAnsi="Arial"/>
                <w:sz w:val="14"/>
                <w:szCs w:val="14"/>
                <w:color w:val="auto"/>
              </w:rPr>
              <w:t>Acuity Brands Lighting, Inc. 401(k) Plan for Hourly</w:t>
            </w:r>
          </w:p>
        </w:tc>
        <w:tc>
          <w:tcPr>
            <w:tcW w:w="62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067</w:t>
            </w:r>
          </w:p>
        </w:tc>
        <w:tc>
          <w:tcPr>
            <w:tcW w:w="1120" w:type="dxa"/>
            <w:vAlign w:val="bottom"/>
          </w:tcPr>
          <w:p>
            <w:pPr>
              <w:jc w:val="right"/>
              <w:ind w:right="68"/>
              <w:spacing w:after="0" w:line="147" w:lineRule="exact"/>
              <w:rPr>
                <w:sz w:val="20"/>
                <w:szCs w:val="20"/>
                <w:color w:val="auto"/>
              </w:rPr>
            </w:pPr>
            <w:r>
              <w:rPr>
                <w:rFonts w:ascii="Arial" w:cs="Arial" w:eastAsia="Arial" w:hAnsi="Arial"/>
                <w:sz w:val="14"/>
                <w:szCs w:val="14"/>
                <w:color w:val="auto"/>
              </w:rPr>
              <w:t>58-2632672</w:t>
            </w:r>
          </w:p>
        </w:tc>
        <w:tc>
          <w:tcPr>
            <w:tcW w:w="1720" w:type="dxa"/>
            <w:vAlign w:val="bottom"/>
          </w:tcPr>
          <w:p>
            <w:pPr>
              <w:ind w:left="160"/>
              <w:spacing w:after="0" w:line="147" w:lineRule="exact"/>
              <w:rPr>
                <w:sz w:val="20"/>
                <w:szCs w:val="20"/>
                <w:color w:val="auto"/>
              </w:rPr>
            </w:pPr>
            <w:r>
              <w:rPr>
                <w:rFonts w:ascii="Arial" w:cs="Arial" w:eastAsia="Arial" w:hAnsi="Arial"/>
                <w:sz w:val="14"/>
                <w:szCs w:val="14"/>
                <w:color w:val="auto"/>
              </w:rPr>
              <w:t>Participant Loans</w:t>
            </w:r>
          </w:p>
        </w:tc>
        <w:tc>
          <w:tcPr>
            <w:tcW w:w="2480" w:type="dxa"/>
            <w:vAlign w:val="bottom"/>
          </w:tcPr>
          <w:p>
            <w:pPr>
              <w:jc w:val="center"/>
              <w:spacing w:after="0" w:line="147" w:lineRule="exact"/>
              <w:rPr>
                <w:sz w:val="20"/>
                <w:szCs w:val="20"/>
                <w:color w:val="auto"/>
              </w:rPr>
            </w:pPr>
            <w:r>
              <w:rPr>
                <w:rFonts w:ascii="Arial" w:cs="Arial" w:eastAsia="Arial" w:hAnsi="Arial"/>
                <w:sz w:val="14"/>
                <w:szCs w:val="14"/>
                <w:color w:val="auto"/>
              </w:rPr>
              <w:t>4.25% to 9.50%</w:t>
            </w:r>
          </w:p>
        </w:tc>
        <w:tc>
          <w:tcPr>
            <w:tcW w:w="980" w:type="dxa"/>
            <w:vAlign w:val="bottom"/>
          </w:tcPr>
          <w:p>
            <w:pPr>
              <w:ind w:left="500"/>
              <w:spacing w:after="0" w:line="147"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894,197</w:t>
            </w:r>
          </w:p>
        </w:tc>
      </w:tr>
      <w:tr>
        <w:trPr>
          <w:trHeight w:val="185"/>
        </w:trPr>
        <w:tc>
          <w:tcPr>
            <w:tcW w:w="3340" w:type="dxa"/>
            <w:vAlign w:val="bottom"/>
          </w:tcPr>
          <w:p>
            <w:pPr>
              <w:spacing w:after="0"/>
              <w:rPr>
                <w:sz w:val="20"/>
                <w:szCs w:val="20"/>
                <w:color w:val="auto"/>
              </w:rPr>
            </w:pPr>
            <w:r>
              <w:rPr>
                <w:rFonts w:ascii="Arial" w:cs="Arial" w:eastAsia="Arial" w:hAnsi="Arial"/>
                <w:sz w:val="14"/>
                <w:szCs w:val="14"/>
                <w:color w:val="auto"/>
              </w:rPr>
              <w:t>Employees</w:t>
            </w: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80" w:type="dxa"/>
            <w:vAlign w:val="bottom"/>
          </w:tcPr>
          <w:p>
            <w:pPr>
              <w:ind w:left="480"/>
              <w:spacing w:after="0"/>
              <w:rPr>
                <w:sz w:val="20"/>
                <w:szCs w:val="20"/>
                <w:color w:val="auto"/>
              </w:rPr>
            </w:pPr>
            <w:r>
              <w:rPr>
                <w:rFonts w:ascii="Arial" w:cs="Arial" w:eastAsia="Arial" w:hAnsi="Arial"/>
                <w:sz w:val="14"/>
                <w:szCs w:val="14"/>
                <w:color w:val="auto"/>
              </w:rPr>
              <w:t>(various maturity dates)</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53"/>
        </w:trPr>
        <w:tc>
          <w:tcPr>
            <w:tcW w:w="33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Holophane Division of Acuity Brands Lighting</w:t>
            </w:r>
          </w:p>
        </w:tc>
        <w:tc>
          <w:tcPr>
            <w:tcW w:w="62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070</w:t>
            </w:r>
          </w:p>
        </w:tc>
        <w:tc>
          <w:tcPr>
            <w:tcW w:w="1120" w:type="dxa"/>
            <w:vAlign w:val="bottom"/>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58-2632672</w:t>
            </w:r>
          </w:p>
        </w:tc>
        <w:tc>
          <w:tcPr>
            <w:tcW w:w="172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Participant Loans</w:t>
            </w:r>
          </w:p>
        </w:tc>
        <w:tc>
          <w:tcPr>
            <w:tcW w:w="248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4.25% to 9.50%</w:t>
            </w:r>
          </w:p>
        </w:tc>
        <w:tc>
          <w:tcPr>
            <w:tcW w:w="980" w:type="dxa"/>
            <w:vAlign w:val="bottom"/>
            <w:shd w:val="clear" w:color="auto" w:fill="CCEEFF"/>
          </w:tcPr>
          <w:p>
            <w:pPr>
              <w:ind w:left="500"/>
              <w:spacing w:after="0" w:line="153"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314,605</w:t>
            </w: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401(k) Plan for Hourly Employees Covered by a</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(various maturity dates)</w:t>
            </w: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85"/>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Collective Bargaining Agreement</w:t>
            </w:r>
          </w:p>
        </w:tc>
        <w:tc>
          <w:tcPr>
            <w:tcW w:w="6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*Represents a party-in-interest as defined by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059"/>
        <w:spacing w:after="0"/>
        <w:rPr>
          <w:sz w:val="20"/>
          <w:szCs w:val="20"/>
          <w:color w:val="auto"/>
        </w:rPr>
      </w:pPr>
      <w:r>
        <w:rPr>
          <w:rFonts w:ascii="Arial" w:cs="Arial" w:eastAsia="Arial" w:hAnsi="Arial"/>
          <w:sz w:val="18"/>
          <w:szCs w:val="18"/>
          <w:b w:val="1"/>
          <w:bCs w:val="1"/>
          <w:color w:val="auto"/>
        </w:rPr>
        <w:t>EXHIBIT INDEX</w:t>
      </w:r>
    </w:p>
    <w:p>
      <w:pPr>
        <w:spacing w:after="0" w:line="3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ind w:left="180"/>
        <w:spacing w:after="0"/>
        <w:tabs>
          <w:tab w:leader="none" w:pos="13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6926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15" w:lineRule="exact"/>
        <w:rPr>
          <w:sz w:val="20"/>
          <w:szCs w:val="20"/>
          <w:color w:val="auto"/>
        </w:rPr>
      </w:pPr>
    </w:p>
    <w:p>
      <w:pPr>
        <w:ind w:left="740"/>
        <w:spacing w:after="0"/>
        <w:tabs>
          <w:tab w:leader="none" w:pos="13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BDO USA,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plans) have duly caused this annual report to be signed on its behalf by the undersigned hereunto duly authorized.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Acuity Inc. 401(k) Plan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Acuity Brands Lighting, Inc. 401(k) Plan for Hourly Employees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Holophane Division of Acuity Brands Lighting 401(k) Plan for Hourly Employees Covered by a Collective Bargaining Agreement</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10300" w:type="dxa"/>
            <w:vAlign w:val="bottom"/>
          </w:tcPr>
          <w:p>
            <w:pPr>
              <w:ind w:left="20"/>
              <w:spacing w:after="0"/>
              <w:rPr>
                <w:sz w:val="20"/>
                <w:szCs w:val="20"/>
                <w:color w:val="auto"/>
              </w:rPr>
            </w:pPr>
            <w:r>
              <w:rPr>
                <w:rFonts w:ascii="Arial" w:cs="Arial" w:eastAsia="Arial" w:hAnsi="Arial"/>
                <w:sz w:val="18"/>
                <w:szCs w:val="18"/>
                <w:color w:val="auto"/>
              </w:rPr>
              <w:t>Acuity Inc. Retirement Plan Committee</w:t>
            </w:r>
          </w:p>
        </w:tc>
      </w:tr>
      <w:tr>
        <w:trPr>
          <w:trHeight w:val="239"/>
        </w:trPr>
        <w:tc>
          <w:tcPr>
            <w:tcW w:w="900" w:type="dxa"/>
            <w:vAlign w:val="bottom"/>
          </w:tcPr>
          <w:p>
            <w:pPr>
              <w:spacing w:after="0"/>
              <w:rPr>
                <w:sz w:val="20"/>
                <w:szCs w:val="20"/>
                <w:color w:val="auto"/>
              </w:rPr>
            </w:pPr>
          </w:p>
        </w:tc>
        <w:tc>
          <w:tcPr>
            <w:tcW w:w="10300" w:type="dxa"/>
            <w:vAlign w:val="bottom"/>
          </w:tcPr>
          <w:p>
            <w:pPr>
              <w:ind w:left="20"/>
              <w:spacing w:after="0"/>
              <w:rPr>
                <w:sz w:val="20"/>
                <w:szCs w:val="20"/>
                <w:color w:val="auto"/>
              </w:rPr>
            </w:pPr>
            <w:r>
              <w:rPr>
                <w:rFonts w:ascii="Arial" w:cs="Arial" w:eastAsia="Arial" w:hAnsi="Arial"/>
                <w:sz w:val="18"/>
                <w:szCs w:val="18"/>
                <w:color w:val="auto"/>
              </w:rPr>
              <w:t>Plan Administrator</w:t>
            </w:r>
          </w:p>
        </w:tc>
      </w:tr>
      <w:tr>
        <w:trPr>
          <w:trHeight w:val="38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10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Karen J. Holcom</w:t>
            </w:r>
          </w:p>
        </w:tc>
      </w:tr>
      <w:tr>
        <w:trPr>
          <w:trHeight w:val="218"/>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10300" w:type="dxa"/>
            <w:vAlign w:val="bottom"/>
          </w:tcPr>
          <w:p>
            <w:pPr>
              <w:ind w:left="20"/>
              <w:spacing w:after="0"/>
              <w:rPr>
                <w:sz w:val="20"/>
                <w:szCs w:val="20"/>
                <w:color w:val="auto"/>
              </w:rPr>
            </w:pPr>
            <w:r>
              <w:rPr>
                <w:rFonts w:ascii="Arial" w:cs="Arial" w:eastAsia="Arial" w:hAnsi="Arial"/>
                <w:sz w:val="18"/>
                <w:szCs w:val="18"/>
                <w:color w:val="auto"/>
              </w:rPr>
              <w:t>Karen J. Holcom</w:t>
            </w:r>
          </w:p>
        </w:tc>
      </w:tr>
      <w:tr>
        <w:trPr>
          <w:trHeight w:val="23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103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Acuity Inc. Selected 401(k)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hereby consent to the incorporation by reference in the Registration Statement on Form S-8 (333-74242 and 333-123999) of Acuity Inc. of our report dated June 26, 2026, relating to the financial statements and supplemental schedules of Acuity, Inc. 401(k) Plan, Acuity Brands Lighting, Inc. 401(k) Plan for Hourly Employees, and Holophane Division of Acuity Brands Lighting, Inc. 401(k) Plan for Hourly Employees Covered by a Collective Bargaining Agreement which appear in this Form 11-K for the year ended December 31, 2025.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26,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upperLetter"/>
      <w:start w:val="1"/>
    </w:lvl>
  </w:abstractNum>
  <w:abstractNum w:abstractNumId="3">
    <w:nsid w:val="238E1F29"/>
    <w:multiLevelType w:val="hybridMultilevel"/>
    <w:lvl w:ilvl="0">
      <w:lvlJc w:val="left"/>
      <w:lvlText w:val="%1."/>
      <w:numFmt w:val="upperLetter"/>
      <w:start w:val="2"/>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2026-06-26T17:58:10Z</dcterms:created>
  <dcterms:modified xsi:type="dcterms:W3CDTF">2026-06-26T17:58:10Z</dcterms:modified>
</cp:coreProperties>
</file>