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940" w:right="1380" w:hanging="2440"/>
        <w:spacing w:after="0" w:line="442" w:lineRule="auto"/>
        <w:tabs>
          <w:tab w:leader="none" w:pos="24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February 28,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402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3280" w:type="dxa"/>
            <w:vAlign w:val="bottom"/>
          </w:tcPr>
          <w:p>
            <w:pPr>
              <w:jc w:val="center"/>
              <w:ind w:left="206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4020" w:type="dxa"/>
            <w:vAlign w:val="bottom"/>
          </w:tcPr>
          <w:p>
            <w:pPr>
              <w:jc w:val="center"/>
              <w:ind w:right="206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280" w:type="dxa"/>
            <w:vAlign w:val="bottom"/>
          </w:tcPr>
          <w:p>
            <w:pPr>
              <w:jc w:val="center"/>
              <w:ind w:left="206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4020" w:type="dxa"/>
            <w:vAlign w:val="bottom"/>
          </w:tcPr>
          <w:p>
            <w:pPr>
              <w:jc w:val="center"/>
              <w:ind w:right="2068"/>
              <w:spacing w:after="0"/>
              <w:rPr>
                <w:sz w:val="20"/>
                <w:szCs w:val="20"/>
                <w:color w:val="auto"/>
              </w:rPr>
            </w:pPr>
            <w:r>
              <w:rPr>
                <w:rFonts w:ascii="Arial" w:cs="Arial" w:eastAsia="Arial" w:hAnsi="Arial"/>
                <w:sz w:val="14"/>
                <w:szCs w:val="14"/>
                <w:i w:val="1"/>
                <w:iCs w:val="1"/>
                <w:color w:val="auto"/>
              </w:rPr>
              <w:t>incorporation or organization)</w:t>
            </w:r>
          </w:p>
        </w:tc>
        <w:tc>
          <w:tcPr>
            <w:tcW w:w="3280" w:type="dxa"/>
            <w:vAlign w:val="bottom"/>
          </w:tcPr>
          <w:p>
            <w:pPr>
              <w:jc w:val="center"/>
              <w:ind w:left="2088"/>
              <w:spacing w:after="0"/>
              <w:rPr>
                <w:sz w:val="20"/>
                <w:szCs w:val="20"/>
                <w:color w:val="auto"/>
              </w:rPr>
            </w:pPr>
            <w:r>
              <w:rPr>
                <w:rFonts w:ascii="Arial" w:cs="Arial" w:eastAsia="Arial" w:hAnsi="Arial"/>
                <w:sz w:val="14"/>
                <w:szCs w:val="14"/>
                <w:i w:val="1"/>
                <w:iCs w:val="1"/>
                <w:color w:val="auto"/>
              </w:rPr>
              <w:t>Identification No.)</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88"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30,904,948 shares as of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February 28, 2025 (Unaudited) and August 31, 2024</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and six months ended February 28, 2025 and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82" w:lineRule="exact"/>
              <w:rPr>
                <w:sz w:val="20"/>
                <w:szCs w:val="20"/>
                <w:color w:val="auto"/>
              </w:rPr>
            </w:pPr>
            <w:r>
              <w:rPr>
                <w:rFonts w:ascii="Arial" w:cs="Arial" w:eastAsia="Arial" w:hAnsi="Arial"/>
                <w:sz w:val="16"/>
                <w:szCs w:val="16"/>
                <w:color w:val="0000FF"/>
              </w:rPr>
              <w:t>February 29, 2024</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Six months ended February 28, 2025 and February 29, 2024</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Other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February 28, 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2024</w:t>
            </w:r>
          </w:p>
        </w:tc>
      </w:tr>
      <w:tr>
        <w:trPr>
          <w:trHeight w:val="196"/>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$3.0 and $1.9, respectively</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577.6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563.0</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303.9</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1,450.3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1,098.7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debt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110.1</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w:t>
            </w:r>
          </w:p>
        </w:tc>
      </w:tr>
      <w:tr>
        <w:trPr>
          <w:trHeight w:val="192"/>
        </w:trPr>
        <w:tc>
          <w:tcPr>
            <w:tcW w:w="72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801.1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687.9</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58.1</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1,435.8</w:t>
            </w:r>
          </w:p>
        </w:tc>
      </w:tr>
      <w:tr>
        <w:trPr>
          <w:trHeight w:val="18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Common stock, $0.01 par value per share; 500.0 shares authorized; 54.9 and 54.6 shares issued, respectively</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1,115.9</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4,084.0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3,909.8</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of 23.9 and 23.8 shares, respectively</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(2,532.5)</w:t>
            </w:r>
          </w:p>
        </w:tc>
      </w:tr>
      <w:tr>
        <w:trPr>
          <w:trHeight w:val="196"/>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2,378.8</w:t>
            </w:r>
          </w:p>
        </w:tc>
      </w:tr>
      <w:tr>
        <w:trPr>
          <w:trHeight w:val="200"/>
        </w:trPr>
        <w:tc>
          <w:tcPr>
            <w:tcW w:w="72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3,814.6</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tcPr>
          <w:p>
            <w:pPr>
              <w:spacing w:after="0"/>
              <w:rPr>
                <w:sz w:val="18"/>
                <w:szCs w:val="18"/>
                <w:color w:val="auto"/>
              </w:rPr>
            </w:pPr>
          </w:p>
        </w:tc>
      </w:tr>
      <w:tr>
        <w:trPr>
          <w:trHeight w:val="209"/>
        </w:trPr>
        <w:tc>
          <w:tcPr>
            <w:tcW w:w="512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2025</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2024</w:t>
            </w: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2025</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2024</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1,957.9</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1,840.6</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999.8</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840.8</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(income), net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Miscellaneous expense, net</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248.5</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6"/>
        </w:trPr>
        <w:tc>
          <w:tcPr>
            <w:tcW w:w="5120" w:type="dxa"/>
            <w:vAlign w:val="bottom"/>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1"/>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earnings per share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20" w:type="dxa"/>
            <w:vAlign w:val="bottom"/>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30.999</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30.957</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earnings per share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20" w:type="dxa"/>
            <w:vAlign w:val="bottom"/>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31.700</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31.742</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31.388</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per share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189.8</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 items: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plans, net of tax</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comprehensive (loss) income items, net of tax</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2025</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29, 2024</w:t>
            </w: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184.2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credit facility</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during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Interest paid during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Effective March 26, 2025, we changed our corporate name from Acuity Brands, Inc. to Acuity Inc.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Brands Lighting Segment (ABL)</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mission at Acuity Brands Lighting is to provide sustainable, inspiring, and intelligent lighting solutions that enrich communities where people live, learn, work, and play. We bring this mission to life through our strategy which is to increase product vitality, elevate service levels, use technology to improve and differentiate both our products and how we operate the business, and to drive productivity. At Acuity Brands Lighting, our offering combines innovative luminaires with advanced electronics. Our luminaires deliver exceptional performance and aesthetic appeal, while our electronics portfolio, featuring drivers and a leading controls platform, ensures seamless connectivity and superior functionality. Together, these elements form the foundation of our comprehensive lighting solutions. Acuity Brands Lighting's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SensorSwitch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Verjure</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Customers of Acuity Brands Lighting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OEM customers. Products are delivered directly from our manufacturing facilities or through a network of distribution centers.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Intelligent Spaces Segment (AIS)</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mission at Acuity Intelligent Spaces is to make spaces smarter, safer, and greener through our strategy of connecting the edge with the cloud using disruptive technologies that leverage data interoperability. Through Atrius</w:t>
      </w:r>
      <w:r>
        <w:rPr>
          <w:rFonts w:ascii="Arial" w:cs="Arial" w:eastAsia="Arial" w:hAnsi="Arial"/>
          <w:sz w:val="28"/>
          <w:szCs w:val="28"/>
          <w:color w:val="auto"/>
          <w:vertAlign w:val="superscript"/>
        </w:rPr>
        <w:t>TM</w:t>
      </w:r>
      <w:r>
        <w:rPr>
          <w:rFonts w:ascii="Arial" w:cs="Arial" w:eastAsia="Arial" w:hAnsi="Arial"/>
          <w:sz w:val="18"/>
          <w:szCs w:val="18"/>
          <w:color w:val="auto"/>
        </w:rPr>
        <w:t>, Distech Controls</w:t>
      </w:r>
      <w:r>
        <w:rPr>
          <w:rFonts w:ascii="Arial" w:cs="Arial" w:eastAsia="Arial" w:hAnsi="Arial"/>
          <w:sz w:val="28"/>
          <w:szCs w:val="28"/>
          <w:color w:val="auto"/>
          <w:vertAlign w:val="superscript"/>
        </w:rPr>
        <w:t>TM</w:t>
      </w:r>
      <w:r>
        <w:rPr>
          <w:rFonts w:ascii="Arial" w:cs="Arial" w:eastAsia="Arial" w:hAnsi="Arial"/>
          <w:sz w:val="18"/>
          <w:szCs w:val="18"/>
          <w:color w:val="auto"/>
        </w:rPr>
        <w:t>, and QSC</w:t>
      </w:r>
      <w:r>
        <w:rPr>
          <w:rFonts w:ascii="Arial" w:cs="Arial" w:eastAsia="Arial" w:hAnsi="Arial"/>
          <w:sz w:val="28"/>
          <w:szCs w:val="28"/>
          <w:color w:val="auto"/>
          <w:vertAlign w:val="superscript"/>
        </w:rPr>
        <w:t>®</w:t>
      </w:r>
      <w:r>
        <w:rPr>
          <w:rFonts w:ascii="Arial" w:cs="Arial" w:eastAsia="Arial" w:hAnsi="Arial"/>
          <w:sz w:val="18"/>
          <w:szCs w:val="18"/>
          <w:color w:val="auto"/>
        </w:rPr>
        <w:t>, we control how a built space operates and the experiences that happen within that space. We have a unique collection of disruptive technologies, which are delivering distinct end-user outcomes. In the future, we can continue to add to those end-user outcomes through data interoperability.</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Atrius intelligent building software enhances the occupant experience, improves building system management, and automates labor intensive tasks while delivering operational energy efficiency and cost reductions. Our Distech Controls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building management platform includes products for controlling heating, ventilation, and air conditioning (“HVAC”), lighting, shades, and building access that deliver end-to-end optimization of those building systems. Q-SYS, our innovative full stack audio, video and control platform, unifies data, devices and a cloud-first architecture, empowering organizations to deliver transformative AV experiences across built spaces. QSC Audio delivers audio technology that empowers live entertainers and sound reinforcement professionals to create and deliver memorable experiences.</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Acuity Intelligent Spaces goes to market primarily through system integrators and key customer verticals include retail stores, airports, universities, enterprise campuses, and hospitality among many other broad applications throughout North America, Europe and other select international locations.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Inc. and its wholly-owned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28, 2025, our consolidated comprehensive income for the three and six months ended February 28, 2025 and February 29, 2024, and our consolidated cash flows for the six months ended February 28, 2025 and February 29, 2024.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2024 and notes thereto included in our Annual Report on Form 10-K filed with the Securities and Exchange Commission (the “SEC”) on October 28, 2024 (“Form 10-K”).</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QSC, LLC</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2025, we acquired all of the equity interests of QSC, LLC (“QSC”), a leader in the design, engineering, and manufacturing of audio, video, and control solutions and services, for $1.2 billion in cash. This acquisition is intended to expand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indebtedness.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accounted for the acquisition of QSC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Acquisition-related professional fees were expensed as incurred for $14.1 million and $18.7 million for the three and six months ended February 28, 2025, respectively. These costs were recorded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were reflected in our unallocated corporate amounts.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preliminary fair values of the assets and liabilities obtained in connection with the QSC acquisition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1, 2025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4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Purchase Price Allocation</w:t>
            </w:r>
          </w:p>
        </w:tc>
      </w:tr>
      <w:tr>
        <w:trPr>
          <w:trHeight w:val="19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Cash consideration</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1,203.0</w:t>
            </w:r>
          </w:p>
        </w:tc>
      </w:tr>
      <w:tr>
        <w:trPr>
          <w:trHeight w:val="257"/>
        </w:trPr>
        <w:tc>
          <w:tcPr>
            <w:tcW w:w="90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6"/>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0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w:t>
            </w:r>
            <w:r>
              <w:rPr>
                <w:rFonts w:ascii="Arial" w:cs="Arial" w:eastAsia="Arial" w:hAnsi="Arial"/>
                <w:sz w:val="21"/>
                <w:szCs w:val="21"/>
                <w:color w:val="auto"/>
                <w:vertAlign w:val="superscript"/>
              </w:rPr>
              <w:t>(1)</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w:t>
            </w: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17"/>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7"/>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5"/>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r>
      <w:tr>
        <w:trPr>
          <w:trHeight w:val="210"/>
        </w:trPr>
        <w:tc>
          <w:tcPr>
            <w:tcW w:w="90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identifiable assets</w:t>
            </w:r>
          </w:p>
        </w:tc>
        <w:tc>
          <w:tcPr>
            <w:tcW w:w="8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984.9</w:t>
            </w:r>
          </w:p>
        </w:tc>
      </w:tr>
      <w:tr>
        <w:trPr>
          <w:trHeight w:val="237"/>
        </w:trPr>
        <w:tc>
          <w:tcPr>
            <w:tcW w:w="9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7"/>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r>
      <w:tr>
        <w:trPr>
          <w:trHeight w:val="210"/>
        </w:trPr>
        <w:tc>
          <w:tcPr>
            <w:tcW w:w="90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assumed</w:t>
            </w:r>
          </w:p>
        </w:tc>
        <w:tc>
          <w:tcPr>
            <w:tcW w:w="8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37"/>
        </w:trPr>
        <w:tc>
          <w:tcPr>
            <w:tcW w:w="9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identifiable net assets</w:t>
            </w:r>
          </w:p>
        </w:tc>
        <w:tc>
          <w:tcPr>
            <w:tcW w:w="8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w:t>
            </w:r>
          </w:p>
        </w:tc>
      </w:tr>
      <w:tr>
        <w:trPr>
          <w:trHeight w:val="209"/>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r>
      <w:tr>
        <w:trPr>
          <w:trHeight w:val="20"/>
        </w:trPr>
        <w:tc>
          <w:tcPr>
            <w:tcW w:w="9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Gross intangible assets of $702.6 million reflect estimates for definite-lived intangibles with a preliminary estimated weighted average useful life of approximately 15 years.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Assets and liabilities for QSC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February 28, 2025. Approximately $275.0 million of the preliminary goodwill is expected to be deductible for tax purposes. The preliminary goodwill is recorded in the AIS segment, and it is primarily comprised of benefits related to expanding AIS’ technology and audio, video, and control solution product portfolios.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recorded for acquired assets and liabilities are deemed to be provisional until disclosed otherwise, as we continue to gather information related to the identification and valuation of acquired assets and liabilities, including but not limited to, intangible assets, potential liabilities, tax-related items, and final net working capital adjustments, if any. These amounts are expected to change as we finalize the allocation.</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operating results of QSC have been included in our consolidated financial statements since the date of acquisition. The following table provides the amount of QSC net sales and net income included within our consolidated financial statements since the acquisition date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4"/>
          </w:tcPr>
          <w:p>
            <w:pPr>
              <w:jc w:val="right"/>
              <w:ind w:right="1619"/>
              <w:spacing w:after="0"/>
              <w:rPr>
                <w:sz w:val="20"/>
                <w:szCs w:val="20"/>
                <w:color w:val="auto"/>
              </w:rPr>
            </w:pPr>
            <w:r>
              <w:rPr>
                <w:rFonts w:ascii="Arial" w:cs="Arial" w:eastAsia="Arial" w:hAnsi="Arial"/>
                <w:sz w:val="16"/>
                <w:szCs w:val="16"/>
                <w:b w:val="1"/>
                <w:bCs w:val="1"/>
                <w:color w:val="auto"/>
              </w:rPr>
              <w:t>February 28, 2025</w:t>
            </w:r>
          </w:p>
        </w:tc>
      </w:tr>
      <w:tr>
        <w:trPr>
          <w:trHeight w:val="209"/>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060" w:type="dxa"/>
            <w:vAlign w:val="bottom"/>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85"/>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0" w:lineRule="exact"/>
        <w:rPr>
          <w:sz w:val="20"/>
          <w:szCs w:val="20"/>
          <w:color w:val="auto"/>
        </w:rPr>
      </w:pPr>
    </w:p>
    <w:p>
      <w:pPr>
        <w:ind w:right="200" w:firstLine="8"/>
        <w:spacing w:after="0" w:line="282"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Net income includes preliminary pre-tax nonrecurring acquisition date fair value adjustments to inventory of $10.4 million and preliminary amortization of acquired intangible assets of $7.8 million for the three and six months ended February 28,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unaudited pro forma financial information to show the impacts of the QSC acquisition to our consolidated results assuming the acquisition closed as of the first day of our prior fiscal year. The unaudited pro forma information is not necessarily indicative of our results of operations had the acquisition been completed on this date, neither is it necessarily indicative of our future results. Amounts in the table below combine our previously reported results with QSC’s results for the corresponding periods as well as adjustments for purchase accounting, accounting policy alignments, changes to our capital structure, including additional interest expense associated with borrowings to fund the acquisition, and other nonrecurring items that were incurred in connection with the acquisition, assuming they occurred as of September 1, 2023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ind w:left="640"/>
              <w:spacing w:after="0"/>
              <w:rPr>
                <w:sz w:val="20"/>
                <w:szCs w:val="20"/>
                <w:color w:val="auto"/>
              </w:rPr>
            </w:pPr>
            <w:r>
              <w:rPr>
                <w:rFonts w:ascii="Arial" w:cs="Arial" w:eastAsia="Arial" w:hAnsi="Arial"/>
                <w:sz w:val="16"/>
                <w:szCs w:val="16"/>
                <w:b w:val="1"/>
                <w:bCs w:val="1"/>
                <w:color w:val="auto"/>
              </w:rPr>
              <w:t>Quarter-to-Date</w:t>
            </w:r>
          </w:p>
        </w:tc>
        <w:tc>
          <w:tcPr>
            <w:tcW w:w="140" w:type="dxa"/>
            <w:vAlign w:val="bottom"/>
          </w:tcPr>
          <w:p>
            <w:pPr>
              <w:spacing w:after="0"/>
              <w:rPr>
                <w:sz w:val="18"/>
                <w:szCs w:val="18"/>
                <w:color w:val="auto"/>
              </w:rPr>
            </w:pPr>
          </w:p>
        </w:tc>
        <w:tc>
          <w:tcPr>
            <w:tcW w:w="260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Year-to-Date</w:t>
            </w:r>
          </w:p>
        </w:tc>
      </w:tr>
      <w:tr>
        <w:trPr>
          <w:trHeight w:val="156"/>
        </w:trPr>
        <w:tc>
          <w:tcPr>
            <w:tcW w:w="5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6"/>
                <w:szCs w:val="16"/>
                <w:b w:val="1"/>
                <w:bCs w:val="1"/>
                <w:color w:val="auto"/>
              </w:rPr>
              <w:t>February 28,</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6"/>
                <w:szCs w:val="16"/>
                <w:b w:val="1"/>
                <w:bCs w:val="1"/>
                <w:color w:val="auto"/>
              </w:rPr>
              <w:t>February 28,</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February 29,</w:t>
            </w:r>
          </w:p>
        </w:tc>
      </w:tr>
      <w:tr>
        <w:trPr>
          <w:trHeight w:val="216"/>
        </w:trPr>
        <w:tc>
          <w:tcPr>
            <w:tcW w:w="5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2,096.4</w:t>
            </w:r>
          </w:p>
        </w:tc>
      </w:tr>
      <w:tr>
        <w:trPr>
          <w:trHeight w:val="285"/>
        </w:trPr>
        <w:tc>
          <w:tcPr>
            <w:tcW w:w="56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148.5</w:t>
            </w: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82" w:lineRule="exact"/>
        <w:rPr>
          <w:sz w:val="20"/>
          <w:szCs w:val="20"/>
          <w:color w:val="auto"/>
        </w:rPr>
      </w:pPr>
    </w:p>
    <w:p>
      <w:pPr>
        <w:jc w:val="both"/>
        <w:ind w:firstLine="8"/>
        <w:spacing w:after="0" w:line="332" w:lineRule="auto"/>
        <w:tabs>
          <w:tab w:leader="none" w:pos="172"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Pro forma net income for the quarter-to-date period ended February 29, 2024 includes preliminary pre-tax nonrecurring acquisition date fair value adjustments to inventory of $6.8 million. Pro forma net income for the year-to-date period ending February 29, 2024 includes preliminary pre-tax nonrecurring acquisition date fair value adjustments to inventory of $22.5 million and acquisition-related costs of $18.7 million. We did not have any other significant nonrecurring pro forma adjustments directly attributable to the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Arize Assets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6"/>
          <w:szCs w:val="16"/>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2024-03, Income Statement - Reporting Comprehensive Income - Expense Disaggregation Disclosures (Topic 220): Disaggregation of Income Statement Expenses (</w:t>
      </w:r>
      <w:r>
        <w:rPr>
          <w:rFonts w:ascii="Arial" w:cs="Arial" w:eastAsia="Arial" w:hAnsi="Arial"/>
          <w:sz w:val="18"/>
          <w:szCs w:val="18"/>
          <w:color w:val="auto"/>
        </w:rPr>
        <w:t>“</w:t>
      </w:r>
      <w:r>
        <w:rPr>
          <w:rFonts w:ascii="Arial" w:cs="Arial" w:eastAsia="Arial" w:hAnsi="Arial"/>
          <w:sz w:val="18"/>
          <w:szCs w:val="18"/>
          <w:i w:val="1"/>
          <w:iCs w:val="1"/>
          <w:color w:val="auto"/>
        </w:rPr>
        <w:t>ASU 2024-03</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Financial Accounting Standards Board (“FASB”) issued ASU 2024-03, which requires public entities to disaggregate specific types of expenses, including disclosures for purchases of inventory, employee compensation, depreciation, and intangible asset amortization, as well as selling expenses. Annual disclosures are required for fiscal years beginning after December 15, 2026, or our fiscal 2028. Interim disclosures are required for periods within fiscal years beginning after December 15, 2027, or our fiscal 2029. Prospective application is required, and retrospective application is permitted.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ASU 2023-09 is effective for fiscal years beginning after December 15, 2024, or our fiscal 2026. The amendments may be applied prospectively or retrospectively, and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 (</w:t>
      </w:r>
      <w:r>
        <w:rPr>
          <w:rFonts w:ascii="Arial" w:cs="Arial" w:eastAsia="Arial" w:hAnsi="Arial"/>
          <w:sz w:val="18"/>
          <w:szCs w:val="18"/>
          <w:color w:val="auto"/>
        </w:rPr>
        <w:t>“</w:t>
      </w:r>
      <w:r>
        <w:rPr>
          <w:rFonts w:ascii="Arial" w:cs="Arial" w:eastAsia="Arial" w:hAnsi="Arial"/>
          <w:sz w:val="18"/>
          <w:szCs w:val="18"/>
          <w:i w:val="1"/>
          <w:iCs w:val="1"/>
          <w:color w:val="auto"/>
        </w:rPr>
        <w:t>ASU 2023-07</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allocate resources. Annual disclosures are required for fiscal years beginning after December 15, 2023 or our fiscal 2025. Interim disclosures are required for periods within fiscal years beginning after December 15, 2024, or our fiscal 2026. Retrospective application is required for all prior periods presented, and early adoption is permitted. We are currently assessing the impact of the requirements on our consolidated financial statements and disclosures.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February 28, 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August 31, 2024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20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r>
      <w:tr>
        <w:trPr>
          <w:trHeight w:val="209"/>
        </w:trPr>
        <w:tc>
          <w:tcPr>
            <w:tcW w:w="2760" w:type="dxa"/>
            <w:vAlign w:val="bottom"/>
          </w:tcPr>
          <w:p>
            <w:pPr>
              <w:ind w:left="20"/>
              <w:spacing w:after="0"/>
              <w:rPr>
                <w:sz w:val="20"/>
                <w:szCs w:val="20"/>
                <w:color w:val="auto"/>
              </w:rPr>
            </w:pPr>
            <w:r>
              <w:rPr>
                <w:rFonts w:ascii="Arial" w:cs="Arial" w:eastAsia="Arial" w:hAnsi="Arial"/>
                <w:sz w:val="16"/>
                <w:szCs w:val="16"/>
                <w:color w:val="auto"/>
              </w:rPr>
              <w:t>Assets in fair value hierarchy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845.8</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w:t>
            </w: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such as the discount rate and estimates of future cash flows.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 for our senior unsecured public notes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$432.7 million and $429.7 million as of February 28, 2025 and August 31, 2024, respectively.</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$600.0 million and no borrowings outstanding under our credit agreement as of February 28, 2025 and August 31, 2024, respectively. Such borrowings are variable-rate instruments that reset on a frequent short-term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2025</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and obsolete inventory primarily based on estimated future demand and current market conditions. A significant change in customer demand and/or market conditions could render certain inventory obsolete and could have a material adverse impact on our operating results in the period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2025</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amortization expense for definite-lived intangible assets of $16.8 million and $10.0 million during the three months ended February 28, 2025 and February 29, 2024, respectively, and $25.5 million and $19.9 million during the six months ended February 28, 2025 and February 29, 2024, respectively. During the six months ended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February 28, 2025, we acquired goodwill and intangible assets as part of the QSC acquisition. Refer to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Acuity Brands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Acuity Intelligent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Lighting</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Spaces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2024</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Provisional amounts from acquired business</w:t>
            </w:r>
          </w:p>
        </w:tc>
        <w:tc>
          <w:tcPr>
            <w:tcW w:w="2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color w:val="auto"/>
              </w:rPr>
              <w:t>Balance at February 28, 2025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1,450.3</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Acuity Brands</w:t>
            </w: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Acuity Intelligent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Lighting</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Spaces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2023</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1,097.9</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February 29, 2024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Customer incentive programs</w:t>
      </w:r>
      <w:r>
        <w:rPr>
          <w:rFonts w:ascii="Arial" w:cs="Arial" w:eastAsia="Arial" w:hAnsi="Arial"/>
          <w:sz w:val="20"/>
          <w:szCs w:val="20"/>
          <w:color w:val="auto"/>
          <w:vertAlign w:val="superscript"/>
        </w:rPr>
        <w:t>(1)</w:t>
      </w:r>
    </w:p>
    <w:p>
      <w:pPr>
        <w:ind w:left="20"/>
        <w:spacing w:after="0" w:line="226" w:lineRule="auto"/>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p>
      <w:pPr>
        <w:ind w:left="20"/>
        <w:spacing w:after="0" w:line="215" w:lineRule="auto"/>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Sales commissions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Freight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(2)</w:t>
      </w:r>
    </w:p>
    <w:p>
      <w:pPr>
        <w:ind w:left="20"/>
        <w:spacing w:after="0" w:line="214" w:lineRule="auto"/>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p>
      <w:pPr>
        <w:ind w:left="20"/>
        <w:spacing w:after="0" w:line="215" w:lineRule="auto"/>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(4)</w:t>
      </w:r>
    </w:p>
    <w:p>
      <w:pPr>
        <w:ind w:left="20"/>
        <w:spacing w:after="0"/>
        <w:rPr>
          <w:sz w:val="20"/>
          <w:szCs w:val="20"/>
          <w:color w:val="auto"/>
        </w:rPr>
      </w:pPr>
      <w:r>
        <w:rPr>
          <w:rFonts w:ascii="Arial" w:cs="Arial" w:eastAsia="Arial" w:hAnsi="Arial"/>
          <w:sz w:val="16"/>
          <w:szCs w:val="16"/>
          <w:color w:val="auto"/>
        </w:rPr>
        <w:t>Other</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other current liabilities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2025</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2024</w:t>
            </w:r>
          </w:p>
        </w:tc>
      </w:tr>
      <w:tr>
        <w:trPr>
          <w:trHeight w:val="208"/>
        </w:trPr>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15"/>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r>
      <w:tr>
        <w:trPr>
          <w:trHeight w:val="21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-1422400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-1139190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-864870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-591185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-316865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6440" w:space="720"/>
            <w:col w:w="4080"/>
          </w:cols>
          <w:pgMar w:left="320" w:top="122"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53" w:lineRule="exact"/>
        <w:rPr>
          <w:rFonts w:ascii="Arial" w:cs="Arial" w:eastAsia="Arial" w:hAnsi="Arial"/>
          <w:sz w:val="18"/>
          <w:szCs w:val="18"/>
          <w:color w:val="auto"/>
          <w:vertAlign w:val="superscript"/>
        </w:rPr>
      </w:pPr>
    </w:p>
    <w:p>
      <w:pPr>
        <w:ind w:left="140" w:hanging="132"/>
        <w:spacing w:after="0" w:line="229"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accruals for income, property, sales and use, and value-added taxes.</w:t>
      </w:r>
    </w:p>
    <w:p>
      <w:pPr>
        <w:spacing w:after="0" w:line="40"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Inc. and ABL IP Holding LLC, a wholly-owned subsidiary of Acuity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outstanding under the Revolving Credit Facility at February 28, 2025 and August 31, 2024.</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November 25, 2024, we entered into an amendment to the Credit Agreement that, among other things, provided for a delayed draw term loan facility of up to $600.0 million (the “Term Loan Facility”), which could be drawn in a single borrowing at any time, subject to certain conditions. In connection with the acquisition of QSC, we incurred an aggregate $600.0 million in indebtedness under the Term Loan Facility. We had $ 600.0 million in borrowings outstanding under the Term Loan Facility at February 28, 2025, of which $ 100.0 million is expected to be repaid within one year and therefore is reflected within </w:t>
      </w:r>
      <w:r>
        <w:rPr>
          <w:rFonts w:ascii="Arial" w:cs="Arial" w:eastAsia="Arial" w:hAnsi="Arial"/>
          <w:sz w:val="18"/>
          <w:szCs w:val="18"/>
          <w:i w:val="1"/>
          <w:iCs w:val="1"/>
          <w:color w:val="auto"/>
        </w:rPr>
        <w:t>Current maturitie</w:t>
      </w:r>
      <w:r>
        <w:rPr>
          <w:rFonts w:ascii="Arial" w:cs="Arial" w:eastAsia="Arial" w:hAnsi="Arial"/>
          <w:sz w:val="18"/>
          <w:szCs w:val="18"/>
          <w:color w:val="auto"/>
        </w:rPr>
        <w:t xml:space="preserve">s </w:t>
      </w:r>
      <w:r>
        <w:rPr>
          <w:rFonts w:ascii="Arial" w:cs="Arial" w:eastAsia="Arial" w:hAnsi="Arial"/>
          <w:sz w:val="18"/>
          <w:szCs w:val="18"/>
          <w:i w:val="1"/>
          <w:iCs w:val="1"/>
          <w:color w:val="auto"/>
        </w:rPr>
        <w:t>of debt</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Facility will mature on June 30, 2027, which is the maturity date of the revolving loans and commitments under the existing Credit Agreement. Borrowings under the Term Loan Facility bear interest at an adjusted term Secured Overnight Financing Rate (“SOFR”), adjusted daily simple SOFR rate, or base rate, at the Company’s option, plus an applicable margin. The applicable margin is based on, at our option, the Company’s leverage ratio or ratings level, each as defined in the Credit Agreement, and ranges from 0.875% to 1.375% (for SOFR-based loans) and from 0.0% to 0.375% (for base rate loans). Undrawn commitments under the Term Loan Facility will accrue a commitment fee from and after February 24, 2025 at a per annum rate ranging from 0.075% to 0.175%, depending on, at our option, the Company’s leverage ratio or ratings level, each as defined in the Credit Agreement.</w:t>
      </w:r>
    </w:p>
    <w:p>
      <w:pPr>
        <w:spacing w:after="0" w:line="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covenants and events of default that apply to the revolving loans and commitments under the Credit Agreement also apply to the Term Loan Facility, and borrowings under the Term Loan Facility are guaranteed by the Company and the subsidiaries of the Company that guarantee the revolving loans and commitments.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February 28, 2025, we had additional borrowing capacity under the Credit Agreement of $595.8 million under the most restrictive covenant in effect at the time, which represents the full amount of the Revolving Credit Facility less outstanding letters of credit of $4.2 million issued under the Revolving Credit Facility, primarily for securing collateral requirements under our casualty insurance premiums.</w:t>
      </w:r>
    </w:p>
    <w:p>
      <w:pPr>
        <w:spacing w:after="0" w:line="9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28, 2025,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or less that assures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assume that historical experience will continue to be the best indicator of future warranty costs, we cannot assure that future warranty costs will not exceed historical amounts, and/or loss recoveries will not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based upon when we expect to settle the incurred warranty. The following table summarizes changes in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product warranty costs during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2025</w:t>
            </w:r>
          </w:p>
        </w:tc>
        <w:tc>
          <w:tcPr>
            <w:tcW w:w="22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29, 2024</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6"/>
        </w:trPr>
        <w:tc>
          <w:tcPr>
            <w:tcW w:w="7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Payments and other deductions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60" w:hanging="152"/>
        <w:spacing w:after="0" w:line="207"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Amounts exclude any estimated or actual loss recoveries.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2,378.8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4,012.0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(2,537.9)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2,463.4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3,505.4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29,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2,149.6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2025</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41.5</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service-type warranty and professional service fees collected prior to performing the related service as well as software licenses.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These services are expected to be performed within one year. Revenue recognized from beginning balances of contract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February 28, 2025 totaled $9.8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February 28, 2025 and consist primarily of orders for physical goods that have not yet been shipped.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Acuity Brands Lighting segment's products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Acuity Intelligent Spaces sells predominantly to system integrators. The following table shows revenue from contracts with customers by sales channel and reconciles to our segment information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February 29,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2024</w:t>
            </w: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Acuity Brands Lighting:</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615.2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612.3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1,259.1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1,237.5</w:t>
            </w: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5"/>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Acuity Brands Lighting</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1,719.9</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Acuity Intelligent Spaces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w:t>
            </w:r>
          </w:p>
        </w:tc>
      </w:tr>
      <w:tr>
        <w:trPr>
          <w:trHeight w:val="21"/>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2024</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ind w:left="9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February 29,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February 29, 2024</w:t>
            </w: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center"/>
              <w:ind w:left="1179"/>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center"/>
              <w:ind w:left="1179"/>
              <w:spacing w:after="0"/>
              <w:rPr>
                <w:sz w:val="20"/>
                <w:szCs w:val="20"/>
                <w:color w:val="auto"/>
              </w:rPr>
            </w:pPr>
            <w:r>
              <w:rPr>
                <w:rFonts w:ascii="Arial" w:cs="Arial" w:eastAsia="Arial" w:hAnsi="Arial"/>
                <w:sz w:val="16"/>
                <w:szCs w:val="16"/>
                <w:color w:val="auto"/>
                <w:w w:val="98"/>
              </w:rPr>
              <w:t>2.3</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1620" w:type="dxa"/>
            <w:vAlign w:val="bottom"/>
          </w:tcPr>
          <w:p>
            <w:pPr>
              <w:jc w:val="center"/>
              <w:ind w:left="1199"/>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left="1179"/>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left="1199"/>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left="1179"/>
              <w:spacing w:after="0"/>
              <w:rPr>
                <w:sz w:val="20"/>
                <w:szCs w:val="20"/>
                <w:color w:val="auto"/>
              </w:rPr>
            </w:pPr>
            <w:r>
              <w:rPr>
                <w:rFonts w:ascii="Arial" w:cs="Arial" w:eastAsia="Arial" w:hAnsi="Arial"/>
                <w:sz w:val="16"/>
                <w:szCs w:val="16"/>
                <w:color w:val="auto"/>
                <w:w w:val="98"/>
              </w:rPr>
              <w:t>4.9</w:t>
            </w: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1179"/>
              <w:spacing w:after="0"/>
              <w:rPr>
                <w:sz w:val="20"/>
                <w:szCs w:val="20"/>
                <w:color w:val="auto"/>
              </w:rPr>
            </w:pPr>
            <w:r>
              <w:rPr>
                <w:rFonts w:ascii="Arial" w:cs="Arial" w:eastAsia="Arial" w:hAnsi="Arial"/>
                <w:sz w:val="16"/>
                <w:szCs w:val="16"/>
                <w:color w:val="auto"/>
                <w:w w:val="97"/>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17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1179"/>
              <w:spacing w:after="0"/>
              <w:rPr>
                <w:sz w:val="20"/>
                <w:szCs w:val="20"/>
                <w:color w:val="auto"/>
              </w:rPr>
            </w:pPr>
            <w:r>
              <w:rPr>
                <w:rFonts w:ascii="Arial" w:cs="Arial" w:eastAsia="Arial" w:hAnsi="Arial"/>
                <w:sz w:val="16"/>
                <w:szCs w:val="16"/>
                <w:color w:val="auto"/>
                <w:w w:val="97"/>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179"/>
              <w:spacing w:after="0"/>
              <w:rPr>
                <w:sz w:val="20"/>
                <w:szCs w:val="20"/>
                <w:color w:val="auto"/>
              </w:rPr>
            </w:pPr>
            <w:r>
              <w:rPr>
                <w:rFonts w:ascii="Arial" w:cs="Arial" w:eastAsia="Arial" w:hAnsi="Arial"/>
                <w:sz w:val="16"/>
                <w:szCs w:val="16"/>
                <w:color w:val="auto"/>
              </w:rPr>
              <w:t>(4.4)</w:t>
            </w:r>
          </w:p>
        </w:tc>
      </w:tr>
      <w:tr>
        <w:trPr>
          <w:trHeight w:val="215"/>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actuarial loss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8"/>
              </w:rPr>
              <w:t>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1179"/>
              <w:spacing w:after="0"/>
              <w:rPr>
                <w:sz w:val="20"/>
                <w:szCs w:val="20"/>
                <w:color w:val="auto"/>
              </w:rPr>
            </w:pPr>
            <w:r>
              <w:rPr>
                <w:rFonts w:ascii="Arial" w:cs="Arial" w:eastAsia="Arial" w:hAnsi="Arial"/>
                <w:sz w:val="16"/>
                <w:szCs w:val="16"/>
                <w:color w:val="auto"/>
                <w:w w:val="98"/>
              </w:rPr>
              <w:t>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8"/>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1179"/>
              <w:spacing w:after="0"/>
              <w:rPr>
                <w:sz w:val="20"/>
                <w:szCs w:val="20"/>
                <w:color w:val="auto"/>
              </w:rPr>
            </w:pPr>
            <w:r>
              <w:rPr>
                <w:rFonts w:ascii="Arial" w:cs="Arial" w:eastAsia="Arial" w:hAnsi="Arial"/>
                <w:sz w:val="16"/>
                <w:szCs w:val="16"/>
                <w:color w:val="auto"/>
                <w:w w:val="98"/>
              </w:rPr>
              <w:t>1.6</w:t>
            </w: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center"/>
              <w:ind w:left="1179"/>
              <w:spacing w:after="0"/>
              <w:rPr>
                <w:sz w:val="20"/>
                <w:szCs w:val="20"/>
                <w:color w:val="auto"/>
              </w:rPr>
            </w:pPr>
            <w:r>
              <w:rPr>
                <w:rFonts w:ascii="Arial" w:cs="Arial" w:eastAsia="Arial" w:hAnsi="Arial"/>
                <w:sz w:val="16"/>
                <w:szCs w:val="16"/>
                <w:color w:val="auto"/>
                <w:w w:val="98"/>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center"/>
              <w:ind w:left="1179"/>
              <w:spacing w:after="0"/>
              <w:rPr>
                <w:sz w:val="20"/>
                <w:szCs w:val="20"/>
                <w:color w:val="auto"/>
              </w:rPr>
            </w:pPr>
            <w:r>
              <w:rPr>
                <w:rFonts w:ascii="Arial" w:cs="Arial" w:eastAsia="Arial" w:hAnsi="Arial"/>
                <w:sz w:val="16"/>
                <w:szCs w:val="16"/>
                <w:color w:val="auto"/>
                <w:w w:val="98"/>
              </w:rPr>
              <w:t>4.4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w:t>
      </w:r>
      <w:r>
        <w:rPr>
          <w:rFonts w:ascii="Arial" w:cs="Arial" w:eastAsia="Arial" w:hAnsi="Arial"/>
          <w:sz w:val="18"/>
          <w:szCs w:val="18"/>
          <w:i w:val="1"/>
          <w:iCs w:val="1"/>
          <w:color w:val="auto"/>
        </w:rPr>
        <w:t>ther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2025</w:t>
            </w:r>
          </w:p>
        </w:tc>
        <w:tc>
          <w:tcPr>
            <w:tcW w:w="14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29, 2024</w:t>
            </w:r>
          </w:p>
        </w:tc>
        <w:tc>
          <w:tcPr>
            <w:tcW w:w="14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2025</w:t>
            </w:r>
          </w:p>
        </w:tc>
        <w:tc>
          <w:tcPr>
            <w:tcW w:w="16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February 29, 2024</w:t>
            </w:r>
          </w:p>
        </w:tc>
      </w:tr>
      <w:tr>
        <w:trPr>
          <w:trHeight w:val="18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(income), net:</w:t>
            </w:r>
          </w:p>
        </w:tc>
        <w:tc>
          <w:tcPr>
            <w:tcW w:w="1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198"/>
        </w:trPr>
        <w:tc>
          <w:tcPr>
            <w:tcW w:w="46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10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07"/>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left="10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2"/>
        </w:trPr>
        <w:tc>
          <w:tcPr>
            <w:tcW w:w="4620" w:type="dxa"/>
            <w:vAlign w:val="bottom"/>
          </w:tcPr>
          <w:p>
            <w:pPr>
              <w:ind w:left="240"/>
              <w:spacing w:after="0"/>
              <w:rPr>
                <w:sz w:val="20"/>
                <w:szCs w:val="20"/>
                <w:color w:val="auto"/>
              </w:rPr>
            </w:pPr>
            <w:r>
              <w:rPr>
                <w:rFonts w:ascii="Arial" w:cs="Arial" w:eastAsia="Arial" w:hAnsi="Arial"/>
                <w:sz w:val="14"/>
                <w:szCs w:val="14"/>
                <w:color w:val="auto"/>
              </w:rPr>
              <w:t>Interest expense (income), net</w:t>
            </w:r>
          </w:p>
        </w:tc>
        <w:tc>
          <w:tcPr>
            <w:tcW w:w="14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left="10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8"/>
        </w:trPr>
        <w:tc>
          <w:tcPr>
            <w:tcW w:w="462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14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left="10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6"/>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(gain) losses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10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9"/>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items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4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left="10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0"/>
        </w:trPr>
        <w:tc>
          <w:tcPr>
            <w:tcW w:w="462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center"/>
              <w:ind w:left="10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2025</w:t>
            </w: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29, 2024</w:t>
            </w: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28, 2025</w:t>
            </w:r>
          </w:p>
        </w:tc>
        <w:tc>
          <w:tcPr>
            <w:tcW w:w="180" w:type="dxa"/>
            <w:vAlign w:val="bottom"/>
          </w:tcPr>
          <w:p>
            <w:pPr>
              <w:spacing w:after="0"/>
              <w:rPr>
                <w:sz w:val="17"/>
                <w:szCs w:val="17"/>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b w:val="1"/>
                <w:bCs w:val="1"/>
                <w:color w:val="auto"/>
              </w:rPr>
              <w:t>February 29, 2024</w:t>
            </w: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30.999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30.864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30.957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30.940</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0.448</w:t>
            </w:r>
          </w:p>
        </w:tc>
        <w:tc>
          <w:tcPr>
            <w:tcW w:w="0" w:type="dxa"/>
            <w:vAlign w:val="bottom"/>
          </w:tcPr>
          <w:p>
            <w:pPr>
              <w:spacing w:after="0"/>
              <w:rPr>
                <w:sz w:val="1"/>
                <w:szCs w:val="1"/>
                <w:color w:val="auto"/>
              </w:rPr>
            </w:pPr>
          </w:p>
        </w:tc>
      </w:tr>
      <w:tr>
        <w:trPr>
          <w:trHeight w:val="200"/>
        </w:trPr>
        <w:tc>
          <w:tcPr>
            <w:tcW w:w="382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31.700</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31.742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31.388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Basic earnings per share</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the three and six months ended February 28, 2025 and February 29, 2024.</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(loss) income items, which are comprised of foreign currency translation and pension adjustments.</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2024</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2023</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9"/>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29, 2024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6" w:lineRule="exact"/>
        <w:rPr>
          <w:sz w:val="20"/>
          <w:szCs w:val="20"/>
          <w:color w:val="auto"/>
        </w:rPr>
      </w:pPr>
    </w:p>
    <w:p>
      <w:pPr>
        <w:ind w:right="320" w:firstLine="8"/>
        <w:spacing w:after="0" w:line="316" w:lineRule="auto"/>
        <w:tabs>
          <w:tab w:leader="none" w:pos="122"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53" w:lineRule="exact"/>
        <w:rPr>
          <w:sz w:val="20"/>
          <w:szCs w:val="20"/>
          <w:color w:val="auto"/>
        </w:rPr>
      </w:pPr>
    </w:p>
    <w:p>
      <w:pPr>
        <w:ind w:right="7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29, 2024</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0.7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0.8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29, 2024</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(1.4)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0.2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 our financial results of operations in two reportable segments, Acuity Brands Lighting and Acuity Intelligent Spaces, consistent with how our chief operating decision maker currently evaluates operating results, assesses performance, and allocates resources within the Company.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income tax expense, and acquisition related costs are not allocated to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2024</w:t>
            </w:r>
          </w:p>
        </w:tc>
      </w:tr>
      <w:tr>
        <w:trPr>
          <w:trHeight w:val="19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Acuity Brands Lighting</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840.6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843.5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1,726.6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1,719.9</w:t>
            </w: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Acuity Intelligent Spaces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216"/>
        </w:trPr>
        <w:tc>
          <w:tcPr>
            <w:tcW w:w="3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3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Acuity Brands Lighting</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269.8</w:t>
            </w: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Acuity Intelligent Spaces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5"/>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amounts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3"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intersegment sales. Profit on these sales eliminates within gross profit on a consolidated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February 29,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2025</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29, 2024</w:t>
            </w: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Acuity Brands Lighting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Operating profit - Acuity Intelligent Spaces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251.0</w:t>
            </w: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(income), net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Segment assets include accounts receivable and inventory. Total segment assets for AIS were $214.7 million and $67.6 million as of February 28, 2025 and August 31, 2024, respectively. This increase was due to the acquisition of QSC. Refer to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additional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Inc. (referred to herein as “we,” “our,” “us,” the “Company,” or similar references) and its subsidiaries as of February 28, 2025 and for the three and six months ended February 28, 2025 and February 29, 2024.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Inc.'s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filed with the Securities and Exchange Commission (the “SEC”) on October 28, 2024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26, 2025, we changed our corporate name from Acuity Brands, Inc. to Acuity Inc.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outstanding debt,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Refer to</w:t>
      </w:r>
      <w:r>
        <w:rPr>
          <w:rFonts w:ascii="Arial" w:cs="Arial" w:eastAsia="Arial" w:hAnsi="Arial"/>
          <w:sz w:val="18"/>
          <w:szCs w:val="18"/>
          <w:i w:val="1"/>
          <w:iCs w:val="1"/>
          <w:color w:val="auto"/>
        </w:rPr>
        <w:t xml:space="preserve"> Financing Arrangements </w:t>
      </w:r>
      <w:r>
        <w:rPr>
          <w:rFonts w:ascii="Arial" w:cs="Arial" w:eastAsia="Arial" w:hAnsi="Arial"/>
          <w:sz w:val="18"/>
          <w:szCs w:val="18"/>
          <w:color w:val="auto"/>
        </w:rPr>
        <w:t>below for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significant changes to our contractual obligations for the first six months of fiscal 2025.</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 position at February 28, 2025 was $397.9 million, a decrease of $447.9 million from August 31, 2024. Cash generated from operating activities and cash on hand were used during the current year to partially fund the QSC, LLC (“QSC”) acquisition and our other capital allocation priorities as discussed below.</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$191.6 million of cash flows from operating activities during the six months ended February 28, 2025, compared to $292.6 million in the prior-year period, a decrease of $ 101.0 million. This decrease reflects higher payments for purchases of inventory, the timing of sales and cash collections from our customers, payments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costs, and higher tax payments.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the terms of our $600.0 million five-year unsecured revolving credit facility (“Revolving Credit Facility”), and the terms of our $600.0 million two-year unsecured term loan facility (“Term Loan Facility”).</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February 28, 2025, our outstanding debt balance was $1.1 billion, which consisted of our Unsecured Notes and borrowings on our Term Loan Facility, compared to our cash position of $397.9 million. We were in compliance with all covenants under our financing arrangements as of February 28, 2025.</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Inc. The Unsecured Notes are fully and unconditionally guaranteed on a senior unsecured basis by Acuity Inc. and ABL IP Holding LLC, a wholly-owned subsidiary of Acuity Inc. The following tables present summarized financial information for Acuity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2025</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1,517.6</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341.1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338.0</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604.6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Six Months Ended February</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99"/>
              <w:spacing w:after="0"/>
              <w:rPr>
                <w:sz w:val="20"/>
                <w:szCs w:val="20"/>
                <w:color w:val="auto"/>
              </w:rPr>
            </w:pPr>
            <w:r>
              <w:rPr>
                <w:rFonts w:ascii="Arial" w:cs="Arial" w:eastAsia="Arial" w:hAnsi="Arial"/>
                <w:sz w:val="16"/>
                <w:szCs w:val="16"/>
                <w:b w:val="1"/>
                <w:bCs w:val="1"/>
                <w:color w:val="auto"/>
              </w:rPr>
              <w:t>28, 2025</w:t>
            </w:r>
          </w:p>
        </w:tc>
        <w:tc>
          <w:tcPr>
            <w:tcW w:w="0" w:type="dxa"/>
            <w:vAlign w:val="bottom"/>
          </w:tcPr>
          <w:p>
            <w:pPr>
              <w:spacing w:after="0"/>
              <w:rPr>
                <w:sz w:val="1"/>
                <w:szCs w:val="1"/>
                <w:color w:val="auto"/>
              </w:rPr>
            </w:pPr>
          </w:p>
        </w:tc>
      </w:tr>
      <w:tr>
        <w:trPr>
          <w:trHeight w:val="209"/>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1,552.3</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737.7</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November 25, 2024, we entered into an amendment to our credit agreement (the “Credit Agreement”) that, among other things, provided for a delayed draw term under the Term Loan Facility of up to $600.0 million.</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January 2025, we drew the full $600.0 million on the Term Loan Facility to fund the QSC acquisition. In March 2025, we repaid $100.0 million of the outstanding obligation.</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February 28, 2025, we had additional borrowing capacity under the Credit Agreement of $595.8 million under the most restrictive covenant in effect at the time, which represents the full amount of the Revolving Credit Facility less outstanding letters of credit of $ 4.2 million issued under the Revolving Credit Facility, primarily for securing collateral requirements under our casualty insurance premiums. As of February 28, 2025, our cash on hand combined with the additional borrowing capacity under the Revolving Credit Facility totaled $1.0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$28.6 million and $29.0 million in property, plant, and equipment during the six months ended February 28, 2025 and February 29, 2024, respectively. We invested primarily in new and enhanced information technology, equipment, tooling, and facility improvements in fiscal 2025 to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seek opportunities to strategically expand and enhance our portfolio of solutions.</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QSC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2025, we acquired all of the equity interests of QSC, a leader in the design, engineering, and manufacturing of audio, video, and control solutions and services, for $1.2 billion. This acquisition is intended to expand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Term Loan Facility. The operating results, assets, liabilities, and cash flows of QSC have been included in our consolidated financial statements since the date of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Arize Assets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19, 2024, we acquired certain assets related to Arize® horticulture lighting products from Current Lighting Solutions, LLC. The assets have been included in ABL's financial results since the date of acquisition and did not have a material impact to our consolidated financial condition, results of operations, 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$ 10.0 million ($0.32 per share) and $8.8 million ($0.28 per share) during the six months ended February 28, 2025 and February 29, 2024,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six months of fiscal 2025 and 2024, we repurchased approximately 0.1 million shares and 0.4 million shares of our outstanding common stock for $21.5 million and $67.6 million, respectively. Total cash outflows for share repurchases during the six months ended February 28, 2025 and February 29, 2024 were $22.6 million and $67.8 million, respectively. We expect to repurchase shares on an opportunistic basis subject to various factors including stock price, Company performance, market conditions, and other possible uses of cash. On January 25, 2024, the Board approved an increase of three million shares to the maximum number of shares that may yet be repurchased under the share repurchase program. As of February 28, 2025, 3.7 million shares remained available within the program to repurchase.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recent months, the U.S. government has imposed, and is considering imposing, additional tariffs and trade restrictions on certain goods produced outside of the United States, including steel and aluminum. In response to these actions, certain jurisdictions, including China, Mexico, Canada and the European Union, have imposed, or are considering imposing, tariffs and restrictions on certain goods produced in the United States. The situation concerning the imposition of additional tariffs and trade restrictions by the U.S. and other jurisdictions and the status of certain trade agreements, including the United States, Mexico, Canada Free Trade Agreement, continues to evolve and we cannot be certain of the outcome which could adversely impact demand for our products, costs, inflation, customers, suppliers, and the U.S. economy.</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have taken actions to mitigate the impacts of tariffs and trade restrictions, including pricing actions, competitive pricing or market pressures may not allow us to pass on the additional cost of these tariffs and may adversely affect our profit margins,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2025 Compared with Second Quarter of Fiscal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 (in millions except per-share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4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February 28, 2025</w:t>
            </w:r>
          </w:p>
        </w:tc>
        <w:tc>
          <w:tcPr>
            <w:tcW w:w="120" w:type="dxa"/>
            <w:vAlign w:val="bottom"/>
            <w:vMerge w:val="restart"/>
          </w:tcPr>
          <w:p>
            <w:pPr>
              <w:spacing w:after="0"/>
              <w:rPr>
                <w:sz w:val="11"/>
                <w:szCs w:val="11"/>
                <w:color w:val="auto"/>
              </w:rPr>
            </w:pPr>
          </w:p>
        </w:tc>
        <w:tc>
          <w:tcPr>
            <w:tcW w:w="13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February 29, 2024</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1,006.3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538.3</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493.5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468.0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46.5 %</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45.5 %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357.8</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294.3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11.0 %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rPr>
              <w:t>(200) 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(income), net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Miscellaneous expense, net</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10.2 %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rPr>
              <w:t>(280) 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24.2 %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24.1 %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Fiscal 2025 includes $10.4 million in preliminary acquisition date fair value adjustments to inventory for the QSC acquisition.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Fiscal 2025 includes $14.1 million in acquisition-related costs and $7.8 million in preliminary amortization of intangible assets for the QSC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second quarter of fiscal 2025 increased $100.4 million, or 11.1%, to $1.0 billion, compared with $905.9 million in the prior-year period due to an increase in sales in our Acuity Intelligent Spaces segment driven by the acquisition of QSC, which contributed $95.1 million in sales, as well higher net sales in our Distech and Atrius products. These increases were partially offset by a decrease in sales in our Acuity Brands Lighting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second quarter of fiscal 2025 increased $55.6 million, or 13.5%, to $468.0 million, compared with $412.4 million in the prior-year period, and gross profit margin increased 100 basis points to 46.5% from 45.5% compared with the prior-year period. Our gross profit increased compared with the prior period due primarily to the contributions of the QSC acquisition as well as our strategic management of the relationship between price and cost escalations, including higher labor, overhead, and Asian-sourced finished goods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distribution, and administrative expenses (“SD&amp;A”) expenses for the second quarter of fiscal 2025 were $ 357.8 million, compared with $294.3 million in the prior-year period, an increase of $63.5 million, or 21.6%. The increase in SD&amp;A expenses was due primarily to the addition of QSC operating expenses, acquisition-related costs, and higher amortization of acquired intangible assets in connection with the QSC acquisition. Acquisition-related costs for the QSC acquisition were recorded within unallocated corporate amounts.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second quarter of fiscal 2025 was $110.2 million (11.0% of net sales), compared with $118.1 million (13.0% of net sales) for the prior-year period, a decrease of $7.9 million, or 6.7%. The decrease in operating profit was due to the increase in SD&amp;A expenses, partially offset by an increase in gross profit.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$6.9 million and net interest income of $ 0.1 million for the second quarter of fiscal 2025 and 2024, respectively. The increase in net interest expense was due primarily to interest incurred on our $600.0 million Term Loan Facility and lower interest-bearing cash and cash equivalent balances held during the period as a result of our purchase of QSC.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 We reported net miscellaneous expense of $1.0 million and $0.6 million for the second quarter of fiscal 2025 and 2024,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income tax rate was 24.2% and 24.1% for the second quarter of fiscal 2025 and 2024, respectively. We recognized excess tax benefits of $0.3 million related to share-based payment awards for the second quarter of fiscal 2025. Excess tax benefits in the second quarter of fiscal 2024 were immaterial.</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second quarter of fiscal 2025 decreased $11.7 million, or 13.1%, to $77.5 million, from $89.2 million reported for the prior-year period. This decrease was due primarily to lower operating profit and higher interest expense in connection with funding the QSC acquisition, partially offset by lower income tax expense. Diluted earnings per share for the second quarter of fiscal 2025 decreased $ 0.39, or 13.7%, to $2.45 compared with diluted earnings per share of $2.84 for the prior-year period. This decrease reflects lower net income as well as higher outstanding diluted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Acuity Brands Lighting and Acuity Intelligent Spaces, for the three months ended February 28, 2025 and February 29, 2024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2025</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February 29, 2024</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840.6</w:t>
            </w:r>
          </w:p>
        </w:tc>
        <w:tc>
          <w:tcPr>
            <w:tcW w:w="100" w:type="dxa"/>
            <w:vAlign w:val="bottom"/>
          </w:tcPr>
          <w:p>
            <w:pPr>
              <w:spacing w:after="0"/>
              <w:rPr>
                <w:sz w:val="17"/>
                <w:szCs w:val="17"/>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843.5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15.5 %</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14.9 %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60</w:t>
            </w:r>
          </w:p>
        </w:tc>
        <w:tc>
          <w:tcPr>
            <w:tcW w:w="80" w:type="dxa"/>
            <w:vAlign w:val="bottom"/>
          </w:tcPr>
          <w:p>
            <w:pPr>
              <w:spacing w:after="0"/>
              <w:rPr>
                <w:sz w:val="17"/>
                <w:szCs w:val="17"/>
                <w:color w:val="auto"/>
              </w:rPr>
            </w:pPr>
          </w:p>
        </w:tc>
        <w:tc>
          <w:tcPr>
            <w:tcW w:w="1280" w:type="dxa"/>
            <w:vAlign w:val="bottom"/>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5.8 %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(760)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Acuity Brands Lighting net sales for the second quarter of fiscal 2025 decreased $2.9 million, or 0.3%, to $840.6 million, compared with $843.5 million in the prior-year period. Net sales within the Acuity Brands Lighting segment decreased due to lower net sales within our retail, corporate accounts, and original equipment manufacturer and other channels, partially offset by higher net sales in our independent sales network and direct sales network channels.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Acuity Brands Lighting was $130.3 million (15.5% of Acuity Brands Lighting net sales) for the second quarter of fiscal 2025, compared with $126.0 million (14.9% of Acuity Brands Lighting net sales) in the prior-year period, an increase of $4.3 million. The increase in operating profit was due primarily to our strategic management of the relationship between price and cost escalations, including higher labor, overhead, and Asian-sourced finished goods costs.</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Acuity Intelligent Spaces net sales for the second quarter of fiscal 2025 increased $103.4 million, or 151.8%, to $171.5 million, compared with $68.1 million in the prior-year period. The increase in sales within the Acuity</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Intelligent Spaces segment is attributed primarily to the acquisition of QSC, which contributed $95.1 million in revenues. Additionally, sales of Distech and Atrius products increased during the current quarter.</w:t>
      </w:r>
    </w:p>
    <w:p>
      <w:pPr>
        <w:spacing w:after="0" w:line="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Operating profit for Acuity Intelligent Spaces was $9.9 million for the second quarter of fiscal 2025, compared with $9.1 million in the prior-year period, an increase of $0.8 million. This increase was due primarily to contributions from higher net sales, partially offset by the addition of SD&amp;A costs from the acquisition of QSC, including increased preliminary amortization and preliminary acquisition date fair value adjustments to inventory.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2025 Compared with First Six Months of Fiscal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2025</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29, 2024</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1,957.9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1,840.6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1,040.6</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999.8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917.3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46.9 %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45.7 %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120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589.8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92"/>
        </w:trPr>
        <w:tc>
          <w:tcPr>
            <w:tcW w:w="50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jc w:val="right"/>
              <w:ind w:right="1548"/>
              <w:spacing w:after="0"/>
              <w:rPr>
                <w:sz w:val="20"/>
                <w:szCs w:val="20"/>
                <w:color w:val="auto"/>
              </w:rPr>
            </w:pPr>
            <w:r>
              <w:rPr>
                <w:rFonts w:ascii="Arial" w:cs="Arial" w:eastAsia="Arial" w:hAnsi="Arial"/>
                <w:sz w:val="14"/>
                <w:szCs w:val="14"/>
                <w:i w:val="1"/>
                <w:iCs w:val="1"/>
                <w:color w:val="auto"/>
              </w:rPr>
              <w:t>(120) bps</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 net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Miscellaneous expense, net</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12.1 %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jc w:val="right"/>
              <w:ind w:right="1548"/>
              <w:spacing w:after="0"/>
              <w:rPr>
                <w:sz w:val="20"/>
                <w:szCs w:val="20"/>
                <w:color w:val="auto"/>
              </w:rPr>
            </w:pPr>
            <w:r>
              <w:rPr>
                <w:rFonts w:ascii="Arial" w:cs="Arial" w:eastAsia="Arial" w:hAnsi="Arial"/>
                <w:sz w:val="14"/>
                <w:szCs w:val="14"/>
                <w:i w:val="1"/>
                <w:iCs w:val="1"/>
                <w:color w:val="auto"/>
              </w:rPr>
              <w:t>(140) bps</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22.3 %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Fiscal 2025 includes $10.4 million in preliminary pre-tax nonrecurring acquisition date fair value adjustments to inventory related to the acquisition of QSC.</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Fiscal 2025 includes $18.7 million in acquisition-related costs and $7.8 million in preliminary amortization of intangible assets related to the acquisition of QSC.</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six months ended February 28, 2025 increased $117.3 million, or 6.4%, to $1.96 billion compared with $1.84 billion in the prior-year due to increases in sales in both our Acuity Intelligent Spaces and Acuity Brands Lighting segments. The increase was primarily driven by the acquisition of QSC, which contributed $95.1 million in revenue to the Acuity Intelligent Spaces segment, as well higher net sales of our Distech and Atrius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six months ended February 28, 2025 increased $76.5 million, or 9.1%, to $917.3 million compared with $ 840.8 million in the prior-year period. Gross profit margin increased 120 basis points to 46.9% for the six months ended February 28, 2025 compared with 45.7% in the prior-year period. Our gross profit increased compared with the prior period due primarily to the contributions of the QSC acquisition, fall through of higher net sales, and lower materials cost. This increase was partially offset by increased labor and overhead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SD&amp;A expenses for the six months ended February 28, 2025 were $673.8 million compared with $589.8 million in the prior-year period, an increase of $84.0 million, or 14.2%. The increase in SD&amp;A expenses was due primarily to the addition of QSC operating expenses, higher employee-related costs, acquisition-related costs, and higher amortization of acquired intangible assets in connection with the QSC acquisition. Acquisition-related costs for the QSC acquisition were recorded within unallocated corporate amounts.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profit for the first six months of fiscal 2025 was $243.5 million (12.4% of net sales) compared with $ 251.0 million (13.6% of net sales) for the prior-year period, a decrease of $7.5 million, or 3.0%. The decrease in operating profit was due to higher SD&amp;A expenses, partially offset by higher gross profit.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$2.9 million and $0.8 million for the six months ended February 28, 2025 and February 29, 2024, respectively. The increase in net interest expense was due to interest incurred on our $600.0 million Term Loan Facility and lower interest-bearing cash and cash equivalent balances as a result of our purchase of QSC.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expense of $3.5 million for the six months ended February 28, 2025 and $1.7 million for the six months ended February 29, 2024. This year-over-year change is due primarily to a non-cash loss in the first quarter of fiscal 2025 on an investment in a privately-held entity over which we do not exercise significant influence or control.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income tax rate was 22.3% and 23.6% for the six months ended February 28, 2025 and February 29, 2024, respectively. This decrease was due primarily to the recognition of higher favorable discrete items in the current year. We recognized excess tax benefits of $4.6 million and $1.5 million related to share-based payment awards during the six months ended February 28, 2025 and February 29, 2024, respectively.</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first six months of fiscal 2025 decreased $5.6 million, or 3.0%, to $184.2 million from $ 189.8 million reported for the prior-year period. This decrease was primarily due to lower operating profit and higher interest expense in connection with funding the QSC acquisition, partially offset by lower income tax expense. Diluted earnings per share for the six months ended February 28, 2025 decreased $0.25 to $5.80 compared with diluted earnings per share of $6.05 for the prior-year period. This decrease reflects lower net income as well as higher outstanding diluted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Acuity Brands Lighting and Acuity Intelligent Spaces, for the six months ended February 28, 2025 and February 29, 2024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2025</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29, 2024</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Acuity Brands Lighting:</w:t>
            </w:r>
          </w:p>
        </w:tc>
        <w:tc>
          <w:tcPr>
            <w:tcW w:w="4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1,726.6</w:t>
            </w:r>
          </w:p>
        </w:tc>
        <w:tc>
          <w:tcPr>
            <w:tcW w:w="8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1,719.9</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273.6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Acuity Intelligent Spaces: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43.8 %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Acuity Brands Lighting net sales for the six months ended February 28, 2025 increased 0.4% compared with the prior-year period due to higher net sales in our independent sales network and direct sales network channels,</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lower net sales within our retail sales, corporate accounts, and original equipment manufacturer and other channels.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ABL was $273.6 million (15.8% of ABL net sales) for the six months ended February 28, 2025 compared to $269.8 million (15.7% of ABL net sales) in the prior-year period, an increase of $3.8 million. The increase in operating profit was due to the fall through of higher net sales, lower materials cost, and lower freight cost, partially offset by higher employee-related costs, labor, and overhead.</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Acuity Intelligent Spaces net sales for the six months ended February 28, 2025 increased 85.2% compared with the prior-year period. The increase in sales is attributed primarily to the acquisition of QSC, which contributed $95.1 million in revenues, as well as improvements in Distech and Atrius products.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Acuity Intelligent Spaces operating profit was $20.7 million for the six months ended February 28, 2025 compared with $14.4 million in the prior-year period, an increase of $6.3 million. This increase was due primarily to contributions from higher net sales, partially offset by additional costs related to the acquisition of QSC, including preliminary pre-tax nonrecurring acquisition date fair value adjustments to inventory and preliminary amortization of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and product warranty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quarterly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looking statements to reflect any events or circumstances after the date of this quarterly report or to reflect the occurrence of unanticipated events,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and foreign exchange rates. We do not currently engage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commodity hedging transactions for raw materials. There have been no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 Risk</w:t>
      </w:r>
      <w:r>
        <w:rPr>
          <w:rFonts w:ascii="Arial" w:cs="Arial" w:eastAsia="Arial" w:hAnsi="Arial"/>
          <w:sz w:val="18"/>
          <w:szCs w:val="18"/>
          <w:color w:val="auto"/>
        </w:rPr>
        <w:t xml:space="preserve"> of our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28, 2025. The scope of our efforts to comply with the SEC rules included all of our operations except for QSC, LLC (“QSC”), which we acquired during the quarter ended February 28, 2025. SEC guidance permits management to omit an assessment of an acquired business' financial reporting from management's assessment of disclosure controls and procedures for a period not to exceed one year from the date of the acquisition. This evaluation was carried out under the supervision and with the participation of management, including the principal executive officer and principal financial officer. Based on this evaluation, which as discussed herein excluded the operations of QSC, these officers have concluded that the design and operation of our disclosure controls and procedures are effective at a reasonable assurance level as of February 28, 2025. QSC assets and net assets excluded from our evaluation constituted less than 6% of both total assets and net assets as of February 28, 2025. QSC net sales and pre-tax income excluded from our evaluation constituted less than 5% of both the Company's net sales and pre-tax income for the three and six months ended February 28, 2025.</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six months ended February 28, 2025,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2024, the Board of Directors (the “Board”) authorized the repurchase of up to an additional three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February 28, 2025, the maximum number of shares that may yet be repurchased under the share repurchase program authorized by the Board equaled approximately 3.7 million shares. The following table reflects activity related to equity securities we repurchased during the quarter ended February 28, 2025:</w:t>
      </w:r>
    </w:p>
    <w:p>
      <w:pPr>
        <w:spacing w:after="0" w:line="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12/01/2024 through 12/31/2024</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20,396</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311.13</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20,396</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3,738,419</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1/01/2025 through 1/31/2025</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13,276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318.00</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13,276</w:t>
            </w:r>
          </w:p>
        </w:tc>
        <w:tc>
          <w:tcPr>
            <w:tcW w:w="1940" w:type="dxa"/>
            <w:vAlign w:val="bottom"/>
          </w:tcPr>
          <w:p>
            <w:pPr>
              <w:jc w:val="right"/>
              <w:spacing w:after="0"/>
              <w:rPr>
                <w:sz w:val="20"/>
                <w:szCs w:val="20"/>
                <w:color w:val="auto"/>
              </w:rPr>
            </w:pPr>
            <w:r>
              <w:rPr>
                <w:rFonts w:ascii="Arial" w:cs="Arial" w:eastAsia="Arial" w:hAnsi="Arial"/>
                <w:sz w:val="16"/>
                <w:szCs w:val="16"/>
                <w:color w:val="auto"/>
              </w:rPr>
              <w:t>3,725,143</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2/01/2025 through 2/28/2025</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17,408</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316.14</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17,408</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3,707,735</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51,080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314.62</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51,080</w:t>
            </w:r>
          </w:p>
        </w:tc>
        <w:tc>
          <w:tcPr>
            <w:tcW w:w="1940" w:type="dxa"/>
            <w:vAlign w:val="bottom"/>
          </w:tcPr>
          <w:p>
            <w:pPr>
              <w:jc w:val="right"/>
              <w:spacing w:after="0"/>
              <w:rPr>
                <w:sz w:val="20"/>
                <w:szCs w:val="20"/>
                <w:color w:val="auto"/>
              </w:rPr>
            </w:pPr>
            <w:r>
              <w:rPr>
                <w:rFonts w:ascii="Arial" w:cs="Arial" w:eastAsia="Arial" w:hAnsi="Arial"/>
                <w:sz w:val="16"/>
                <w:szCs w:val="16"/>
                <w:color w:val="auto"/>
              </w:rPr>
              <w:t>3,707,735</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second quarter of fiscal 2025,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19"/>
          </w:tcPr>
          <w:p>
            <w:pPr>
              <w:ind w:left="100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3940" w:type="dxa"/>
            <w:vAlign w:val="bottom"/>
            <w:tcBorders>
              <w:bottom w:val="single" w:sz="8" w:color="0000FF"/>
            </w:tcBorders>
            <w:gridSpan w:val="12"/>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to the Restated Certificate of</w:t>
              </w:r>
            </w:hyperlink>
          </w:p>
        </w:tc>
        <w:tc>
          <w:tcPr>
            <w:tcW w:w="400" w:type="dxa"/>
            <w:vAlign w:val="bottom"/>
            <w:gridSpan w:val="12"/>
          </w:tcPr>
          <w:p>
            <w:pPr>
              <w:spacing w:after="0"/>
              <w:rPr>
                <w:sz w:val="24"/>
                <w:szCs w:val="24"/>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40" w:type="dxa"/>
            <w:vAlign w:val="bottom"/>
            <w:tcBorders>
              <w:bottom w:val="single" w:sz="8" w:color="0000FF"/>
            </w:tcBorders>
            <w:gridSpan w:val="20"/>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Incorporation of Acuity Inc., effective as of March 26, 2025.</w:t>
              </w:r>
            </w:hyperlink>
          </w:p>
        </w:tc>
        <w:tc>
          <w:tcPr>
            <w:tcW w:w="100" w:type="dxa"/>
            <w:vAlign w:val="bottom"/>
            <w:gridSpan w:val="4"/>
          </w:tcPr>
          <w:p>
            <w:pPr>
              <w:spacing w:after="0"/>
              <w:rPr>
                <w:sz w:val="12"/>
                <w:szCs w:val="12"/>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4"/>
          </w:tcPr>
          <w:p>
            <w:pPr>
              <w:spacing w:after="0"/>
              <w:rPr>
                <w:rFonts w:ascii="Arial" w:cs="Arial" w:eastAsia="Arial" w:hAnsi="Arial"/>
                <w:sz w:val="16"/>
                <w:szCs w:val="16"/>
                <w:color w:val="0000FF"/>
              </w:rPr>
            </w:pPr>
            <w:hyperlink r:id="rId64">
              <w:r>
                <w:rPr>
                  <w:rFonts w:ascii="Arial" w:cs="Arial" w:eastAsia="Arial" w:hAnsi="Arial"/>
                  <w:sz w:val="16"/>
                  <w:szCs w:val="16"/>
                  <w:color w:val="0000FF"/>
                </w:rPr>
                <w:t>Restated Certificate of Incorporation of Acuity Inc., dated as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of January 25,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24"/>
          </w:tcPr>
          <w:p>
            <w:pPr>
              <w:spacing w:after="0"/>
              <w:rPr>
                <w:rFonts w:ascii="Arial" w:cs="Arial" w:eastAsia="Arial" w:hAnsi="Arial"/>
                <w:sz w:val="16"/>
                <w:szCs w:val="16"/>
                <w:color w:val="0000FF"/>
              </w:rPr>
            </w:pPr>
            <w:hyperlink r:id="rId65">
              <w:r>
                <w:rPr>
                  <w:rFonts w:ascii="Arial" w:cs="Arial" w:eastAsia="Arial" w:hAnsi="Arial"/>
                  <w:sz w:val="16"/>
                  <w:szCs w:val="16"/>
                  <w:color w:val="0000FF"/>
                </w:rPr>
                <w:t>Amended and Restated Bylaws of Acuity Inc., effective as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March 26, 2025.</w:t>
              </w:r>
            </w:hyperlink>
          </w:p>
        </w:tc>
        <w:tc>
          <w:tcPr>
            <w:tcW w:w="31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4"/>
          </w:tcPr>
          <w:p>
            <w:pPr>
              <w:spacing w:after="0"/>
              <w:rPr>
                <w:sz w:val="20"/>
                <w:szCs w:val="20"/>
                <w:color w:val="auto"/>
              </w:rPr>
            </w:pPr>
            <w:r>
              <w:rPr>
                <w:rFonts w:ascii="Arial" w:cs="Arial" w:eastAsia="Arial" w:hAnsi="Arial"/>
                <w:sz w:val="16"/>
                <w:szCs w:val="16"/>
                <w:color w:val="0000FF"/>
              </w:rPr>
              <w:t>Acuity Brands, Inc. Non-Employee Director Compensation</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Schedule.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4"/>
          </w:tcPr>
          <w:p>
            <w:pPr>
              <w:spacing w:after="0"/>
              <w:rPr>
                <w:sz w:val="20"/>
                <w:szCs w:val="20"/>
                <w:color w:val="auto"/>
              </w:rPr>
            </w:pPr>
            <w:r>
              <w:rPr>
                <w:rFonts w:ascii="Arial" w:cs="Arial" w:eastAsia="Arial" w:hAnsi="Arial"/>
                <w:sz w:val="16"/>
                <w:szCs w:val="16"/>
                <w:color w:val="0000FF"/>
              </w:rPr>
              <w:t>First Amendment to the Acuity Brands, Inc. 2005</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Supplemental Deferred Savings Plan, Amended</w:t>
            </w:r>
          </w:p>
        </w:tc>
        <w:tc>
          <w:tcPr>
            <w:tcW w:w="840" w:type="dxa"/>
            <w:vAlign w:val="bottom"/>
            <w:gridSpan w:val="15"/>
          </w:tcPr>
          <w:p>
            <w:pPr>
              <w:spacing w:after="0" w:line="142" w:lineRule="exact"/>
              <w:rPr>
                <w:sz w:val="20"/>
                <w:szCs w:val="20"/>
                <w:color w:val="auto"/>
              </w:rPr>
            </w:pPr>
            <w:r>
              <w:rPr>
                <w:rFonts w:ascii="Arial" w:cs="Arial" w:eastAsia="Arial" w:hAnsi="Arial"/>
                <w:sz w:val="16"/>
                <w:szCs w:val="16"/>
                <w:color w:val="0000FF"/>
              </w:rPr>
              <w:t>and</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Restated effective March 30, 2023.</w:t>
            </w:r>
          </w:p>
        </w:tc>
        <w:tc>
          <w:tcPr>
            <w:tcW w:w="1240" w:type="dxa"/>
            <w:vAlign w:val="bottom"/>
            <w:tcBorders>
              <w:top w:val="single" w:sz="8" w:color="0000FF"/>
            </w:tcBorders>
            <w:gridSpan w:val="3"/>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24"/>
          </w:tcPr>
          <w:p>
            <w:pPr>
              <w:spacing w:after="0"/>
              <w:rPr>
                <w:sz w:val="20"/>
                <w:szCs w:val="20"/>
                <w:color w:val="auto"/>
              </w:rPr>
            </w:pPr>
            <w:r>
              <w:rPr>
                <w:rFonts w:ascii="Arial" w:cs="Arial" w:eastAsia="Arial" w:hAnsi="Arial"/>
                <w:sz w:val="16"/>
                <w:szCs w:val="16"/>
                <w:color w:val="0000FF"/>
              </w:rPr>
              <w:t>Acuity Inc. Amended and Restated 2012 Omnibus Stock</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Incentive Compensation Plan Global Performance Unit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Notification and Award Agreement (ROIC Performance</w:t>
            </w:r>
          </w:p>
        </w:tc>
        <w:tc>
          <w:tcPr>
            <w:tcW w:w="20" w:type="dxa"/>
            <w:vAlign w:val="bottom"/>
            <w:tcBorders>
              <w:bottom w:val="single" w:sz="8" w:color="0000FF"/>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60" w:type="dxa"/>
            <w:vAlign w:val="bottom"/>
            <w:gridSpan w:val="13"/>
          </w:tcPr>
          <w:p>
            <w:pPr>
              <w:spacing w:after="0" w:line="142" w:lineRule="exact"/>
              <w:rPr>
                <w:sz w:val="20"/>
                <w:szCs w:val="20"/>
                <w:color w:val="auto"/>
              </w:rPr>
            </w:pPr>
            <w:r>
              <w:rPr>
                <w:rFonts w:ascii="Arial" w:cs="Arial" w:eastAsia="Arial" w:hAnsi="Arial"/>
                <w:sz w:val="16"/>
                <w:szCs w:val="16"/>
                <w:color w:val="0000FF"/>
              </w:rPr>
              <w:t>Award).</w:t>
            </w: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24"/>
          </w:tcPr>
          <w:p>
            <w:pPr>
              <w:spacing w:after="0"/>
              <w:rPr>
                <w:sz w:val="20"/>
                <w:szCs w:val="20"/>
                <w:color w:val="auto"/>
              </w:rPr>
            </w:pPr>
            <w:r>
              <w:rPr>
                <w:rFonts w:ascii="Arial" w:cs="Arial" w:eastAsia="Arial" w:hAnsi="Arial"/>
                <w:sz w:val="16"/>
                <w:szCs w:val="16"/>
                <w:color w:val="0000FF"/>
              </w:rPr>
              <w:t>Acuity Inc. Amended and Restated 2012 Omnibus Stock</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Incentive Compensation Plan Global Performance Unit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Notification and Award Agreement (rTSR Performance</w:t>
            </w:r>
          </w:p>
        </w:tc>
        <w:tc>
          <w:tcPr>
            <w:tcW w:w="1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Award).</w:t>
            </w:r>
          </w:p>
        </w:tc>
        <w:tc>
          <w:tcPr>
            <w:tcW w:w="16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0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Acuity Inc. Amended and Restated 2012 Omnibus Stock</w:t>
            </w:r>
          </w:p>
        </w:tc>
        <w:tc>
          <w:tcPr>
            <w:tcW w:w="280" w:type="dxa"/>
            <w:vAlign w:val="bottom"/>
            <w:gridSpan w:val="10"/>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24"/>
          </w:tcPr>
          <w:p>
            <w:pPr>
              <w:spacing w:after="0" w:line="142" w:lineRule="exact"/>
              <w:rPr>
                <w:sz w:val="20"/>
                <w:szCs w:val="20"/>
                <w:color w:val="auto"/>
              </w:rPr>
            </w:pPr>
            <w:r>
              <w:rPr>
                <w:rFonts w:ascii="Arial" w:cs="Arial" w:eastAsia="Arial" w:hAnsi="Arial"/>
                <w:sz w:val="16"/>
                <w:szCs w:val="16"/>
                <w:color w:val="0000FF"/>
              </w:rPr>
              <w:t>Incentive Compensation Plan Global Restricted Stock Unit</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Notification and Award Agreement.</w:t>
            </w: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340" w:type="dxa"/>
            <w:vAlign w:val="bottom"/>
            <w:gridSpan w:val="24"/>
          </w:tcPr>
          <w:p>
            <w:pPr>
              <w:spacing w:after="0"/>
              <w:rPr>
                <w:sz w:val="20"/>
                <w:szCs w:val="20"/>
                <w:color w:val="auto"/>
              </w:rPr>
            </w:pPr>
            <w:r>
              <w:rPr>
                <w:rFonts w:ascii="Arial" w:cs="Arial" w:eastAsia="Arial" w:hAnsi="Arial"/>
                <w:sz w:val="16"/>
                <w:szCs w:val="16"/>
                <w:color w:val="0000FF"/>
              </w:rPr>
              <w:t>List of Guarantors and Subsidiary Issuers of Guaranteed</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8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Securities.</w:t>
            </w: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4"/>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9"/>
          </w:tcPr>
          <w:p>
            <w:pPr>
              <w:spacing w:after="0" w:line="142" w:lineRule="exact"/>
              <w:rPr>
                <w:sz w:val="20"/>
                <w:szCs w:val="20"/>
                <w:color w:val="auto"/>
              </w:rPr>
            </w:pPr>
            <w:r>
              <w:rPr>
                <w:rFonts w:ascii="Arial" w:cs="Arial" w:eastAsia="Arial" w:hAnsi="Arial"/>
                <w:sz w:val="16"/>
                <w:szCs w:val="16"/>
                <w:color w:val="0000FF"/>
                <w:w w:val="99"/>
              </w:rPr>
              <w:t>pursuant to Section 302 of the Sarbanes-Oxley Act of 2002.</w:t>
            </w:r>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8"/>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00" w:type="dxa"/>
            <w:vAlign w:val="bottom"/>
            <w:tcBorders>
              <w:bottom w:val="single" w:sz="8" w:color="0000FF"/>
            </w:tcBorders>
            <w:gridSpan w:val="22"/>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4"/>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20" w:type="dxa"/>
            <w:vAlign w:val="bottom"/>
            <w:gridSpan w:val="5"/>
          </w:tcPr>
          <w:p>
            <w:pPr>
              <w:jc w:val="right"/>
              <w:ind w:right="40"/>
              <w:spacing w:after="0"/>
              <w:rPr>
                <w:sz w:val="20"/>
                <w:szCs w:val="20"/>
                <w:color w:val="auto"/>
              </w:rPr>
            </w:pPr>
            <w:r>
              <w:rPr>
                <w:rFonts w:ascii="Arial" w:cs="Arial" w:eastAsia="Arial" w:hAnsi="Arial"/>
                <w:sz w:val="10"/>
                <w:szCs w:val="10"/>
                <w:color w:val="0000FF"/>
                <w:w w:val="71"/>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4"/>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8"/>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24"/>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24"/>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2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2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2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24"/>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24"/>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24"/>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24"/>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3.1 of registrant’s Form 8-K as filed with the Commission on March 12, 2025,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3.3 of registrant’s Form 8-K as filed with the Commission on March 12, 2025, which is incorporated herein by reference.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April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April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242" w:right="45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20"/>
          <w:szCs w:val="20"/>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tcPr>
          <w:p>
            <w:pPr>
              <w:jc w:val="center"/>
              <w:ind w:right="2034"/>
              <w:spacing w:after="0"/>
              <w:rPr>
                <w:sz w:val="20"/>
                <w:szCs w:val="20"/>
                <w:color w:val="auto"/>
              </w:rPr>
            </w:pPr>
            <w:r>
              <w:rPr>
                <w:rFonts w:ascii="Arial" w:cs="Arial" w:eastAsia="Arial" w:hAnsi="Arial"/>
                <w:sz w:val="25"/>
                <w:szCs w:val="25"/>
                <w:b w:val="1"/>
                <w:bCs w:val="1"/>
                <w:color w:val="auto"/>
              </w:rPr>
              <w:t>Acuity Inc.</w:t>
            </w:r>
          </w:p>
        </w:tc>
        <w:tc>
          <w:tcPr>
            <w:tcW w:w="168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60" w:type="dxa"/>
            <w:vAlign w:val="bottom"/>
            <w:gridSpan w:val="2"/>
          </w:tcPr>
          <w:p>
            <w:pPr>
              <w:jc w:val="center"/>
              <w:ind w:left="214"/>
              <w:spacing w:after="0"/>
              <w:rPr>
                <w:sz w:val="20"/>
                <w:szCs w:val="20"/>
                <w:color w:val="auto"/>
              </w:rPr>
            </w:pPr>
            <w:r>
              <w:rPr>
                <w:rFonts w:ascii="Arial" w:cs="Arial" w:eastAsia="Arial" w:hAnsi="Arial"/>
                <w:sz w:val="25"/>
                <w:szCs w:val="25"/>
                <w:b w:val="1"/>
                <w:bCs w:val="1"/>
                <w:color w:val="auto"/>
              </w:rPr>
              <w:t>Non-Employee Director Compensation</w:t>
            </w:r>
          </w:p>
        </w:tc>
        <w:tc>
          <w:tcPr>
            <w:tcW w:w="1680" w:type="dxa"/>
            <w:vAlign w:val="bottom"/>
          </w:tcPr>
          <w:p>
            <w:pPr>
              <w:spacing w:after="0"/>
              <w:rPr>
                <w:sz w:val="24"/>
                <w:szCs w:val="24"/>
                <w:color w:val="auto"/>
              </w:rPr>
            </w:pPr>
          </w:p>
        </w:tc>
      </w:tr>
      <w:tr>
        <w:trPr>
          <w:trHeight w:val="348"/>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60" w:type="dxa"/>
            <w:vAlign w:val="bottom"/>
            <w:gridSpan w:val="2"/>
          </w:tcPr>
          <w:p>
            <w:pPr>
              <w:jc w:val="center"/>
              <w:ind w:left="194"/>
              <w:spacing w:after="0"/>
              <w:rPr>
                <w:sz w:val="20"/>
                <w:szCs w:val="20"/>
                <w:color w:val="auto"/>
              </w:rPr>
            </w:pPr>
            <w:r>
              <w:rPr>
                <w:rFonts w:ascii="Arial" w:cs="Arial" w:eastAsia="Arial" w:hAnsi="Arial"/>
                <w:sz w:val="25"/>
                <w:szCs w:val="25"/>
                <w:b w:val="1"/>
                <w:bCs w:val="1"/>
                <w:color w:val="auto"/>
              </w:rPr>
              <w:t>(As of January 22, 2025)</w:t>
            </w:r>
          </w:p>
        </w:tc>
        <w:tc>
          <w:tcPr>
            <w:tcW w:w="1680" w:type="dxa"/>
            <w:vAlign w:val="bottom"/>
          </w:tcPr>
          <w:p>
            <w:pPr>
              <w:spacing w:after="0"/>
              <w:rPr>
                <w:sz w:val="24"/>
                <w:szCs w:val="24"/>
                <w:color w:val="auto"/>
              </w:rPr>
            </w:pPr>
          </w:p>
        </w:tc>
      </w:tr>
      <w:tr>
        <w:trPr>
          <w:trHeight w:val="392"/>
        </w:trPr>
        <w:tc>
          <w:tcPr>
            <w:tcW w:w="8840" w:type="dxa"/>
            <w:vAlign w:val="bottom"/>
            <w:gridSpan w:val="4"/>
          </w:tcPr>
          <w:p>
            <w:pPr>
              <w:spacing w:after="0"/>
              <w:rPr>
                <w:sz w:val="20"/>
                <w:szCs w:val="20"/>
                <w:color w:val="auto"/>
              </w:rPr>
            </w:pPr>
            <w:r>
              <w:rPr>
                <w:rFonts w:ascii="Arial" w:cs="Arial" w:eastAsia="Arial" w:hAnsi="Arial"/>
                <w:sz w:val="18"/>
                <w:szCs w:val="18"/>
                <w:b w:val="1"/>
                <w:bCs w:val="1"/>
                <w:color w:val="auto"/>
              </w:rPr>
              <w:t>Annual Retainer</w:t>
            </w:r>
          </w:p>
        </w:tc>
        <w:tc>
          <w:tcPr>
            <w:tcW w:w="1680" w:type="dxa"/>
            <w:vAlign w:val="bottom"/>
          </w:tcPr>
          <w:p>
            <w:pPr>
              <w:spacing w:after="0"/>
              <w:rPr>
                <w:sz w:val="24"/>
                <w:szCs w:val="24"/>
                <w:color w:val="auto"/>
              </w:rPr>
            </w:pPr>
          </w:p>
        </w:tc>
      </w:tr>
      <w:tr>
        <w:trPr>
          <w:trHeight w:val="538"/>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Portion</w:t>
            </w:r>
          </w:p>
        </w:tc>
        <w:tc>
          <w:tcPr>
            <w:tcW w:w="746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$105,000</w:t>
            </w:r>
          </w:p>
        </w:tc>
      </w:tr>
      <w:tr>
        <w:trPr>
          <w:trHeight w:val="283"/>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Non-Cash Portion</w:t>
            </w:r>
          </w:p>
        </w:tc>
        <w:tc>
          <w:tcPr>
            <w:tcW w:w="168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549"/>
        </w:trPr>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Annual Committee Chair and Lead Director Retainers</w:t>
            </w:r>
          </w:p>
        </w:tc>
        <w:tc>
          <w:tcPr>
            <w:tcW w:w="4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38"/>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Audit Committee</w:t>
            </w:r>
          </w:p>
        </w:tc>
        <w:tc>
          <w:tcPr>
            <w:tcW w:w="16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83"/>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Compensation and Management Development Committee</w:t>
            </w:r>
          </w:p>
        </w:tc>
        <w:tc>
          <w:tcPr>
            <w:tcW w:w="16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83"/>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Governance Committee</w:t>
            </w:r>
          </w:p>
        </w:tc>
        <w:tc>
          <w:tcPr>
            <w:tcW w:w="16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83"/>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Lead Director</w:t>
            </w:r>
          </w:p>
        </w:tc>
        <w:tc>
          <w:tcPr>
            <w:tcW w:w="16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536"/>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Additional Meeting Fees</w:t>
            </w:r>
          </w:p>
        </w:tc>
        <w:tc>
          <w:tcPr>
            <w:tcW w:w="676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538"/>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Board Meeting Fee (for each meeting attended in excess of 6 meetings)</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83"/>
        </w:trPr>
        <w:tc>
          <w:tcPr>
            <w:tcW w:w="8840" w:type="dxa"/>
            <w:vAlign w:val="bottom"/>
            <w:gridSpan w:val="4"/>
          </w:tcPr>
          <w:p>
            <w:pPr>
              <w:ind w:left="20"/>
              <w:spacing w:after="0"/>
              <w:rPr>
                <w:sz w:val="20"/>
                <w:szCs w:val="20"/>
                <w:color w:val="auto"/>
              </w:rPr>
            </w:pPr>
            <w:r>
              <w:rPr>
                <w:rFonts w:ascii="Arial" w:cs="Arial" w:eastAsia="Arial" w:hAnsi="Arial"/>
                <w:sz w:val="18"/>
                <w:szCs w:val="18"/>
                <w:color w:val="auto"/>
              </w:rPr>
              <w:t>Committee Meeting Fee (for each meeting attended in excess of 6 meetings)</w:t>
            </w:r>
          </w:p>
        </w:tc>
        <w:tc>
          <w:tcPr>
            <w:tcW w:w="1680" w:type="dxa"/>
            <w:vAlign w:val="bottom"/>
          </w:tcPr>
          <w:p>
            <w:pPr>
              <w:jc w:val="right"/>
              <w:spacing w:after="0"/>
              <w:rPr>
                <w:sz w:val="20"/>
                <w:szCs w:val="20"/>
                <w:color w:val="auto"/>
              </w:rPr>
            </w:pPr>
            <w:r>
              <w:rPr>
                <w:rFonts w:ascii="Arial" w:cs="Arial" w:eastAsia="Arial" w:hAnsi="Arial"/>
                <w:sz w:val="18"/>
                <w:szCs w:val="18"/>
                <w:color w:val="auto"/>
              </w:rPr>
              <w:t>$1,500</w:t>
            </w:r>
          </w:p>
        </w:tc>
      </w:tr>
    </w:tbl>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annual retainer, including any committee chair or lead director retainer, is payable in a single payment after the annual meeting at which the director is elected by stockholders for a one-year term. Additional meeting fees, when earned, are paid in cash in September following the completion of the fiscal year by which the number of meetings attended is determined. Each director may elect the form of payment for each portion of their annual retainer, subject, in some cases, to our Stock Ownership Guidelines.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Cash Portion</w:t>
      </w:r>
      <w:r>
        <w:rPr>
          <w:rFonts w:ascii="Arial" w:cs="Arial" w:eastAsia="Arial" w:hAnsi="Arial"/>
          <w:sz w:val="18"/>
          <w:szCs w:val="18"/>
          <w:color w:val="auto"/>
        </w:rPr>
        <w:t>: Each director may elect to have the Cash Portion either paid in cash or deferred into the Amended and Restated 2011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Plan (the "Amended 2011 NEDC"). Amounts deferred into the Amended 2011 NEDC may be credited into either an interest-bearing cash fund or into a stock unit fund. The value of the stock unit fund mirrors the value of the Company's common stock and earns cash dividends that are credited to the interest-bearing cash fund.</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Non-Cash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Each director may elect to have the Non-Cash Portion paid in either a restricted stock award ("RSA") or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 ("DSU"), each pursuant to the Amended and Restated 2012 Omnibus Stock Incentive Compensation Plan, if he or she has exceeded the Stock Ownership Guidelines value. Prior to exceeding the Stock Ownership Guidelines value, the Non-Cash Portion will be paid in the form of a DSU. RSAs and DSUs become fully vested on the first anniversary of the grant date, or, if earlier, the date of the next subsequent annual meeting of stockholders. Both RSAs and DSUs earn dividend equivalents during the vesting period at a rate equal to the dividends paid to other holders of our common stock if and when declared. DSUs continue to earn dividend equivalents until such time as they are distributed. When a director ceases service with the Company during the one-year vesting period, the total number of shares earned will be prorated based on the ratio of the total number of days served to the number of days in the vesting period. Any awards not earned will be forfeited effective as of the date the director's service ends.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Matching Gift Program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Directors may participate in the Company’s Matching Gift Program. Under the program, Acuity will match eligible charitable contributions by participants up to a total of $5,000 per fiscal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Education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Directors are encouraged to attend director education programs. Acuity will reimburse expenses of up to $5,000 per fiscal year for attendance at accredited programs.</w:t>
      </w:r>
    </w:p>
    <w:p>
      <w:pPr>
        <w:sectPr>
          <w:pgSz w:w="11900" w:h="16838" w:orient="portrait"/>
          <w:cols w:equalWidth="0" w:num="1">
            <w:col w:w="11240"/>
          </w:cols>
          <w:pgMar w:left="320" w:top="10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ACUITY BRANDS, INC. 2005 SUPPLEMENTAL DEFERRED SAVINGS PLAN, AS AMENDED AND RESTATED</w:t>
      </w:r>
    </w:p>
    <w:p>
      <w:pPr>
        <w:spacing w:after="0" w:line="2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First Amendment to the Acuity Brands, Inc. 2005 Supplemental Deferred Savings Plan, as amended and restated effective as of March 30, 2023 (the “Plan”), is adopted by Acuity Brands, Inc. (the “Company”) as follows: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has the power pursuant to Section 8.1 of the Plan to amend the Plan at any time; and</w:t>
      </w:r>
    </w:p>
    <w:p>
      <w:pPr>
        <w:spacing w:after="0" w:line="24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amend the Plan to permit the deferral of any cash bonuses determined eligible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Administrator for Plan Years beginning on and after January 1, 2025.</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Plan is hereby amended, effective as of the date hereof,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Plan Section 2.9 “Compensation” is hereby amended, in its entirety, as follows, and the Plan shall be construed accordingly:</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“Compensation” means the annual cash compensation (salary, plus bonuses whether under a Performance-Based Plan or otherwise, as determined eligible by the Plan Administrator) paid by the Employer to the Participant for the Plan Year, provided that a bonus actually paid during a subsequent Plan Year based upon performance during the preceding Plan Year shall be treated as Compensation for such preceding Plan Year. The Participant’s Compensation shall include amounts deferred by the Participant to this Plan and any other deferred compensation plan of the Employer (whether or not qualified), and any salary reduction amounts contributed to a welfare plan. The term “Compensation” shall not include long-term incentive payments, income from stock options, stock appreciation rights, restricted stock, restricted stock units, performance awards or other stock awards, car allowances, non-cash remuneration, such as health benefits, life insurance, and other fringe benefits, moving expenses, relocation allowances, and payments from this Plan or any other deferred compensation plan.</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amended hereby, the Plan shall remain in full force and effect. Capitalized terms not defined herein shall have the meanings set forth in the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Company has caused this Amendment to be executed this 19th day of December, 2024.</w:t>
      </w:r>
    </w:p>
    <w:p>
      <w:pPr>
        <w:sectPr>
          <w:pgSz w:w="11900" w:h="16838" w:orient="portrait"/>
          <w:cols w:equalWidth="0" w:num="1">
            <w:col w:w="11240"/>
          </w:cols>
          <w:pgMar w:left="320" w:top="11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ACUITY BRANDS, INC.</w:t>
      </w:r>
    </w:p>
    <w:p>
      <w:pPr>
        <w:spacing w:after="0" w:line="75"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88265</wp:posOffset>
            </wp:positionV>
            <wp:extent cx="46374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NEIL M. ASHE</w:t>
      </w:r>
    </w:p>
    <w:p>
      <w:pPr>
        <w:spacing w:after="0" w:line="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p>
      <w:pPr>
        <w:sectPr>
          <w:pgSz w:w="11900" w:h="16838" w:orient="portrait"/>
          <w:cols w:equalWidth="0" w:num="1">
            <w:col w:w="10120"/>
          </w:cols>
          <w:pgMar w:left="1440" w:top="114" w:right="339" w:bottom="1440" w:gutter="0" w:footer="0" w:header="0"/>
        </w:sectPr>
      </w:pPr>
    </w:p>
    <w:bookmarkStart w:id="35" w:name="page36"/>
    <w:bookmarkEnd w:id="35"/>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ACUITY INC. (previously known as Acuity Brands,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Amended and Restated 2012 Omnibus Stock Incentive Compensation Plan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Global Performance Unit Notification and Award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(ROIC Performance Award)</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000" w:type="dxa"/>
            <w:vAlign w:val="bottom"/>
            <w:tcBorders>
              <w:top w:val="single" w:sz="8" w:color="auto"/>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Grantee:</w:t>
            </w:r>
          </w:p>
        </w:tc>
        <w:tc>
          <w:tcPr>
            <w:tcW w:w="826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/$ParticipantName$/</w:t>
            </w:r>
          </w:p>
        </w:tc>
      </w:tr>
      <w:tr>
        <w:trPr>
          <w:trHeight w:val="229"/>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 Type:</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/$GrantType$/</w:t>
            </w:r>
          </w:p>
        </w:tc>
      </w:tr>
      <w:tr>
        <w:trPr>
          <w:trHeight w:val="243"/>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 ID:</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/$GrantID$/</w:t>
            </w:r>
          </w:p>
        </w:tc>
      </w:tr>
      <w:tr>
        <w:trPr>
          <w:trHeight w:val="243"/>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 Date:</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/$GrantDate$/</w:t>
            </w:r>
          </w:p>
        </w:tc>
      </w:tr>
      <w:tr>
        <w:trPr>
          <w:trHeight w:val="230"/>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Target Award Amount:</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/$AwardsGranted$/</w:t>
            </w:r>
          </w:p>
        </w:tc>
      </w:tr>
      <w:tr>
        <w:trPr>
          <w:trHeight w:val="243"/>
        </w:trPr>
        <w:tc>
          <w:tcPr>
            <w:tcW w:w="3000" w:type="dxa"/>
            <w:vAlign w:val="bottom"/>
            <w:tcBorders>
              <w:left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Maximum Award Amount:</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Up to 200% of the Target Award Amount</w:t>
            </w:r>
          </w:p>
        </w:tc>
      </w:tr>
      <w:tr>
        <w:trPr>
          <w:trHeight w:val="230"/>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Performance Period</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Three-Year Period Comprised of Fiscal Years 2025, 2026, and 2027</w:t>
            </w:r>
          </w:p>
        </w:tc>
      </w:tr>
      <w:tr>
        <w:trPr>
          <w:trHeight w:val="243"/>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Service Period:</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Three-Year Cliff Vest on October 24, 2027</w:t>
            </w:r>
          </w:p>
        </w:tc>
      </w:tr>
      <w:tr>
        <w:trPr>
          <w:trHeight w:val="212"/>
        </w:trPr>
        <w:tc>
          <w:tcPr>
            <w:tcW w:w="3000" w:type="dxa"/>
            <w:vAlign w:val="bottom"/>
            <w:tcBorders>
              <w:left w:val="single" w:sz="8" w:color="auto"/>
            </w:tcBorders>
          </w:tcPr>
          <w:p>
            <w:pPr>
              <w:jc w:val="right"/>
              <w:ind w:right="101"/>
              <w:spacing w:after="0" w:line="212" w:lineRule="exact"/>
              <w:rPr>
                <w:sz w:val="20"/>
                <w:szCs w:val="20"/>
                <w:color w:val="auto"/>
              </w:rPr>
            </w:pPr>
            <w:r>
              <w:rPr>
                <w:rFonts w:ascii="Times New Roman" w:cs="Times New Roman" w:eastAsia="Times New Roman" w:hAnsi="Times New Roman"/>
                <w:sz w:val="20"/>
                <w:szCs w:val="20"/>
                <w:color w:val="auto"/>
              </w:rPr>
              <w:t>Grantee Level:</w:t>
            </w:r>
          </w:p>
        </w:tc>
        <w:tc>
          <w:tcPr>
            <w:tcW w:w="8260" w:type="dxa"/>
            <w:vAlign w:val="bottom"/>
            <w:tcBorders>
              <w:right w:val="single" w:sz="8" w:color="auto"/>
            </w:tcBorders>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/$UserCode2$/ for Stock Ownership Guidelines (Exhibit A)</w:t>
            </w:r>
          </w:p>
        </w:tc>
      </w:tr>
      <w:tr>
        <w:trPr>
          <w:trHeight w:val="270"/>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Accept by Date:</w:t>
            </w:r>
          </w:p>
        </w:tc>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/$AcceptByDate$/</w:t>
            </w:r>
          </w:p>
        </w:tc>
        <w:tc>
          <w:tcPr>
            <w:tcW w:w="780" w:type="dxa"/>
            <w:vAlign w:val="bottom"/>
            <w:tcBorders>
              <w:top w:val="single" w:sz="8" w:color="auto"/>
            </w:tcBorders>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r>
      <w:tr>
        <w:trPr>
          <w:trHeight w:val="21"/>
        </w:trPr>
        <w:tc>
          <w:tcPr>
            <w:tcW w:w="3000" w:type="dxa"/>
            <w:vAlign w:val="bottom"/>
            <w:tcBorders>
              <w:left w:val="single" w:sz="8" w:color="auto"/>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both"/>
        <w:ind w:right="20" w:firstLine="441"/>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Acuity Inc. (the “Company”) maintains the Amended and Restated Acuity Inc. 2012 Omnibus Stock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Plan (the “Plan”) under which the Compensation Committee of the Company’s Board of Directors (the “Committee”) has authority to grant Performance Units; and</w:t>
      </w:r>
    </w:p>
    <w:p>
      <w:pPr>
        <w:spacing w:after="0" w:line="175" w:lineRule="exact"/>
        <w:rPr>
          <w:sz w:val="20"/>
          <w:szCs w:val="20"/>
          <w:color w:val="auto"/>
        </w:rPr>
      </w:pPr>
    </w:p>
    <w:p>
      <w:pPr>
        <w:jc w:val="both"/>
        <w:ind w:right="20" w:firstLine="23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has determined that it is in the best interest of the Company and its stockholders to grant this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 Award to the Grantee identified above, subject to the terms and conditions set forth in the Plan and this Global Performance Unit Notification and Award Agreement, together with its exhibits (the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hereinafter set forth, the parties agree as follows:</w:t>
      </w:r>
    </w:p>
    <w:p>
      <w:pPr>
        <w:spacing w:after="0" w:line="229" w:lineRule="exact"/>
        <w:rPr>
          <w:sz w:val="20"/>
          <w:szCs w:val="20"/>
          <w:color w:val="auto"/>
        </w:rPr>
      </w:pPr>
    </w:p>
    <w:p>
      <w:pPr>
        <w:jc w:val="both"/>
        <w:ind w:right="20" w:firstLine="656"/>
        <w:spacing w:after="0" w:line="254" w:lineRule="auto"/>
        <w:tabs>
          <w:tab w:leader="none" w:pos="1296"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Incorporation of the Plan</w:t>
      </w:r>
      <w:r>
        <w:rPr>
          <w:rFonts w:ascii="Times New Roman" w:cs="Times New Roman" w:eastAsia="Times New Roman" w:hAnsi="Times New Roman"/>
          <w:sz w:val="20"/>
          <w:szCs w:val="20"/>
          <w:color w:val="auto"/>
        </w:rPr>
        <w:t>. The provisions of the Plan are hereby incorporated by reference. Except as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86" w:lineRule="exact"/>
        <w:rPr>
          <w:rFonts w:ascii="Times New Roman" w:cs="Times New Roman" w:eastAsia="Times New Roman" w:hAnsi="Times New Roman"/>
          <w:sz w:val="20"/>
          <w:szCs w:val="20"/>
          <w:b w:val="1"/>
          <w:bCs w:val="1"/>
          <w:color w:val="auto"/>
        </w:rPr>
      </w:pPr>
    </w:p>
    <w:p>
      <w:pPr>
        <w:jc w:val="both"/>
        <w:ind w:right="20" w:firstLine="656"/>
        <w:spacing w:after="0" w:line="254" w:lineRule="auto"/>
        <w:tabs>
          <w:tab w:leader="none" w:pos="1296"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Performance Unit Award</w:t>
      </w:r>
      <w:r>
        <w:rPr>
          <w:rFonts w:ascii="Times New Roman" w:cs="Times New Roman" w:eastAsia="Times New Roman" w:hAnsi="Times New Roman"/>
          <w:sz w:val="20"/>
          <w:szCs w:val="20"/>
          <w:color w:val="auto"/>
        </w:rPr>
        <w:t>. The Committee, on behalf of the Company, hereby grants to Grantee, effective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Grant Date, Performance Units equal to the Target Award Amount set forth above, on the terms and conditions set forth in this Agreement, including the specific vesting requirements set forth above and the performance goal requirements (the “Performance Goals”)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as otherwise provided in the Plan. The actual number of Performance Units earned pursuant to the Award will be determined based on the achievement of the Performance Goals during the Performance Period, as further set forth in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0"/>
          </w:cols>
          <w:pgMar w:left="320" w:top="114" w:right="319" w:bottom="1440" w:gutter="0" w:footer="0" w:header="0"/>
        </w:sectPr>
      </w:pPr>
    </w:p>
    <w:bookmarkStart w:id="36" w:name="page37"/>
    <w:bookmarkEnd w:id="36"/>
    <w:p>
      <w:pPr>
        <w:ind w:left="10140"/>
        <w:spacing w:after="0"/>
        <w:rPr>
          <w:sz w:val="20"/>
          <w:szCs w:val="20"/>
          <w:color w:val="auto"/>
        </w:rPr>
      </w:pPr>
      <w:r>
        <w:rPr>
          <w:rFonts w:ascii="Times New Roman" w:cs="Times New Roman" w:eastAsia="Times New Roman" w:hAnsi="Times New Roman"/>
          <w:sz w:val="19"/>
          <w:szCs w:val="19"/>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56"/>
        <w:spacing w:after="0" w:line="260" w:lineRule="auto"/>
        <w:tabs>
          <w:tab w:leader="none" w:pos="1296"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Acceptance of Performance Unit Award</w:t>
      </w:r>
      <w:r>
        <w:rPr>
          <w:rFonts w:ascii="Times New Roman" w:cs="Times New Roman" w:eastAsia="Times New Roman" w:hAnsi="Times New Roman"/>
          <w:sz w:val="20"/>
          <w:szCs w:val="20"/>
          <w:color w:val="auto"/>
        </w:rPr>
        <w:t>. This award of Performance Units is conditioned upon Grantee’s acceptance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96"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Goals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sets forth the Performance Goals that must be satisfied in order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Units to be eligible to vest, subject to Grantee’s satisfaction of the Service Period, except as otherwise set forth in Section 5. The Committee shall certify the extent to which the Performance Goals have been achieved with such certification occurring as soon as practicable following the end of the Performance Period and in any event no later than ninety (90) days following the end of such Performance Period (such certification occurring on the “Certification Date”). Except as set forth in Section 5, any Performance Units for which the Performance Goals have not been achieved shall be automatically forfeited, terminated and cancelled effective as of the applicable Certification Date, without the payment of any consideration by the Company, and Grantee, or Grantee’s beneficiary or personal representative, as the case may be, shall have no further rights with respect to such forfeited Performance Units under the Agreement.</w:t>
      </w:r>
    </w:p>
    <w:p>
      <w:pPr>
        <w:spacing w:after="0" w:line="18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Performance Unit Award</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firstLine="980"/>
        <w:spacing w:after="0" w:line="254" w:lineRule="auto"/>
        <w:tabs>
          <w:tab w:leader="none" w:pos="128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187" w:lineRule="exact"/>
        <w:rPr>
          <w:rFonts w:ascii="Times New Roman" w:cs="Times New Roman" w:eastAsia="Times New Roman" w:hAnsi="Times New Roman"/>
          <w:sz w:val="20"/>
          <w:szCs w:val="20"/>
          <w:color w:val="auto"/>
        </w:rPr>
      </w:pPr>
    </w:p>
    <w:p>
      <w:pPr>
        <w:jc w:val="both"/>
        <w:ind w:firstLine="980"/>
        <w:spacing w:after="0" w:line="269" w:lineRule="auto"/>
        <w:tabs>
          <w:tab w:leader="none" w:pos="1285"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Acceleration Upon Termination due to Death or Disability</w:t>
      </w:r>
      <w:r>
        <w:rPr>
          <w:rFonts w:ascii="Times New Roman" w:cs="Times New Roman" w:eastAsia="Times New Roman" w:hAnsi="Times New Roman"/>
          <w:sz w:val="19"/>
          <w:szCs w:val="19"/>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77" w:lineRule="exact"/>
        <w:rPr>
          <w:rFonts w:ascii="Times New Roman" w:cs="Times New Roman" w:eastAsia="Times New Roman" w:hAnsi="Times New Roman"/>
          <w:sz w:val="19"/>
          <w:szCs w:val="19"/>
          <w:color w:val="auto"/>
        </w:rPr>
      </w:pPr>
    </w:p>
    <w:p>
      <w:pPr>
        <w:jc w:val="both"/>
        <w:ind w:firstLine="980"/>
        <w:spacing w:after="0" w:line="249" w:lineRule="auto"/>
        <w:tabs>
          <w:tab w:leader="none" w:pos="128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Following Termination with Tenure</w:t>
      </w:r>
      <w:r>
        <w:rPr>
          <w:rFonts w:ascii="Times New Roman" w:cs="Times New Roman" w:eastAsia="Times New Roman" w:hAnsi="Times New Roman"/>
          <w:sz w:val="20"/>
          <w:szCs w:val="20"/>
          <w:color w:val="auto"/>
        </w:rPr>
        <w:t xml:space="preserve">. Notwithstanding Section 5(a) above, if Grantee’s employment terminates for a reason other than Cause on or after the date on which the number of completed years of Grantee’s continuous service to the Company or a Subsidiary or Affiliate is at least five (5) (“Tenure”), the Performance Units will remain outstanding and will remain available to vest on a pro rata basis (as described below) at the end of the Service Period set forth above and subject to the terms set forth in this Agreement, including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as though Grantee had remained employed,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(as determined by the Committee). The pro-rata portion of the Performance Units that will remain outstanding and available to vest following Grantee’s termination with Tenure will be calculated based on the ratio of (x) each full year worked by Grantee from the Grant Date to Grantee’s Date of Termination (as defined below), to (y) the total number of years in the Service Period. The Company, in its sole discretion, will determine whether Grantee has completed five (5) years of continuous service, including the effect of any break-in-service.</w:t>
      </w:r>
    </w:p>
    <w:p>
      <w:pPr>
        <w:spacing w:after="0" w:line="196"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 for Any Other Reason</w:t>
      </w:r>
      <w:r>
        <w:rPr>
          <w:rFonts w:ascii="Times New Roman" w:cs="Times New Roman" w:eastAsia="Times New Roman" w:hAnsi="Times New Roman"/>
          <w:sz w:val="20"/>
          <w:szCs w:val="20"/>
          <w:color w:val="auto"/>
        </w:rPr>
        <w:t>. Except for death, Termination due to Disability or Termination with Tenure, as provided in Sections 5(b) and (c) above, or except as otherwise provided in a duly approved severance agreement with Grantee, if Grantee terminates his or her employment or if the Company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 w:right="339" w:bottom="1440" w:gutter="0" w:footer="0" w:header="0"/>
        </w:sectPr>
      </w:pPr>
    </w:p>
    <w:bookmarkStart w:id="37" w:name="page38"/>
    <w:bookmarkEnd w:id="37"/>
    <w:p>
      <w:pPr>
        <w:ind w:left="10140"/>
        <w:spacing w:after="0"/>
        <w:rPr>
          <w:sz w:val="20"/>
          <w:szCs w:val="20"/>
          <w:color w:val="auto"/>
        </w:rPr>
      </w:pPr>
      <w:r>
        <w:rPr>
          <w:rFonts w:ascii="Times New Roman" w:cs="Times New Roman" w:eastAsia="Times New Roman" w:hAnsi="Times New Roman"/>
          <w:sz w:val="19"/>
          <w:szCs w:val="19"/>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different, the Subsidiary or Affiliate employing Grantee (the “Employer”) terminates Grantee’s employment prior to the Vesting Date (even in the case of unfair dismissal and whether or not later to be found invalid or in breach of applicable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Company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186" w:lineRule="exact"/>
        <w:rPr>
          <w:sz w:val="20"/>
          <w:szCs w:val="20"/>
          <w:color w:val="auto"/>
        </w:rPr>
      </w:pPr>
    </w:p>
    <w:p>
      <w:pPr>
        <w:jc w:val="both"/>
        <w:ind w:firstLine="980"/>
        <w:spacing w:after="0" w:line="257" w:lineRule="auto"/>
        <w:tabs>
          <w:tab w:leader="none" w:pos="128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 Upon a Change in Control</w:t>
      </w:r>
      <w:r>
        <w:rPr>
          <w:rFonts w:ascii="Times New Roman" w:cs="Times New Roman" w:eastAsia="Times New Roman" w:hAnsi="Times New Roman"/>
          <w:sz w:val="20"/>
          <w:szCs w:val="20"/>
          <w:color w:val="auto"/>
        </w:rPr>
        <w:t>. Notwithstanding the other provisions of this Agreement, in the event of a Change in Control prior to the Vesting Date, all Performance Units shall become fully vested and non-forfeitable as of the date of the Change in Control in an amount equal to the Target Award Amount; provided, however, that if the Change in Control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68"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During the period that Grantee holds Performance Units granted pursuant to this Agreement, on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that the Company pays a cash dividend to holders of its Common Stock, the Company shall credit to a non-interest bearing account on its books for Grantee an unvested amount equal to the United States (“U.S.”) Dollar amount paid per share of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172"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96"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Issuance of Shares upon Vesting</w:t>
      </w:r>
      <w:r>
        <w:rPr>
          <w:rFonts w:ascii="Times New Roman" w:cs="Times New Roman" w:eastAsia="Times New Roman" w:hAnsi="Times New Roman"/>
          <w:sz w:val="20"/>
          <w:szCs w:val="20"/>
          <w:color w:val="auto"/>
        </w:rPr>
        <w:t>. No Shares shall be issued to Grantee prior to the date that the Performance Units vest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this Agreement. As soon as practical and in any event within sixty (60) days after the date that the Performance Units vest pursuant to Section 5 (or within such longer period as may be permitted under Section 409A upon Grantee’s death), and subject to the Company’s Incentive-Based Compensation Recoupment Policy (described in Section 11 below) and the applicable terms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and any Dividend Equivalents shall be paid in accordance with Section 14.2 of the Plan, and (b) to the extent that (i) the Performance Units constitute “nonqualified deferred compensation” subject to Section 409A, (ii) Grantee is subject to U.S. federal taxation and (iii) the aforementioned sixty (60) day period spans two calendar years, the Performance Units and any Dividend Equivalents will be paid in the second of such calendar years.</w:t>
      </w:r>
    </w:p>
    <w:p>
      <w:pPr>
        <w:spacing w:after="0" w:line="189"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96"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 Restrictions</w:t>
      </w:r>
      <w:r>
        <w:rPr>
          <w:rFonts w:ascii="Times New Roman" w:cs="Times New Roman" w:eastAsia="Times New Roman" w:hAnsi="Times New Roman"/>
          <w:sz w:val="20"/>
          <w:szCs w:val="20"/>
          <w:color w:val="auto"/>
        </w:rPr>
        <w:t>. The Performance Units may not be sold, assigned, transferred, pledged, or otherwise encumbered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manner other than by will or the laws of descent and distribution, unless and until the shares of Common Stock underlying the vested Performance Units have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56"/>
        <w:spacing w:after="0" w:line="260" w:lineRule="auto"/>
        <w:tabs>
          <w:tab w:leader="none" w:pos="1296"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Rights</w:t>
      </w:r>
      <w:r>
        <w:rPr>
          <w:rFonts w:ascii="Times New Roman" w:cs="Times New Roman" w:eastAsia="Times New Roman" w:hAnsi="Times New Roman"/>
          <w:sz w:val="20"/>
          <w:szCs w:val="20"/>
          <w:color w:val="auto"/>
        </w:rPr>
        <w:t>. The Performance Units granted pursuant to this Agreement do not and shall not entitle Grantee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of a stockholder of the Company’s Common Stock. Grantee’s rights with respect to the Performance Units shall remain forfeitable at all times prior to the Vesting Date (or, if later, the Certification Date) or such other date on which the Performance Units vest pursuant to Section 5.</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Upon Specified Events</w:t>
      </w:r>
      <w:r>
        <w:rPr>
          <w:rFonts w:ascii="Times New Roman" w:cs="Times New Roman" w:eastAsia="Times New Roman" w:hAnsi="Times New Roman"/>
          <w:sz w:val="20"/>
          <w:szCs w:val="20"/>
          <w:color w:val="auto"/>
        </w:rPr>
        <w:t>. In the event of a Share Change (as defined in the Plan), the number and class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77"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276"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r>
        <w:rPr>
          <w:rFonts w:ascii="Times New Roman" w:cs="Times New Roman" w:eastAsia="Times New Roman" w:hAnsi="Times New Roman"/>
          <w:sz w:val="20"/>
          <w:szCs w:val="20"/>
          <w:color w:val="auto"/>
        </w:rPr>
        <w:t>. All Awards of Performance Units, whether unvested or vested, and any Shares issued or Dividend Equivalents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on vesting of the Performance Units, shall be subject to the Company’s Incentive-Based Compensation Recoupment Policy, as it may be amended from time to time (the “Recoupment Policy”), such that any Award that was made to a Grantee who is subject to the Recoupment Policy, and any Shares or Dividend Equivalents acquired pursuant to such Award, shall be subject to deduction, clawback or forfeiture, as provided under the Recoupment Policy. Further, the Performance Units, whether unvested or vested, and any Shares issued or Dividend Equivalents paid on vesting of the Performance Units, shall be subject to deduction, clawback or forfeiture to the extent required to comply with any recoupment requirement imposed under applicable laws, rules, regulations or stock exchange listing standards. In order to satisfy any recoupment obligation arising under the Recoupment Policy or otherwise under applicable laws, rules, regulations or stock exchange listing standards, among other things, Grantee expressly and explicitly authorizes the Company to issue instructions, on Grantee’s behalf, to any brokerage firm or stock plan service provider engaged by the Company to hold any Shares, Dividend Equivalents or other amounts acquired pursuant to the Performance Units to re-convey, transfer or otherwise return such Shares, Dividend Equivalents and/or other amounts to the Company upon the Company’s enforcement of the Recoupment Policy.</w:t>
      </w:r>
    </w:p>
    <w:p>
      <w:pPr>
        <w:spacing w:after="0" w:line="189" w:lineRule="exact"/>
        <w:rPr>
          <w:rFonts w:ascii="Times New Roman" w:cs="Times New Roman" w:eastAsia="Times New Roman" w:hAnsi="Times New Roman"/>
          <w:sz w:val="20"/>
          <w:szCs w:val="20"/>
          <w:b w:val="1"/>
          <w:bCs w:val="1"/>
          <w:color w:val="auto"/>
        </w:rPr>
      </w:pPr>
    </w:p>
    <w:p>
      <w:pPr>
        <w:jc w:val="both"/>
        <w:ind w:firstLine="656"/>
        <w:spacing w:after="0" w:line="264" w:lineRule="auto"/>
        <w:tabs>
          <w:tab w:leader="none" w:pos="1287"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Compliance with Section 409A of the Code for U.S. Taxpayers</w:t>
      </w:r>
      <w:r>
        <w:rPr>
          <w:rFonts w:ascii="Times New Roman" w:cs="Times New Roman" w:eastAsia="Times New Roman" w:hAnsi="Times New Roman"/>
          <w:sz w:val="19"/>
          <w:szCs w:val="19"/>
          <w:color w:val="auto"/>
        </w:rPr>
        <w:t>. The parties intend that this Agreement and the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hereunder be exempt from the requirements of Section 409A of the Code (together with any U.S.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Performance Units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Performance Units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Performance Units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164" w:lineRule="exact"/>
        <w:rPr>
          <w:rFonts w:ascii="Times New Roman" w:cs="Times New Roman" w:eastAsia="Times New Roman" w:hAnsi="Times New Roman"/>
          <w:sz w:val="19"/>
          <w:szCs w:val="19"/>
          <w:b w:val="1"/>
          <w:bCs w:val="1"/>
          <w:color w:val="auto"/>
        </w:rPr>
      </w:pPr>
    </w:p>
    <w:p>
      <w:pPr>
        <w:jc w:val="both"/>
        <w:ind w:firstLine="656"/>
        <w:spacing w:after="0" w:line="260" w:lineRule="auto"/>
        <w:tabs>
          <w:tab w:leader="none" w:pos="1287"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 and other Legal Compliance</w:t>
      </w:r>
      <w:r>
        <w:rPr>
          <w:rFonts w:ascii="Times New Roman" w:cs="Times New Roman" w:eastAsia="Times New Roman" w:hAnsi="Times New Roman"/>
          <w:sz w:val="20"/>
          <w:szCs w:val="20"/>
          <w:color w:val="auto"/>
        </w:rPr>
        <w:t>. Notwithstanding any other provision of the Plan or this Agreement,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an 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89" w:lineRule="exact"/>
        <w:rPr>
          <w:sz w:val="20"/>
          <w:szCs w:val="20"/>
          <w:color w:val="auto"/>
        </w:rPr>
      </w:pPr>
    </w:p>
    <w:p>
      <w:pPr>
        <w:ind w:firstLine="656"/>
        <w:spacing w:after="0" w:line="287" w:lineRule="auto"/>
        <w:tabs>
          <w:tab w:leader="none" w:pos="1287"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Grantee’s Representation</w:t>
      </w:r>
      <w:r>
        <w:rPr>
          <w:rFonts w:ascii="Times New Roman" w:cs="Times New Roman" w:eastAsia="Times New Roman" w:hAnsi="Times New Roman"/>
          <w:sz w:val="20"/>
          <w:szCs w:val="20"/>
          <w:color w:val="auto"/>
        </w:rPr>
        <w:t>. Grantee represents and warrants that he or she is acquiring the Performance Units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for investment purposes only, and not with a view to distribution thereof.</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287"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 Stock Ownership Guidelines</w:t>
      </w:r>
      <w:r>
        <w:rPr>
          <w:rFonts w:ascii="Times New Roman" w:cs="Times New Roman" w:eastAsia="Times New Roman" w:hAnsi="Times New Roman"/>
          <w:sz w:val="20"/>
          <w:szCs w:val="20"/>
          <w:color w:val="auto"/>
        </w:rPr>
        <w:t>. In exchange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consideration in the form of the Performance Unit award pursuant to this Agreement and other good and valuable consideration, Grantee agrees that he/she shall comply with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Grantee acknowledges its obligations, if and as applicable to Grantee’s position, described in the Company’s Stock Ownership Guidelines in effect from time to time, as summarized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Grant</w:t>
      </w:r>
      <w:r>
        <w:rPr>
          <w:rFonts w:ascii="Times New Roman" w:cs="Times New Roman" w:eastAsia="Times New Roman" w:hAnsi="Times New Roman"/>
          <w:sz w:val="20"/>
          <w:szCs w:val="20"/>
          <w:color w:val="auto"/>
        </w:rPr>
        <w:t>. In accepting the grant, Grantee acknowledges, understands and agrees that:</w:t>
      </w:r>
    </w:p>
    <w:p>
      <w:pPr>
        <w:spacing w:after="0" w:line="233" w:lineRule="exact"/>
        <w:rPr>
          <w:rFonts w:ascii="Times New Roman" w:cs="Times New Roman" w:eastAsia="Times New Roman" w:hAnsi="Times New Roman"/>
          <w:sz w:val="20"/>
          <w:szCs w:val="20"/>
          <w:b w:val="1"/>
          <w:bCs w:val="1"/>
          <w:color w:val="auto"/>
        </w:rPr>
      </w:pPr>
    </w:p>
    <w:p>
      <w:pPr>
        <w:ind w:firstLine="980"/>
        <w:spacing w:after="0" w:line="269" w:lineRule="auto"/>
        <w:tabs>
          <w:tab w:leader="none" w:pos="128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72" w:lineRule="exact"/>
        <w:rPr>
          <w:rFonts w:ascii="Times New Roman" w:cs="Times New Roman" w:eastAsia="Times New Roman" w:hAnsi="Times New Roman"/>
          <w:sz w:val="20"/>
          <w:szCs w:val="20"/>
          <w:color w:val="auto"/>
        </w:rPr>
      </w:pPr>
    </w:p>
    <w:p>
      <w:pPr>
        <w:ind w:right="20" w:firstLine="980"/>
        <w:spacing w:after="0" w:line="283" w:lineRule="auto"/>
        <w:tabs>
          <w:tab w:leader="none" w:pos="128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14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Performance Units or other grants, if any, will be at the sole discretion of the Company;</w:t>
      </w:r>
    </w:p>
    <w:p>
      <w:pPr>
        <w:spacing w:after="0" w:line="229"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18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voluntarily participating in the Plan;</w:t>
      </w:r>
    </w:p>
    <w:p>
      <w:pPr>
        <w:spacing w:after="0" w:line="215" w:lineRule="exact"/>
        <w:rPr>
          <w:rFonts w:ascii="Times New Roman" w:cs="Times New Roman" w:eastAsia="Times New Roman" w:hAnsi="Times New Roman"/>
          <w:sz w:val="20"/>
          <w:szCs w:val="20"/>
          <w:color w:val="auto"/>
        </w:rPr>
      </w:pPr>
    </w:p>
    <w:p>
      <w:pPr>
        <w:ind w:right="20" w:firstLine="980"/>
        <w:spacing w:after="0" w:line="283" w:lineRule="auto"/>
        <w:tabs>
          <w:tab w:leader="none" w:pos="129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Units and the Shares subject to the Performance Units, and any related income and value, are not intended to replace any pension rights or compensation;</w:t>
      </w:r>
    </w:p>
    <w:p>
      <w:pPr>
        <w:spacing w:after="0" w:line="146" w:lineRule="exact"/>
        <w:rPr>
          <w:rFonts w:ascii="Times New Roman" w:cs="Times New Roman" w:eastAsia="Times New Roman" w:hAnsi="Times New Roman"/>
          <w:sz w:val="20"/>
          <w:szCs w:val="20"/>
          <w:color w:val="auto"/>
        </w:rPr>
      </w:pPr>
    </w:p>
    <w:p>
      <w:pPr>
        <w:jc w:val="both"/>
        <w:ind w:firstLine="980"/>
        <w:spacing w:after="0" w:line="258" w:lineRule="auto"/>
        <w:tabs>
          <w:tab w:leader="none" w:pos="128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8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80"/>
        <w:spacing w:after="0" w:line="253" w:lineRule="auto"/>
        <w:tabs>
          <w:tab w:leader="none" w:pos="129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applicable laws in the jurisdiction where Grantee is employed or the terms of Grantee’s employment agreement, if any) and any forfeiture of Performance Units or recoupment of Shares resulting from the application of the Recoupment Policy or any other forfeiture or recoupment pursuant to Section 11 of this Agreement;</w:t>
      </w:r>
    </w:p>
    <w:p>
      <w:pPr>
        <w:spacing w:after="0" w:line="19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9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18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16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for Taxes</w:t>
      </w:r>
    </w:p>
    <w:p>
      <w:pPr>
        <w:spacing w:after="0" w:line="233" w:lineRule="exact"/>
        <w:rPr>
          <w:rFonts w:ascii="Times New Roman" w:cs="Times New Roman" w:eastAsia="Times New Roman" w:hAnsi="Times New Roman"/>
          <w:sz w:val="20"/>
          <w:szCs w:val="20"/>
          <w:b w:val="1"/>
          <w:bCs w:val="1"/>
          <w:color w:val="auto"/>
        </w:rPr>
      </w:pPr>
    </w:p>
    <w:p>
      <w:pPr>
        <w:jc w:val="both"/>
        <w:ind w:firstLine="980"/>
        <w:spacing w:after="0" w:line="250" w:lineRule="auto"/>
        <w:tabs>
          <w:tab w:leader="none" w:pos="128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are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99" w:lineRule="exact"/>
        <w:rPr>
          <w:rFonts w:ascii="Times New Roman" w:cs="Times New Roman" w:eastAsia="Times New Roman" w:hAnsi="Times New Roman"/>
          <w:sz w:val="20"/>
          <w:szCs w:val="20"/>
          <w:color w:val="auto"/>
        </w:rPr>
      </w:pPr>
    </w:p>
    <w:p>
      <w:pPr>
        <w:jc w:val="both"/>
        <w:ind w:firstLine="980"/>
        <w:spacing w:after="0" w:line="254" w:lineRule="auto"/>
        <w:tabs>
          <w:tab w:leader="none" w:pos="128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87" w:lineRule="exact"/>
        <w:rPr>
          <w:rFonts w:ascii="Times New Roman" w:cs="Times New Roman" w:eastAsia="Times New Roman" w:hAnsi="Times New Roman"/>
          <w:sz w:val="20"/>
          <w:szCs w:val="20"/>
          <w:color w:val="auto"/>
        </w:rPr>
      </w:pPr>
    </w:p>
    <w:p>
      <w:pPr>
        <w:ind w:left="1620" w:hanging="397"/>
        <w:spacing w:after="0" w:line="283" w:lineRule="auto"/>
        <w:tabs>
          <w:tab w:leader="none" w:pos="1618"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Grantee’s wages or other cash compensation payable to Grantee by the Company and/or the Employer; or</w:t>
      </w:r>
    </w:p>
    <w:p>
      <w:pPr>
        <w:spacing w:after="0" w:line="146" w:lineRule="exact"/>
        <w:rPr>
          <w:rFonts w:ascii="Times New Roman" w:cs="Times New Roman" w:eastAsia="Times New Roman" w:hAnsi="Times New Roman"/>
          <w:sz w:val="20"/>
          <w:szCs w:val="20"/>
          <w:color w:val="auto"/>
        </w:rPr>
      </w:pPr>
    </w:p>
    <w:p>
      <w:pPr>
        <w:jc w:val="both"/>
        <w:ind w:left="1620" w:hanging="397"/>
        <w:spacing w:after="0" w:line="261" w:lineRule="auto"/>
        <w:tabs>
          <w:tab w:leader="none" w:pos="1619"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upon vesting/settlement of the Performance Unit either through a voluntary sale or through a mandatory sale arranged by the Company (on Grantee’s behalf pursuant to this authorization);</w:t>
      </w:r>
    </w:p>
    <w:p>
      <w:pPr>
        <w:spacing w:after="0" w:line="181" w:lineRule="exact"/>
        <w:rPr>
          <w:rFonts w:ascii="Times New Roman" w:cs="Times New Roman" w:eastAsia="Times New Roman" w:hAnsi="Times New Roman"/>
          <w:sz w:val="20"/>
          <w:szCs w:val="20"/>
          <w:color w:val="auto"/>
        </w:rPr>
      </w:pPr>
    </w:p>
    <w:p>
      <w:pPr>
        <w:ind w:left="1620" w:hanging="397"/>
        <w:spacing w:after="0"/>
        <w:tabs>
          <w:tab w:leader="none" w:pos="1620"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pursuant to the Performance Units; or</w:t>
      </w:r>
    </w:p>
    <w:p>
      <w:pPr>
        <w:spacing w:after="0" w:line="215" w:lineRule="exact"/>
        <w:rPr>
          <w:rFonts w:ascii="Times New Roman" w:cs="Times New Roman" w:eastAsia="Times New Roman" w:hAnsi="Times New Roman"/>
          <w:sz w:val="20"/>
          <w:szCs w:val="20"/>
          <w:color w:val="auto"/>
        </w:rPr>
      </w:pPr>
    </w:p>
    <w:p>
      <w:pPr>
        <w:ind w:left="1620" w:hanging="397"/>
        <w:spacing w:after="0"/>
        <w:tabs>
          <w:tab w:leader="none" w:pos="1620"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of withholding determined by the Company to comply with applicable laws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80"/>
        <w:spacing w:after="0" w:line="252" w:lineRule="auto"/>
        <w:tabs>
          <w:tab w:leader="none" w:pos="1288"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17(b) above or Section 17(g) below, if Grantee is subject to the reporting requirements of Section 16(a) of the Exchange Act, then any applicable 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w:t>
      </w:r>
    </w:p>
    <w:p>
      <w:pPr>
        <w:spacing w:after="0" w:line="1" w:lineRule="exact"/>
        <w:rPr>
          <w:rFonts w:ascii="Times New Roman" w:cs="Times New Roman" w:eastAsia="Times New Roman" w:hAnsi="Times New Roman"/>
          <w:sz w:val="20"/>
          <w:szCs w:val="20"/>
          <w:color w:val="auto"/>
        </w:rPr>
      </w:pPr>
    </w:p>
    <w:p>
      <w:pPr>
        <w:ind w:left="240" w:hanging="232"/>
        <w:spacing w:after="0"/>
        <w:tabs>
          <w:tab w:leader="none" w:pos="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w:t>
      </w:r>
    </w:p>
    <w:p>
      <w:pPr>
        <w:spacing w:after="0" w:line="207" w:lineRule="exact"/>
        <w:rPr>
          <w:rFonts w:ascii="Times New Roman" w:cs="Times New Roman" w:eastAsia="Times New Roman" w:hAnsi="Times New Roman"/>
          <w:sz w:val="20"/>
          <w:szCs w:val="20"/>
          <w:color w:val="auto"/>
        </w:rPr>
      </w:pPr>
    </w:p>
    <w:p>
      <w:pPr>
        <w:jc w:val="both"/>
        <w:ind w:firstLine="980"/>
        <w:spacing w:after="0" w:line="253" w:lineRule="auto"/>
        <w:tabs>
          <w:tab w:leader="none" w:pos="1285"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16.2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 or the Employer.</w:t>
      </w:r>
    </w:p>
    <w:p>
      <w:pPr>
        <w:spacing w:after="0" w:line="19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8"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181" w:lineRule="exact"/>
        <w:rPr>
          <w:rFonts w:ascii="Times New Roman" w:cs="Times New Roman" w:eastAsia="Times New Roman" w:hAnsi="Times New Roman"/>
          <w:sz w:val="20"/>
          <w:szCs w:val="20"/>
          <w:color w:val="auto"/>
        </w:rPr>
      </w:pPr>
    </w:p>
    <w:p>
      <w:pPr>
        <w:ind w:firstLine="980"/>
        <w:spacing w:after="0" w:line="269" w:lineRule="auto"/>
        <w:tabs>
          <w:tab w:leader="none" w:pos="1293"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refuse to issue or deliver the Shares or the proceeds of the sale of Shares, if Grantee fails to comply with Grantee’s obligations in connection with the Tax-Related Items.</w:t>
      </w:r>
    </w:p>
    <w:p>
      <w:pPr>
        <w:spacing w:after="0" w:line="172" w:lineRule="exact"/>
        <w:rPr>
          <w:rFonts w:ascii="Times New Roman" w:cs="Times New Roman" w:eastAsia="Times New Roman" w:hAnsi="Times New Roman"/>
          <w:sz w:val="20"/>
          <w:szCs w:val="20"/>
          <w:color w:val="auto"/>
        </w:rPr>
      </w:pPr>
    </w:p>
    <w:p>
      <w:pPr>
        <w:jc w:val="both"/>
        <w:ind w:firstLine="980"/>
        <w:spacing w:after="0" w:line="251" w:lineRule="auto"/>
        <w:tabs>
          <w:tab w:leader="none" w:pos="1285"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Performance Units effected to cover Tax-Related Items pursuant to this Section 17(g) shall apply only to the applicable number of Performance Units and not to any associated Dividend Equivalents thereon, which shall remain subject to vesting on the dates or events set forth in Section 5 and payable pursuant to Section 7 of this Agreement.</w:t>
      </w:r>
    </w:p>
    <w:p>
      <w:pPr>
        <w:spacing w:after="0" w:line="191" w:lineRule="exact"/>
        <w:rPr>
          <w:rFonts w:ascii="Times New Roman" w:cs="Times New Roman" w:eastAsia="Times New Roman" w:hAnsi="Times New Roman"/>
          <w:sz w:val="20"/>
          <w:szCs w:val="20"/>
          <w:color w:val="auto"/>
        </w:rPr>
      </w:pPr>
    </w:p>
    <w:p>
      <w:pPr>
        <w:jc w:val="both"/>
        <w:ind w:firstLine="656"/>
        <w:spacing w:after="0" w:line="255" w:lineRule="auto"/>
        <w:tabs>
          <w:tab w:leader="none" w:pos="1287" w:val="left"/>
        </w:tabs>
        <w:numPr>
          <w:ilvl w:val="1"/>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Grantee hereby explicitly and unambiguously consents to the collection, use and transfer, in electronic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other form, of Grantee’s personal data as described in this Agreement and any other Performance Unit grant materials by and among, as applicable, the Company and its other Subsidiaries and Affiliates for the exclusive purpose of implementing, administering and managing Grantee’s participation in the Plan.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the Company holds certain personal information about Grantee, including, but not limited to, Grantee’s name, home address, email address, telephone number, date of birth, social insurance number, passport or other identification number, salary, nationality, job title, any Shares of stock or directorships held in the Company, details of all Performance Units or any other entitlement to Shares awarded, canceled, exercised, vested, unvested or outstanding in Grantee’s favor (“Data”), for the exclusive purpose of implementing, administering and managing the Plan.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 management of the Plan. Grantee understands that the recipients of the Data may be located in the U.S. or elsewhere, and that the recipients’ country (e.g., the U.S.) may have different data privacy laws and protections than Grantee’s country. Grantee understands that he or she may request a list with the names and addresses of any potential recipients of the Data by contacting his or her local human resources representative. Grantee authorizes the Company, Merrill Lynch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4" w:right="339" w:bottom="1440" w:gutter="0" w:footer="0" w:header="0"/>
        </w:sectPr>
      </w:pPr>
    </w:p>
    <w:bookmarkStart w:id="42" w:name="page43"/>
    <w:bookmarkEnd w:id="42"/>
    <w:p>
      <w:pPr>
        <w:ind w:left="10140"/>
        <w:spacing w:after="0"/>
        <w:rPr>
          <w:sz w:val="20"/>
          <w:szCs w:val="20"/>
          <w:color w:val="auto"/>
        </w:rPr>
      </w:pPr>
      <w:r>
        <w:rPr>
          <w:rFonts w:ascii="Times New Roman" w:cs="Times New Roman" w:eastAsia="Times New Roman" w:hAnsi="Times New Roman"/>
          <w:sz w:val="19"/>
          <w:szCs w:val="19"/>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will not be adversely affected; the only consequence of refusing or withdrawing Grantee’s consent is that the Company would not be able to grant Performance Units or other equity awards to Grantee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90" w:lineRule="exact"/>
        <w:rPr>
          <w:sz w:val="20"/>
          <w:szCs w:val="20"/>
          <w:color w:val="auto"/>
        </w:rPr>
      </w:pPr>
    </w:p>
    <w:p>
      <w:pPr>
        <w:jc w:val="both"/>
        <w:ind w:firstLine="656"/>
        <w:spacing w:after="0" w:line="260" w:lineRule="auto"/>
        <w:tabs>
          <w:tab w:leader="none" w:pos="1287"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Trading/Market Abuse Restrictions</w:t>
      </w:r>
      <w:r>
        <w:rPr>
          <w:rFonts w:ascii="Times New Roman" w:cs="Times New Roman" w:eastAsia="Times New Roman" w:hAnsi="Times New Roman"/>
          <w:sz w:val="20"/>
          <w:szCs w:val="20"/>
          <w:color w:val="auto"/>
        </w:rPr>
        <w:t>. Grantee may be subject to insider trading restriction and/or market abuse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in applicable jurisdictions including, but not limited to, the U.S. and Grantee’s country of residence, which may affect Grantee’s ability to accept, acquire sell or otherwise dispose of Shares or rights to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67" w:lineRule="auto"/>
        <w:tabs>
          <w:tab w:leader="none" w:pos="1287"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Foreign Asset / Account or Tax Reporting; Exchange Control</w:t>
      </w:r>
      <w:r>
        <w:rPr>
          <w:rFonts w:ascii="Times New Roman" w:cs="Times New Roman" w:eastAsia="Times New Roman" w:hAnsi="Times New Roman"/>
          <w:sz w:val="19"/>
          <w:szCs w:val="19"/>
          <w:color w:val="auto"/>
        </w:rPr>
        <w:t>. Grantee acknowledges that there may be certain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75" w:lineRule="exact"/>
        <w:rPr>
          <w:rFonts w:ascii="Times New Roman" w:cs="Times New Roman" w:eastAsia="Times New Roman" w:hAnsi="Times New Roman"/>
          <w:sz w:val="19"/>
          <w:szCs w:val="19"/>
          <w:b w:val="1"/>
          <w:bCs w:val="1"/>
          <w:color w:val="auto"/>
        </w:rPr>
      </w:pPr>
    </w:p>
    <w:p>
      <w:pPr>
        <w:jc w:val="both"/>
        <w:ind w:firstLine="656"/>
        <w:spacing w:after="0" w:line="254" w:lineRule="auto"/>
        <w:tabs>
          <w:tab w:leader="none" w:pos="1287"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173"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Country-Specific Terms and Conditions</w:t>
      </w:r>
      <w:r>
        <w:rPr>
          <w:rFonts w:ascii="Times New Roman" w:cs="Times New Roman" w:eastAsia="Times New Roman" w:hAnsi="Times New Roman"/>
          <w:sz w:val="20"/>
          <w:szCs w:val="20"/>
          <w:color w:val="auto"/>
        </w:rPr>
        <w:t>. Notwithstanding any provisions in this Agreement, the Performance Unit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subject to any additional terms and conditions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to this Agreement for Grantee’s country. Moreover, if Grantee relocates to one of the countries included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additional terms and conditions for such country will apply to Grantee, to the extent the Company determines that the application of such terms and conditions is necessary or advisable for legal or administrative reasons.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constitutes part of this Agreement.</w:t>
      </w:r>
    </w:p>
    <w:p>
      <w:pPr>
        <w:spacing w:after="0" w:line="169" w:lineRule="exact"/>
        <w:rPr>
          <w:sz w:val="20"/>
          <w:szCs w:val="20"/>
          <w:color w:val="auto"/>
        </w:rPr>
      </w:pPr>
    </w:p>
    <w:p>
      <w:pPr>
        <w:jc w:val="both"/>
        <w:ind w:firstLine="656"/>
        <w:spacing w:after="0" w:line="260"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Grantee acknowledges that he or she is sufficiently proficient in English, or has consulted with an advisor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Imposition of Other Requirements</w:t>
      </w:r>
      <w:r>
        <w:rPr>
          <w:rFonts w:ascii="Times New Roman" w:cs="Times New Roman" w:eastAsia="Times New Roman" w:hAnsi="Times New Roman"/>
          <w:sz w:val="20"/>
          <w:szCs w:val="20"/>
          <w:color w:val="auto"/>
        </w:rPr>
        <w:t>. The Company reserves the right to impose other requirements on Grantee’s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Performance Units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77"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Except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Performance Unit grant and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6"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unenforceable, in whole or in part, the remaining provisions shall nevertheless be binding and enforceable.</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Grantee acknowledges that a waiver by the Company of any provision, or breach thereof, of this Agreement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300" w:lineRule="auto"/>
        <w:tabs>
          <w:tab w:leader="none" w:pos="1287"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Pronouns; Including</w:t>
      </w:r>
      <w:r>
        <w:rPr>
          <w:rFonts w:ascii="Times New Roman" w:cs="Times New Roman" w:eastAsia="Times New Roman" w:hAnsi="Times New Roman"/>
          <w:sz w:val="19"/>
          <w:szCs w:val="19"/>
          <w:color w:val="auto"/>
        </w:rPr>
        <w:t>. Wherever appropriate in this Agreement, personal pronouns shall be deemed to include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genders and the singular to include the plural. Wherever used in this Agreement, the term “including” means “including, without limitation.”</w:t>
      </w:r>
    </w:p>
    <w:p>
      <w:pPr>
        <w:spacing w:after="0" w:line="142" w:lineRule="exact"/>
        <w:rPr>
          <w:rFonts w:ascii="Times New Roman" w:cs="Times New Roman" w:eastAsia="Times New Roman" w:hAnsi="Times New Roman"/>
          <w:sz w:val="19"/>
          <w:szCs w:val="19"/>
          <w:b w:val="1"/>
          <w:bCs w:val="1"/>
          <w:color w:val="auto"/>
        </w:rPr>
      </w:pPr>
    </w:p>
    <w:p>
      <w:pPr>
        <w:jc w:val="both"/>
        <w:ind w:firstLine="656"/>
        <w:spacing w:after="0" w:line="260"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in Interest</w:t>
      </w:r>
      <w:r>
        <w:rPr>
          <w:rFonts w:ascii="Times New Roman" w:cs="Times New Roman" w:eastAsia="Times New Roman" w:hAnsi="Times New Roman"/>
          <w:sz w:val="20"/>
          <w:szCs w:val="20"/>
          <w:color w:val="auto"/>
        </w:rPr>
        <w:t>. This Agreement shall inure to the benefit of, and be binding upon, the Company and its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This Agreement, along with any Exhibit hereto, encompasses the entire agreement of the parties related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subject matter of this Agreement, and supersedes all previous understandings and agreements between them, whether oral or written, except as otherwise described specifically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parties hereby acknowledge and represent, that they have not relied on any representation, assertion,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warranty, collateral contract or other assurance, except those set out in this Agreement, made by or on behalf of any other party or any other person or entity whatsoever, prior to the execution of this Agreement.</w:t>
      </w:r>
    </w:p>
    <w:p>
      <w:pPr>
        <w:spacing w:after="0" w:line="169" w:lineRule="exact"/>
        <w:rPr>
          <w:sz w:val="20"/>
          <w:szCs w:val="20"/>
          <w:color w:val="auto"/>
        </w:rPr>
      </w:pPr>
    </w:p>
    <w:p>
      <w:pPr>
        <w:jc w:val="both"/>
        <w:ind w:firstLine="656"/>
        <w:spacing w:after="0" w:line="263" w:lineRule="auto"/>
        <w:tabs>
          <w:tab w:leader="none" w:pos="1287"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Committee shall have the sole and absolute authority to interpret, construe and apply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By completing the online acceptance process, Grantee accepts the grant of Performance Units and agrees to all the terms and conditions described in this Agreement and in the Plan.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635"/>
        <w:spacing w:after="0" w:line="283" w:lineRule="auto"/>
        <w:rPr>
          <w:sz w:val="20"/>
          <w:szCs w:val="20"/>
          <w:color w:val="auto"/>
        </w:rPr>
      </w:pPr>
      <w:r>
        <w:rPr>
          <w:rFonts w:ascii="Times New Roman" w:cs="Times New Roman" w:eastAsia="Times New Roman" w:hAnsi="Times New Roman"/>
          <w:sz w:val="20"/>
          <w:szCs w:val="20"/>
          <w:color w:val="auto"/>
        </w:rPr>
        <w:t>You acknowledge that you have read the Company’s Stock Ownership Guidelines (“Guidelines”) posted on the Company’s website and you agree to comply with those Guidelines.</w:t>
      </w:r>
    </w:p>
    <w:p>
      <w:pPr>
        <w:spacing w:after="0" w:line="146" w:lineRule="exact"/>
        <w:rPr>
          <w:sz w:val="20"/>
          <w:szCs w:val="20"/>
          <w:color w:val="auto"/>
        </w:rPr>
      </w:pPr>
    </w:p>
    <w:p>
      <w:pPr>
        <w:ind w:firstLine="635"/>
        <w:spacing w:after="0" w:line="283" w:lineRule="auto"/>
        <w:rPr>
          <w:sz w:val="20"/>
          <w:szCs w:val="20"/>
          <w:color w:val="auto"/>
        </w:rPr>
      </w:pPr>
      <w:r>
        <w:rPr>
          <w:rFonts w:ascii="Times New Roman" w:cs="Times New Roman" w:eastAsia="Times New Roman" w:hAnsi="Times New Roman"/>
          <w:sz w:val="20"/>
          <w:szCs w:val="20"/>
          <w:color w:val="auto"/>
        </w:rPr>
        <w:t>Your minimum stock ownership level and retention requirements, based on the Grantee Level stated on the first page of this Agreement, are set forth below. In the event of a conflict between this Exhibit A and the Guidelines, the Guidelines will prevail.</w:t>
      </w:r>
    </w:p>
    <w:p>
      <w:pPr>
        <w:spacing w:after="0" w:line="176"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1460" w:type="dxa"/>
            <w:vAlign w:val="bottom"/>
            <w:tcBorders>
              <w:top w:val="single" w:sz="8" w:color="auto"/>
              <w:left w:val="single" w:sz="8" w:color="auto"/>
              <w:right w:val="single" w:sz="8" w:color="auto"/>
            </w:tcBorders>
          </w:tcPr>
          <w:p>
            <w:pPr>
              <w:spacing w:after="0"/>
              <w:rPr>
                <w:sz w:val="21"/>
                <w:szCs w:val="21"/>
                <w:color w:val="auto"/>
              </w:rPr>
            </w:pPr>
          </w:p>
        </w:tc>
        <w:tc>
          <w:tcPr>
            <w:tcW w:w="5540" w:type="dxa"/>
            <w:vAlign w:val="bottom"/>
            <w:tcBorders>
              <w:top w:val="single" w:sz="8" w:color="auto"/>
              <w:right w:val="single" w:sz="8" w:color="auto"/>
            </w:tcBorders>
          </w:tcPr>
          <w:p>
            <w:pPr>
              <w:spacing w:after="0"/>
              <w:rPr>
                <w:sz w:val="21"/>
                <w:szCs w:val="21"/>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Ownership</w:t>
            </w:r>
          </w:p>
        </w:tc>
        <w:tc>
          <w:tcPr>
            <w:tcW w:w="1720" w:type="dxa"/>
            <w:vAlign w:val="bottom"/>
            <w:tcBorders>
              <w:top w:val="single" w:sz="8" w:color="auto"/>
              <w:right w:val="single" w:sz="8" w:color="auto"/>
            </w:tcBorders>
          </w:tcPr>
          <w:p>
            <w:pPr>
              <w:spacing w:after="0"/>
              <w:rPr>
                <w:sz w:val="21"/>
                <w:szCs w:val="21"/>
                <w:color w:val="auto"/>
              </w:rPr>
            </w:pPr>
          </w:p>
        </w:tc>
      </w:tr>
      <w:tr>
        <w:trPr>
          <w:trHeight w:val="229"/>
        </w:trPr>
        <w:tc>
          <w:tcPr>
            <w:tcW w:w="1460" w:type="dxa"/>
            <w:vAlign w:val="bottom"/>
            <w:tcBorders>
              <w:left w:val="single" w:sz="8" w:color="auto"/>
              <w:right w:val="single" w:sz="8" w:color="auto"/>
            </w:tcBorders>
          </w:tcPr>
          <w:p>
            <w:pPr>
              <w:spacing w:after="0"/>
              <w:rPr>
                <w:sz w:val="19"/>
                <w:szCs w:val="19"/>
                <w:color w:val="auto"/>
              </w:rPr>
            </w:pPr>
          </w:p>
        </w:tc>
        <w:tc>
          <w:tcPr>
            <w:tcW w:w="55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Multiple of</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Retention</w:t>
            </w:r>
          </w:p>
        </w:tc>
      </w:tr>
      <w:tr>
        <w:trPr>
          <w:trHeight w:val="230"/>
        </w:trPr>
        <w:tc>
          <w:tcPr>
            <w:tcW w:w="1460" w:type="dxa"/>
            <w:vAlign w:val="bottom"/>
            <w:tcBorders>
              <w:left w:val="single" w:sz="8" w:color="auto"/>
              <w:right w:val="single" w:sz="8" w:color="auto"/>
            </w:tcBorders>
          </w:tcPr>
          <w:p>
            <w:pPr>
              <w:spacing w:after="0"/>
              <w:rPr>
                <w:sz w:val="19"/>
                <w:szCs w:val="19"/>
                <w:color w:val="auto"/>
              </w:rPr>
            </w:pPr>
          </w:p>
        </w:tc>
        <w:tc>
          <w:tcPr>
            <w:tcW w:w="55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Annual Base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Requirement</w:t>
            </w:r>
          </w:p>
        </w:tc>
      </w:tr>
      <w:tr>
        <w:trPr>
          <w:trHeight w:val="262"/>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Grantee Level</w:t>
            </w:r>
          </w:p>
        </w:tc>
        <w:tc>
          <w:tcPr>
            <w:tcW w:w="5540" w:type="dxa"/>
            <w:vAlign w:val="bottom"/>
            <w:tcBorders>
              <w:right w:val="single" w:sz="8" w:color="auto"/>
            </w:tcBorders>
          </w:tcPr>
          <w:p>
            <w:pPr>
              <w:ind w:left="25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Executive Officers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58"/>
        </w:trPr>
        <w:tc>
          <w:tcPr>
            <w:tcW w:w="1460" w:type="dxa"/>
            <w:vAlign w:val="bottom"/>
            <w:tcBorders>
              <w:left w:val="single" w:sz="8" w:color="auto"/>
              <w:right w:val="single" w:sz="8" w:color="auto"/>
            </w:tcBorders>
          </w:tcPr>
          <w:p>
            <w:pPr>
              <w:spacing w:after="0"/>
              <w:rPr>
                <w:sz w:val="22"/>
                <w:szCs w:val="22"/>
                <w:color w:val="auto"/>
              </w:rPr>
            </w:pP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(other than the Chief Executive Officer)</w:t>
            </w:r>
          </w:p>
        </w:tc>
        <w:tc>
          <w:tcPr>
            <w:tcW w:w="164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Executive Vice Presidents and Senior Vice Presidents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58"/>
        </w:trPr>
        <w:tc>
          <w:tcPr>
            <w:tcW w:w="1460" w:type="dxa"/>
            <w:vAlign w:val="bottom"/>
            <w:tcBorders>
              <w:left w:val="single" w:sz="8" w:color="auto"/>
              <w:right w:val="single" w:sz="8" w:color="auto"/>
            </w:tcBorders>
          </w:tcPr>
          <w:p>
            <w:pPr>
              <w:spacing w:after="0"/>
              <w:rPr>
                <w:sz w:val="22"/>
                <w:szCs w:val="22"/>
                <w:color w:val="auto"/>
              </w:rPr>
            </w:pP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(other than Executive Officers)</w:t>
            </w:r>
          </w:p>
        </w:tc>
        <w:tc>
          <w:tcPr>
            <w:tcW w:w="164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All Other Associates/Participants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GOAL FOR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ROIC PERFORMANCE UNIT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00"/>
        <w:spacing w:after="0"/>
        <w:rPr>
          <w:sz w:val="20"/>
          <w:szCs w:val="20"/>
          <w:color w:val="auto"/>
        </w:rPr>
      </w:pPr>
      <w:r>
        <w:rPr>
          <w:rFonts w:ascii="Times New Roman" w:cs="Times New Roman" w:eastAsia="Times New Roman" w:hAnsi="Times New Roman"/>
          <w:sz w:val="20"/>
          <w:szCs w:val="20"/>
          <w:b w:val="1"/>
          <w:bCs w:val="1"/>
          <w:color w:val="auto"/>
        </w:rPr>
        <w:t xml:space="preserve">Grant ID:  </w:t>
      </w:r>
      <w:r>
        <w:rPr>
          <w:rFonts w:ascii="Times New Roman" w:cs="Times New Roman" w:eastAsia="Times New Roman" w:hAnsi="Times New Roman"/>
          <w:sz w:val="20"/>
          <w:szCs w:val="20"/>
          <w:color w:val="auto"/>
        </w:rPr>
        <w:t>/$GrantID$/</w:t>
      </w:r>
    </w:p>
    <w:p>
      <w:pPr>
        <w:spacing w:after="0" w:line="5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b w:val="1"/>
          <w:bCs w:val="1"/>
          <w:color w:val="auto"/>
        </w:rPr>
        <w:t xml:space="preserve">Grant Date:  </w:t>
      </w:r>
      <w:r>
        <w:rPr>
          <w:rFonts w:ascii="Times New Roman" w:cs="Times New Roman" w:eastAsia="Times New Roman" w:hAnsi="Times New Roman"/>
          <w:sz w:val="20"/>
          <w:szCs w:val="20"/>
          <w:color w:val="auto"/>
        </w:rPr>
        <w:t>/$GrantDate$/</w:t>
      </w:r>
    </w:p>
    <w:p>
      <w:pPr>
        <w:spacing w:after="0" w:line="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Target Share Units: </w:t>
      </w:r>
      <w:r>
        <w:rPr>
          <w:rFonts w:ascii="Times New Roman" w:cs="Times New Roman" w:eastAsia="Times New Roman" w:hAnsi="Times New Roman"/>
          <w:sz w:val="20"/>
          <w:szCs w:val="20"/>
          <w:color w:val="auto"/>
        </w:rPr>
        <w:t>/$AwardsGranted$/</w:t>
      </w:r>
    </w:p>
    <w:p>
      <w:pPr>
        <w:spacing w:after="0" w:line="54" w:lineRule="exact"/>
        <w:rPr>
          <w:sz w:val="20"/>
          <w:szCs w:val="20"/>
          <w:color w:val="auto"/>
        </w:rPr>
      </w:pPr>
    </w:p>
    <w:p>
      <w:pPr>
        <w:ind w:left="2680" w:right="960" w:hanging="1909"/>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Three-Year Period Comprised of Fiscal Years 2025, 2026 and 2027 (September 1, 2024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August 31, 2027)</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Measurement Date:  </w:t>
      </w:r>
      <w:r>
        <w:rPr>
          <w:rFonts w:ascii="Times New Roman" w:cs="Times New Roman" w:eastAsia="Times New Roman" w:hAnsi="Times New Roman"/>
          <w:sz w:val="20"/>
          <w:szCs w:val="20"/>
          <w:color w:val="auto"/>
        </w:rPr>
        <w:t>August 31, 2027 (end of third fiscal year)</w:t>
      </w:r>
    </w:p>
    <w:p>
      <w:pPr>
        <w:spacing w:after="0" w:line="54" w:lineRule="exact"/>
        <w:rPr>
          <w:sz w:val="20"/>
          <w:szCs w:val="20"/>
          <w:color w:val="auto"/>
        </w:rPr>
      </w:pPr>
    </w:p>
    <w:p>
      <w:pPr>
        <w:ind w:left="2680" w:right="940" w:hanging="1265"/>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Vesting Date: </w:t>
      </w:r>
      <w:r>
        <w:rPr>
          <w:rFonts w:ascii="Times New Roman" w:cs="Times New Roman" w:eastAsia="Times New Roman" w:hAnsi="Times New Roman"/>
          <w:sz w:val="19"/>
          <w:szCs w:val="19"/>
          <w:color w:val="auto"/>
        </w:rPr>
        <w:t>The later of the date on which the Committee certifies the achievement level 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Goal after the Measurement Date, or the third anniversary of the Grant Date, October 24, 2027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Goal:</w:t>
      </w:r>
    </w:p>
    <w:p>
      <w:pPr>
        <w:spacing w:after="0" w:line="260" w:lineRule="exact"/>
        <w:rPr>
          <w:sz w:val="20"/>
          <w:szCs w:val="20"/>
          <w:color w:val="auto"/>
        </w:rPr>
      </w:pPr>
    </w:p>
    <w:p>
      <w:pPr>
        <w:ind w:firstLine="194"/>
        <w:spacing w:after="0" w:line="253" w:lineRule="auto"/>
        <w:rPr>
          <w:sz w:val="20"/>
          <w:szCs w:val="20"/>
          <w:color w:val="auto"/>
        </w:rPr>
      </w:pPr>
      <w:r>
        <w:rPr>
          <w:rFonts w:ascii="Times New Roman" w:cs="Times New Roman" w:eastAsia="Times New Roman" w:hAnsi="Times New Roman"/>
          <w:sz w:val="20"/>
          <w:szCs w:val="20"/>
          <w:color w:val="auto"/>
        </w:rPr>
        <w:t xml:space="preserve">The achievement of a level of Return on Invested Capital (“ROIC”) in excess of the Weighted Cost of Capital (“WACC”) (the “Performance Measure”) between the Target and Maximum shown in the table below (the “Achievement Level”). Final performance will be measured against the payout curve as of the Measurement Date. The number of shares you will receive will be calculated by multiplying your Target Share Units by the Payout % between 100% and 200%. The exact Payout % will be determined by linear interpolation of the Achievement Level of the Performance Measure between the Target and Maximum. </w:t>
      </w:r>
      <w:r>
        <w:rPr>
          <w:rFonts w:ascii="Times New Roman" w:cs="Times New Roman" w:eastAsia="Times New Roman" w:hAnsi="Times New Roman"/>
          <w:sz w:val="20"/>
          <w:szCs w:val="20"/>
          <w:b w:val="1"/>
          <w:bCs w:val="1"/>
          <w:color w:val="auto"/>
        </w:rPr>
        <w:t>If the Performance Measure is below Target, 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payout will be received.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following table shows the Achievement Level at Target, Mid-Point and Maximum.</w:t>
      </w:r>
    </w:p>
    <w:p>
      <w:pPr>
        <w:spacing w:after="0" w:line="286" w:lineRule="exact"/>
        <w:rPr>
          <w:sz w:val="20"/>
          <w:szCs w:val="20"/>
          <w:color w:val="auto"/>
        </w:rPr>
      </w:pPr>
    </w:p>
    <w:tbl>
      <w:tblPr>
        <w:tblLayout w:type="fixed"/>
        <w:tblInd w:w="350" w:type="dxa"/>
        <w:tblCellMar>
          <w:top w:w="0" w:type="dxa"/>
          <w:left w:w="0" w:type="dxa"/>
          <w:bottom w:w="0" w:type="dxa"/>
          <w:right w:w="0" w:type="dxa"/>
        </w:tblCellMar>
      </w:tblPr>
      <w:tr>
        <w:trPr>
          <w:trHeight w:val="748"/>
        </w:trPr>
        <w:tc>
          <w:tcPr>
            <w:tcW w:w="2520" w:type="dxa"/>
            <w:vAlign w:val="bottom"/>
            <w:tcBorders>
              <w:top w:val="single" w:sz="8" w:color="auto"/>
              <w:left w:val="single" w:sz="8" w:color="auto"/>
              <w:bottom w:val="single" w:sz="8" w:color="DFDFDF"/>
              <w:right w:val="single" w:sz="8" w:color="auto"/>
            </w:tcBorders>
            <w:shd w:val="clear" w:color="auto" w:fill="DFDFDF"/>
          </w:tcPr>
          <w:p>
            <w:pPr>
              <w:spacing w:after="0"/>
              <w:rPr>
                <w:sz w:val="24"/>
                <w:szCs w:val="24"/>
                <w:color w:val="auto"/>
              </w:rPr>
            </w:pPr>
          </w:p>
        </w:tc>
        <w:tc>
          <w:tcPr>
            <w:tcW w:w="1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0% Payout</w:t>
            </w:r>
          </w:p>
        </w:tc>
        <w:tc>
          <w:tcPr>
            <w:tcW w:w="1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Target Payout</w:t>
            </w:r>
          </w:p>
        </w:tc>
        <w:tc>
          <w:tcPr>
            <w:tcW w:w="1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Mid-Point Payout</w:t>
            </w:r>
          </w:p>
        </w:tc>
        <w:tc>
          <w:tcPr>
            <w:tcW w:w="1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 Payout</w:t>
            </w:r>
          </w:p>
        </w:tc>
      </w:tr>
      <w:tr>
        <w:trPr>
          <w:trHeight w:val="466"/>
        </w:trPr>
        <w:tc>
          <w:tcPr>
            <w:tcW w:w="2520" w:type="dxa"/>
            <w:vAlign w:val="bottom"/>
            <w:tcBorders>
              <w:top w:val="single" w:sz="8" w:color="DFDFDF"/>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&lt; 2 percentage points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 2 percentage points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 4 percentage points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 6 percentage points</w:t>
            </w:r>
          </w:p>
        </w:tc>
      </w:tr>
      <w:tr>
        <w:trPr>
          <w:trHeight w:val="257"/>
        </w:trPr>
        <w:tc>
          <w:tcPr>
            <w:tcW w:w="2520" w:type="dxa"/>
            <w:vAlign w:val="bottom"/>
            <w:tcBorders>
              <w:top w:val="single" w:sz="8" w:color="auto"/>
              <w:left w:val="single" w:sz="8" w:color="auto"/>
              <w:bottom w:val="single" w:sz="8" w:color="DFDFDF"/>
              <w:right w:val="single" w:sz="8" w:color="auto"/>
            </w:tcBorders>
            <w:shd w:val="clear" w:color="auto" w:fill="DFDFDF"/>
          </w:tcPr>
          <w:p>
            <w:pPr>
              <w:ind w:left="460"/>
              <w:spacing w:after="0"/>
              <w:rPr>
                <w:sz w:val="20"/>
                <w:szCs w:val="20"/>
                <w:color w:val="auto"/>
              </w:rPr>
            </w:pPr>
            <w:r>
              <w:rPr>
                <w:rFonts w:ascii="Times New Roman" w:cs="Times New Roman" w:eastAsia="Times New Roman" w:hAnsi="Times New Roman"/>
                <w:sz w:val="20"/>
                <w:szCs w:val="20"/>
                <w:b w:val="1"/>
                <w:bCs w:val="1"/>
                <w:color w:val="auto"/>
              </w:rPr>
              <w:t>Achievement Level</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r>
        <w:trPr>
          <w:trHeight w:val="20"/>
        </w:trPr>
        <w:tc>
          <w:tcPr>
            <w:tcW w:w="2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r>
    </w:tbl>
    <w:p>
      <w:pPr>
        <w:spacing w:after="0" w:line="72" w:lineRule="exact"/>
        <w:rPr>
          <w:sz w:val="20"/>
          <w:szCs w:val="20"/>
          <w:color w:val="auto"/>
        </w:rPr>
      </w:pPr>
    </w:p>
    <w:p>
      <w:pPr>
        <w:ind w:right="320" w:firstLine="194"/>
        <w:spacing w:after="0" w:line="269" w:lineRule="auto"/>
        <w:rPr>
          <w:sz w:val="20"/>
          <w:szCs w:val="20"/>
          <w:color w:val="auto"/>
        </w:rPr>
      </w:pPr>
      <w:r>
        <w:rPr>
          <w:rFonts w:ascii="Times New Roman" w:cs="Times New Roman" w:eastAsia="Times New Roman" w:hAnsi="Times New Roman"/>
          <w:sz w:val="20"/>
          <w:szCs w:val="20"/>
          <w:color w:val="auto"/>
        </w:rPr>
        <w:t>The Performance Measure will be calculated at the end of each fiscal year. The Achievement Level will be equal to the average of each annual Performance Measure over the Performance Period as follows:</w:t>
      </w:r>
    </w:p>
    <w:p>
      <w:pPr>
        <w:spacing w:after="0" w:line="24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Performance Measure at Yr1 + Performance Measure at Yr2 + Performance Measure at Yr3</w:t>
      </w:r>
    </w:p>
    <w:p>
      <w:pPr>
        <w:ind w:left="660"/>
        <w:spacing w:after="0" w:line="187" w:lineRule="auto"/>
        <w:rPr>
          <w:sz w:val="20"/>
          <w:szCs w:val="20"/>
          <w:color w:val="auto"/>
        </w:rPr>
      </w:pPr>
      <w:r>
        <w:rPr>
          <w:rFonts w:ascii="Times New Roman" w:cs="Times New Roman" w:eastAsia="Times New Roman" w:hAnsi="Times New Roman"/>
          <w:sz w:val="14"/>
          <w:szCs w:val="14"/>
          <w:b w:val="1"/>
          <w:bCs w:val="1"/>
          <w:color w:val="auto"/>
        </w:rPr>
        <w:t>Achievement Level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-27305</wp:posOffset>
            </wp:positionV>
            <wp:extent cx="4877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Calculation of annual ROIC and WACC Measures:</w:t>
      </w:r>
    </w:p>
    <w:p>
      <w:pPr>
        <w:sectPr>
          <w:pgSz w:w="11900" w:h="16838" w:orient="portrait"/>
          <w:cols w:equalWidth="0" w:num="1">
            <w:col w:w="11240"/>
          </w:cols>
          <w:pgMar w:left="320" w:top="114" w:right="339" w:bottom="1440" w:gutter="0" w:footer="0" w:header="0"/>
        </w:sectPr>
      </w:pPr>
    </w:p>
    <w:p>
      <w:pPr>
        <w:spacing w:after="0" w:line="38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b w:val="1"/>
          <w:bCs w:val="1"/>
          <w:color w:val="auto"/>
        </w:rPr>
        <w:t>ROIC Measure =</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Net Operating Profit after Tax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10795</wp:posOffset>
            </wp:positionV>
            <wp:extent cx="3549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3900" w:space="720"/>
            <w:col w:w="6620"/>
          </w:cols>
          <w:pgMar w:left="320" w:top="114" w:right="3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20"/>
          <w:szCs w:val="20"/>
          <w:color w:val="auto"/>
        </w:rPr>
        <w:t xml:space="preserve">Average Total Capital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(Debt + Equity – Excess Cash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p>
      <w:pPr>
        <w:spacing w:after="0" w:line="236" w:lineRule="exact"/>
        <w:rPr>
          <w:sz w:val="20"/>
          <w:szCs w:val="20"/>
          <w:color w:val="auto"/>
        </w:rPr>
      </w:pPr>
    </w:p>
    <w:p>
      <w:pPr>
        <w:ind w:left="1460" w:right="2820" w:hanging="249"/>
        <w:spacing w:after="0" w:line="271" w:lineRule="auto"/>
        <w:tabs>
          <w:tab w:leader="none" w:pos="1506"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ROIC may be adjusted to obtain a measure more reflective of normal operations; such adjustments are identified later in this document.</w:t>
      </w:r>
    </w:p>
    <w:p>
      <w:pPr>
        <w:ind w:left="1500" w:hanging="289"/>
        <w:spacing w:after="0" w:line="192" w:lineRule="auto"/>
        <w:tabs>
          <w:tab w:leader="none" w:pos="150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based on ending balances of most recent 5 quarters.</w:t>
      </w:r>
    </w:p>
    <w:p>
      <w:pPr>
        <w:spacing w:after="0" w:line="3" w:lineRule="exact"/>
        <w:rPr>
          <w:rFonts w:ascii="Times New Roman" w:cs="Times New Roman" w:eastAsia="Times New Roman" w:hAnsi="Times New Roman"/>
          <w:sz w:val="19"/>
          <w:szCs w:val="19"/>
          <w:color w:val="auto"/>
          <w:vertAlign w:val="superscript"/>
        </w:rPr>
      </w:pPr>
    </w:p>
    <w:p>
      <w:pPr>
        <w:ind w:left="1500" w:hanging="289"/>
        <w:spacing w:after="0" w:line="189" w:lineRule="auto"/>
        <w:tabs>
          <w:tab w:leader="none" w:pos="150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Excess cash represents cash balances in excess of $100 million.</w:t>
      </w:r>
    </w:p>
    <w:p>
      <w:pPr>
        <w:spacing w:after="0" w:line="298" w:lineRule="exact"/>
        <w:rPr>
          <w:sz w:val="20"/>
          <w:szCs w:val="20"/>
          <w:color w:val="auto"/>
        </w:rPr>
      </w:pPr>
    </w:p>
    <w:p>
      <w:pPr>
        <w:ind w:left="1360" w:right="2980" w:firstLine="1828"/>
        <w:spacing w:after="0" w:line="264" w:lineRule="auto"/>
        <w:rPr>
          <w:sz w:val="20"/>
          <w:szCs w:val="20"/>
          <w:color w:val="auto"/>
        </w:rPr>
      </w:pPr>
      <w:r>
        <w:rPr>
          <w:rFonts w:ascii="Times New Roman" w:cs="Times New Roman" w:eastAsia="Times New Roman" w:hAnsi="Times New Roman"/>
          <w:sz w:val="19"/>
          <w:szCs w:val="19"/>
          <w:color w:val="auto"/>
        </w:rPr>
        <w:t xml:space="preserve">Calculation of a firm's cost of capital in which each category of </w:t>
      </w:r>
      <w:r>
        <w:rPr>
          <w:rFonts w:ascii="Times New Roman" w:cs="Times New Roman" w:eastAsia="Times New Roman" w:hAnsi="Times New Roman"/>
          <w:sz w:val="19"/>
          <w:szCs w:val="19"/>
          <w:b w:val="1"/>
          <w:bCs w:val="1"/>
          <w:color w:val="auto"/>
        </w:rPr>
        <w:t xml:space="preserve">WACC Measure = </w:t>
      </w:r>
      <w:r>
        <w:rPr>
          <w:rFonts w:ascii="Times New Roman" w:cs="Times New Roman" w:eastAsia="Times New Roman" w:hAnsi="Times New Roman"/>
          <w:sz w:val="19"/>
          <w:szCs w:val="19"/>
          <w:color w:val="auto"/>
        </w:rPr>
        <w:t>capital is proportionately weighted and based on the average for</w:t>
      </w:r>
    </w:p>
    <w:p>
      <w:pPr>
        <w:ind w:left="3180"/>
        <w:spacing w:after="0"/>
        <w:rPr>
          <w:sz w:val="20"/>
          <w:szCs w:val="20"/>
          <w:color w:val="auto"/>
        </w:rPr>
      </w:pPr>
      <w:r>
        <w:rPr>
          <w:rFonts w:ascii="Times New Roman" w:cs="Times New Roman" w:eastAsia="Times New Roman" w:hAnsi="Times New Roman"/>
          <w:sz w:val="20"/>
          <w:szCs w:val="20"/>
          <w:color w:val="auto"/>
        </w:rPr>
        <w:t>most recent 5 quarters.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Adjustments:</w:t>
      </w:r>
    </w:p>
    <w:p>
      <w:pPr>
        <w:spacing w:after="0" w:line="260" w:lineRule="exact"/>
        <w:rPr>
          <w:sz w:val="20"/>
          <w:szCs w:val="20"/>
          <w:color w:val="auto"/>
        </w:rPr>
      </w:pPr>
    </w:p>
    <w:p>
      <w:pPr>
        <w:ind w:firstLine="187"/>
        <w:spacing w:after="0" w:line="251" w:lineRule="auto"/>
        <w:rPr>
          <w:sz w:val="20"/>
          <w:szCs w:val="20"/>
          <w:color w:val="auto"/>
        </w:rPr>
      </w:pPr>
      <w:r>
        <w:rPr>
          <w:rFonts w:ascii="Times New Roman" w:cs="Times New Roman" w:eastAsia="Times New Roman" w:hAnsi="Times New Roman"/>
          <w:sz w:val="20"/>
          <w:szCs w:val="20"/>
          <w:color w:val="auto"/>
        </w:rPr>
        <w:t>At the discretion of the Compensation Committee, the Company’s calculated ROIC and/or WACC as of the Measurement Date may be adjusted to derive the Achievement Level for purposes of determining the number of Performance Stock Units earned under this award. Such adjustments may be added to or deducted to obtain a measure more reflective of normal operations and may, at the Committee’s discretion, include one or more of the following: (a) special charges for streamlining efforts and impairments, (b) the distortive effect of business acquisitions and/or dispositions, (c) purchase accounting adjustments, (d) significant changes in income tax rates or regulations, (e) significant changes in foreign currency, (f) refinancing or extinguishment of debt, (g) changes in accounting principles or accounting policies, and (h) any other unusual gain or loss or event deemed appropriate by the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Payout Example:</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 payout example assuming an award of 100 Target Share Units follows:</w:t>
      </w:r>
    </w:p>
    <w:p>
      <w:pPr>
        <w:spacing w:after="0" w:line="286" w:lineRule="exact"/>
        <w:rPr>
          <w:sz w:val="20"/>
          <w:szCs w:val="20"/>
          <w:color w:val="auto"/>
        </w:rPr>
      </w:pPr>
    </w:p>
    <w:tbl>
      <w:tblPr>
        <w:tblLayout w:type="fixed"/>
        <w:tblInd w:w="350" w:type="dxa"/>
        <w:tblCellMar>
          <w:top w:w="0" w:type="dxa"/>
          <w:left w:w="0" w:type="dxa"/>
          <w:bottom w:w="0" w:type="dxa"/>
          <w:right w:w="0" w:type="dxa"/>
        </w:tblCellMar>
      </w:tblPr>
      <w:tr>
        <w:trPr>
          <w:trHeight w:val="243"/>
        </w:trPr>
        <w:tc>
          <w:tcPr>
            <w:tcW w:w="1940" w:type="dxa"/>
            <w:vAlign w:val="bottom"/>
            <w:tcBorders>
              <w:top w:val="single" w:sz="8" w:color="DFDFDF"/>
              <w:left w:val="single" w:sz="8" w:color="DFDFDF"/>
              <w:right w:val="single" w:sz="8" w:color="auto"/>
            </w:tcBorders>
            <w:shd w:val="clear" w:color="auto" w:fill="DFDFDF"/>
          </w:tcPr>
          <w:p>
            <w:pPr>
              <w:spacing w:after="0"/>
              <w:rPr>
                <w:sz w:val="21"/>
                <w:szCs w:val="21"/>
                <w:color w:val="auto"/>
              </w:rPr>
            </w:pPr>
          </w:p>
        </w:tc>
        <w:tc>
          <w:tcPr>
            <w:tcW w:w="1620" w:type="dxa"/>
            <w:vAlign w:val="bottom"/>
            <w:tcBorders>
              <w:top w:val="single" w:sz="8" w:color="auto"/>
              <w:right w:val="single" w:sz="8" w:color="auto"/>
            </w:tcBorders>
            <w:shd w:val="clear" w:color="auto" w:fill="DFDFDF"/>
          </w:tcPr>
          <w:p>
            <w:pPr>
              <w:spacing w:after="0"/>
              <w:rPr>
                <w:sz w:val="21"/>
                <w:szCs w:val="21"/>
                <w:color w:val="auto"/>
              </w:rPr>
            </w:pPr>
          </w:p>
        </w:tc>
        <w:tc>
          <w:tcPr>
            <w:tcW w:w="1600" w:type="dxa"/>
            <w:vAlign w:val="bottom"/>
            <w:tcBorders>
              <w:top w:val="single" w:sz="8" w:color="auto"/>
              <w:right w:val="single" w:sz="8" w:color="auto"/>
            </w:tcBorders>
            <w:shd w:val="clear" w:color="auto" w:fill="DFDFDF"/>
          </w:tcPr>
          <w:p>
            <w:pPr>
              <w:spacing w:after="0"/>
              <w:rPr>
                <w:sz w:val="21"/>
                <w:szCs w:val="21"/>
                <w:color w:val="auto"/>
              </w:rPr>
            </w:pPr>
          </w:p>
        </w:tc>
        <w:tc>
          <w:tcPr>
            <w:tcW w:w="1780" w:type="dxa"/>
            <w:vAlign w:val="bottom"/>
            <w:tcBorders>
              <w:top w:val="single" w:sz="8" w:color="auto"/>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ROIC in excess of</w:t>
            </w:r>
          </w:p>
        </w:tc>
        <w:tc>
          <w:tcPr>
            <w:tcW w:w="1560" w:type="dxa"/>
            <w:vAlign w:val="bottom"/>
            <w:tcBorders>
              <w:top w:val="single" w:sz="8" w:color="auto"/>
              <w:right w:val="single" w:sz="8" w:color="auto"/>
            </w:tcBorders>
            <w:shd w:val="clear" w:color="auto" w:fill="DFDFDF"/>
          </w:tcPr>
          <w:p>
            <w:pPr>
              <w:spacing w:after="0"/>
              <w:rPr>
                <w:sz w:val="21"/>
                <w:szCs w:val="21"/>
                <w:color w:val="auto"/>
              </w:rPr>
            </w:pPr>
          </w:p>
        </w:tc>
        <w:tc>
          <w:tcPr>
            <w:tcW w:w="1660" w:type="dxa"/>
            <w:vAlign w:val="bottom"/>
            <w:tcBorders>
              <w:top w:val="single" w:sz="8" w:color="auto"/>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Actual Shares</w:t>
            </w:r>
          </w:p>
        </w:tc>
      </w:tr>
      <w:tr>
        <w:trPr>
          <w:trHeight w:val="315"/>
        </w:trPr>
        <w:tc>
          <w:tcPr>
            <w:tcW w:w="1940" w:type="dxa"/>
            <w:vAlign w:val="bottom"/>
            <w:tcBorders>
              <w:left w:val="single" w:sz="8" w:color="DFDFDF"/>
              <w:bottom w:val="single" w:sz="8" w:color="DFDFDF"/>
              <w:right w:val="single" w:sz="8" w:color="auto"/>
            </w:tcBorders>
            <w:shd w:val="clear" w:color="auto" w:fill="DFDFDF"/>
          </w:tcPr>
          <w:p>
            <w:pPr>
              <w:spacing w:after="0"/>
              <w:rPr>
                <w:sz w:val="24"/>
                <w:szCs w:val="24"/>
                <w:color w:val="auto"/>
              </w:rPr>
            </w:pPr>
          </w:p>
        </w:tc>
        <w:tc>
          <w:tcPr>
            <w:tcW w:w="1620" w:type="dxa"/>
            <w:vAlign w:val="bottom"/>
            <w:tcBorders>
              <w:bottom w:val="single" w:sz="8" w:color="DFDFDF"/>
              <w:right w:val="single" w:sz="8" w:color="auto"/>
            </w:tcBorders>
            <w:shd w:val="clear" w:color="auto" w:fill="DFDFDF"/>
          </w:tcPr>
          <w:p>
            <w:pPr>
              <w:ind w:left="540"/>
              <w:spacing w:after="0"/>
              <w:rPr>
                <w:sz w:val="20"/>
                <w:szCs w:val="20"/>
                <w:color w:val="auto"/>
              </w:rPr>
            </w:pPr>
            <w:r>
              <w:rPr>
                <w:rFonts w:ascii="Times New Roman" w:cs="Times New Roman" w:eastAsia="Times New Roman" w:hAnsi="Times New Roman"/>
                <w:sz w:val="20"/>
                <w:szCs w:val="20"/>
                <w:b w:val="1"/>
                <w:bCs w:val="1"/>
                <w:color w:val="auto"/>
              </w:rPr>
              <w:t>ROIC</w:t>
            </w:r>
          </w:p>
        </w:tc>
        <w:tc>
          <w:tcPr>
            <w:tcW w:w="1600" w:type="dxa"/>
            <w:vAlign w:val="bottom"/>
            <w:tcBorders>
              <w:bottom w:val="single" w:sz="8" w:color="DFDFDF"/>
              <w:right w:val="single" w:sz="8" w:color="auto"/>
            </w:tcBorders>
            <w:shd w:val="clear" w:color="auto" w:fill="DFDFDF"/>
          </w:tcPr>
          <w:p>
            <w:pPr>
              <w:ind w:left="500"/>
              <w:spacing w:after="0"/>
              <w:rPr>
                <w:sz w:val="20"/>
                <w:szCs w:val="20"/>
                <w:color w:val="auto"/>
              </w:rPr>
            </w:pPr>
            <w:r>
              <w:rPr>
                <w:rFonts w:ascii="Times New Roman" w:cs="Times New Roman" w:eastAsia="Times New Roman" w:hAnsi="Times New Roman"/>
                <w:sz w:val="20"/>
                <w:szCs w:val="20"/>
                <w:b w:val="1"/>
                <w:bCs w:val="1"/>
                <w:color w:val="auto"/>
              </w:rPr>
              <w:t>WACC</w:t>
            </w:r>
          </w:p>
        </w:tc>
        <w:tc>
          <w:tcPr>
            <w:tcW w:w="1780" w:type="dxa"/>
            <w:vAlign w:val="bottom"/>
            <w:tcBorders>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WACC</w:t>
            </w:r>
          </w:p>
        </w:tc>
        <w:tc>
          <w:tcPr>
            <w:tcW w:w="1560" w:type="dxa"/>
            <w:vAlign w:val="bottom"/>
            <w:tcBorders>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Payout %</w:t>
            </w:r>
          </w:p>
        </w:tc>
        <w:tc>
          <w:tcPr>
            <w:tcW w:w="1660" w:type="dxa"/>
            <w:vAlign w:val="bottom"/>
            <w:tcBorders>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Received</w:t>
            </w:r>
          </w:p>
        </w:tc>
      </w:tr>
      <w:tr>
        <w:trPr>
          <w:trHeight w:val="277"/>
        </w:trPr>
        <w:tc>
          <w:tcPr>
            <w:tcW w:w="194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Year 1</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13.7%</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w:t>
            </w:r>
          </w:p>
        </w:tc>
        <w:tc>
          <w:tcPr>
            <w:tcW w:w="178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r>
      <w:tr>
        <w:trPr>
          <w:trHeight w:val="277"/>
        </w:trPr>
        <w:tc>
          <w:tcPr>
            <w:tcW w:w="194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Year 2</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780" w:type="dxa"/>
            <w:vAlign w:val="bottom"/>
            <w:tcBorders>
              <w:top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77"/>
        </w:trPr>
        <w:tc>
          <w:tcPr>
            <w:tcW w:w="194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Year 3</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17.3%</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1780" w:type="dxa"/>
            <w:vAlign w:val="bottom"/>
            <w:tcBorders>
              <w:top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57"/>
        </w:trPr>
        <w:tc>
          <w:tcPr>
            <w:tcW w:w="194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3-Year Average</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15.3%</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5.1%</w:t>
            </w:r>
          </w:p>
        </w:tc>
        <w:tc>
          <w:tcPr>
            <w:tcW w:w="1560" w:type="dxa"/>
            <w:vAlign w:val="bottom"/>
            <w:tcBorders>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155%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155</w:t>
            </w:r>
          </w:p>
        </w:tc>
      </w:tr>
      <w:tr>
        <w:trPr>
          <w:trHeight w:val="20"/>
        </w:trPr>
        <w:tc>
          <w:tcPr>
            <w:tcW w:w="1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78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4" w:right="33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TERMS AND CONDITIONS FOR GRANTEES OUTSIDE THE U.S.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CONFIDENTIALITY, INVENTIONS, NON-SOLICITATION AND NON-COMPETITION PROVISIONS</w:t>
      </w:r>
    </w:p>
    <w:p>
      <w:pPr>
        <w:spacing w:after="0" w:line="229"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5"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“Confidential Information” means the following:</w:t>
      </w:r>
    </w:p>
    <w:p>
      <w:pPr>
        <w:spacing w:after="0" w:line="233" w:lineRule="exact"/>
        <w:rPr>
          <w:rFonts w:ascii="Times New Roman" w:cs="Times New Roman" w:eastAsia="Times New Roman" w:hAnsi="Times New Roman"/>
          <w:sz w:val="20"/>
          <w:szCs w:val="20"/>
          <w:b w:val="1"/>
          <w:bCs w:val="1"/>
          <w:color w:val="auto"/>
        </w:rPr>
      </w:pPr>
    </w:p>
    <w:p>
      <w:pPr>
        <w:jc w:val="both"/>
        <w:ind w:left="820" w:hanging="164"/>
        <w:spacing w:after="0" w:line="263" w:lineRule="auto"/>
        <w:tabs>
          <w:tab w:leader="none" w:pos="816"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Times New Roman" w:cs="Times New Roman" w:eastAsia="Times New Roman" w:hAnsi="Times New Roman"/>
          <w:sz w:val="19"/>
          <w:szCs w:val="19"/>
          <w:u w:val="single" w:color="auto"/>
          <w:color w:val="auto"/>
        </w:rPr>
        <w:t>and</w:t>
      </w:r>
      <w:r>
        <w:rPr>
          <w:rFonts w:ascii="Times New Roman" w:cs="Times New Roman" w:eastAsia="Times New Roman" w:hAnsi="Times New Roman"/>
          <w:sz w:val="19"/>
          <w:szCs w:val="19"/>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3" w:lineRule="exact"/>
        <w:rPr>
          <w:rFonts w:ascii="Times New Roman" w:cs="Times New Roman" w:eastAsia="Times New Roman" w:hAnsi="Times New Roman"/>
          <w:sz w:val="19"/>
          <w:szCs w:val="19"/>
          <w:color w:val="auto"/>
        </w:rPr>
      </w:pPr>
    </w:p>
    <w:p>
      <w:pPr>
        <w:jc w:val="both"/>
        <w:ind w:left="820"/>
        <w:spacing w:after="0" w:line="26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ii.Confidential Information shall not include:</w:t>
      </w:r>
    </w:p>
    <w:p>
      <w:pPr>
        <w:spacing w:after="0" w:line="216" w:lineRule="exact"/>
        <w:rPr>
          <w:sz w:val="20"/>
          <w:szCs w:val="20"/>
          <w:color w:val="auto"/>
        </w:rPr>
      </w:pPr>
    </w:p>
    <w:p>
      <w:pPr>
        <w:ind w:left="1220" w:hanging="321"/>
        <w:spacing w:after="0"/>
        <w:tabs>
          <w:tab w:leader="none" w:pos="12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generally available to the public other than as a result of improper disclosure by Grantee;</w:t>
      </w:r>
    </w:p>
    <w:p>
      <w:pPr>
        <w:spacing w:after="0" w:line="229" w:lineRule="exact"/>
        <w:rPr>
          <w:rFonts w:ascii="Times New Roman" w:cs="Times New Roman" w:eastAsia="Times New Roman" w:hAnsi="Times New Roman"/>
          <w:sz w:val="20"/>
          <w:szCs w:val="20"/>
          <w:color w:val="auto"/>
        </w:rPr>
      </w:pPr>
    </w:p>
    <w:p>
      <w:pPr>
        <w:ind w:left="1220" w:hanging="321"/>
        <w:spacing w:after="0" w:line="269" w:lineRule="auto"/>
        <w:tabs>
          <w:tab w:leader="none" w:pos="12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88" w:hanging="321"/>
        <w:spacing w:after="0"/>
        <w:tabs>
          <w:tab w:leader="none" w:pos="88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disclosed pursuant to law, regulations or pursuant to a subpoena, court order or legal process; and/or</w:t>
      </w:r>
    </w:p>
    <w:p>
      <w:pPr>
        <w:spacing w:after="0" w:line="215" w:lineRule="exact"/>
        <w:rPr>
          <w:rFonts w:ascii="Times New Roman" w:cs="Times New Roman" w:eastAsia="Times New Roman" w:hAnsi="Times New Roman"/>
          <w:sz w:val="20"/>
          <w:szCs w:val="20"/>
          <w:color w:val="auto"/>
        </w:rPr>
      </w:pPr>
    </w:p>
    <w:p>
      <w:pPr>
        <w:ind w:left="888" w:hanging="321"/>
        <w:spacing w:after="0"/>
        <w:tabs>
          <w:tab w:leader="none" w:pos="88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obtained in filings with the Securities and Exchange Commission.</w:t>
      </w:r>
    </w:p>
    <w:p>
      <w:pPr>
        <w:spacing w:after="0" w:line="225"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has the meaning set forth under Georgia law, O.C.G.A. §§ 10-1-760, et seq.</w:t>
      </w:r>
    </w:p>
    <w:p>
      <w:pPr>
        <w:spacing w:after="0" w:line="229" w:lineRule="exact"/>
        <w:rPr>
          <w:rFonts w:ascii="Times New Roman" w:cs="Times New Roman" w:eastAsia="Times New Roman" w:hAnsi="Times New Roman"/>
          <w:sz w:val="20"/>
          <w:szCs w:val="20"/>
          <w:color w:val="auto"/>
        </w:rPr>
      </w:pPr>
    </w:p>
    <w:p>
      <w:pPr>
        <w:jc w:val="both"/>
        <w:ind w:left="328" w:hanging="328"/>
        <w:spacing w:after="0" w:line="270" w:lineRule="auto"/>
        <w:tabs>
          <w:tab w:leader="none" w:pos="3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“Customers” </w:t>
      </w:r>
      <w:r>
        <w:rPr>
          <w:rFonts w:ascii="Times New Roman" w:cs="Times New Roman" w:eastAsia="Times New Roman" w:hAnsi="Times New Roman"/>
          <w:sz w:val="19"/>
          <w:szCs w:val="19"/>
          <w:color w:val="auto"/>
        </w:rPr>
        <w:t>means those entities and/or individuals which, within the two-year period preceding the Date of Termination (as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58"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means Acuity Inc. (previously known as Acuity Brands, Inc.), along with its Subsidiaries or other Affiliates.</w:t>
      </w:r>
    </w:p>
    <w:p>
      <w:pPr>
        <w:spacing w:after="0" w:line="229" w:lineRule="exact"/>
        <w:rPr>
          <w:rFonts w:ascii="Times New Roman" w:cs="Times New Roman" w:eastAsia="Times New Roman" w:hAnsi="Times New Roman"/>
          <w:sz w:val="20"/>
          <w:szCs w:val="20"/>
          <w:color w:val="auto"/>
        </w:rPr>
      </w:pPr>
    </w:p>
    <w:p>
      <w:pPr>
        <w:jc w:val="both"/>
        <w:ind w:left="328" w:hanging="328"/>
        <w:spacing w:after="0" w:line="249" w:lineRule="auto"/>
        <w:tabs>
          <w:tab w:leader="none" w:pos="32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“Company’s Business” </w:t>
      </w:r>
      <w:r>
        <w:rPr>
          <w:rFonts w:ascii="Times New Roman" w:cs="Times New Roman" w:eastAsia="Times New Roman" w:hAnsi="Times New Roman"/>
          <w:sz w:val="20"/>
          <w:szCs w:val="20"/>
          <w:color w:val="auto"/>
        </w:rPr>
        <w:t>means the design, manufacture, installation, servicing, and/or sale of one or more of the following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96" w:lineRule="exact"/>
        <w:rPr>
          <w:rFonts w:ascii="Times New Roman" w:cs="Times New Roman" w:eastAsia="Times New Roman" w:hAnsi="Times New Roman"/>
          <w:sz w:val="20"/>
          <w:szCs w:val="20"/>
          <w:color w:val="auto"/>
        </w:rPr>
      </w:pPr>
    </w:p>
    <w:p>
      <w:pPr>
        <w:ind w:left="328" w:hanging="328"/>
        <w:spacing w:after="0" w:line="287" w:lineRule="auto"/>
        <w:tabs>
          <w:tab w:leader="none" w:pos="31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Services” </w:t>
      </w:r>
      <w:r>
        <w:rPr>
          <w:rFonts w:ascii="Times New Roman" w:cs="Times New Roman" w:eastAsia="Times New Roman" w:hAnsi="Times New Roman"/>
          <w:sz w:val="20"/>
          <w:szCs w:val="20"/>
          <w:color w:val="auto"/>
        </w:rPr>
        <w:t>shall mean the duties and services of the type conducted, authorized, offered, or provided by Grantee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capacity as an Employee on behalf of the Company within twelve (12) months prior to the Date of Termination.</w:t>
      </w:r>
    </w:p>
    <w:p>
      <w:pPr>
        <w:spacing w:after="0" w:line="138" w:lineRule="exact"/>
        <w:rPr>
          <w:rFonts w:ascii="Times New Roman" w:cs="Times New Roman" w:eastAsia="Times New Roman" w:hAnsi="Times New Roman"/>
          <w:sz w:val="20"/>
          <w:szCs w:val="20"/>
          <w:color w:val="auto"/>
        </w:rPr>
      </w:pPr>
    </w:p>
    <w:p>
      <w:pPr>
        <w:jc w:val="both"/>
        <w:ind w:left="328" w:hanging="328"/>
        <w:spacing w:after="0" w:line="254" w:lineRule="auto"/>
        <w:tabs>
          <w:tab w:leader="none" w:pos="3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country in which Grantee is employed by the Company (the “Country”). Grantee acknowledges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908"/>
          </w:cols>
          <w:pgMar w:left="652" w:top="11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77" w:lineRule="exact"/>
        <w:rPr>
          <w:sz w:val="20"/>
          <w:szCs w:val="20"/>
          <w:color w:val="auto"/>
        </w:rPr>
      </w:pPr>
    </w:p>
    <w:p>
      <w:pPr>
        <w:jc w:val="both"/>
        <w:ind w:left="660" w:hanging="328"/>
        <w:spacing w:after="0" w:line="254" w:lineRule="auto"/>
        <w:tabs>
          <w:tab w:leader="none" w:pos="65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“Material Contact” </w:t>
      </w:r>
      <w:r>
        <w:rPr>
          <w:rFonts w:ascii="Times New Roman" w:cs="Times New Roman" w:eastAsia="Times New Roman" w:hAnsi="Times New Roman"/>
          <w:sz w:val="20"/>
          <w:szCs w:val="20"/>
          <w:color w:val="auto"/>
        </w:rPr>
        <w:t>shall have the meaning set forth in O.C.G.A. § 13-8-51(10), which includes contact between an employee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73" w:lineRule="exact"/>
        <w:rPr>
          <w:rFonts w:ascii="Times New Roman" w:cs="Times New Roman" w:eastAsia="Times New Roman" w:hAnsi="Times New Roman"/>
          <w:sz w:val="20"/>
          <w:szCs w:val="20"/>
          <w:color w:val="auto"/>
        </w:rPr>
      </w:pPr>
    </w:p>
    <w:p>
      <w:pPr>
        <w:ind w:left="660" w:hanging="328"/>
        <w:spacing w:after="0" w:line="287" w:lineRule="auto"/>
        <w:tabs>
          <w:tab w:leader="none" w:pos="65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“Terminated for Cause” </w:t>
      </w:r>
      <w:r>
        <w:rPr>
          <w:rFonts w:ascii="Times New Roman" w:cs="Times New Roman" w:eastAsia="Times New Roman" w:hAnsi="Times New Roman"/>
          <w:sz w:val="20"/>
          <w:szCs w:val="20"/>
          <w:color w:val="auto"/>
        </w:rPr>
        <w:t>shall mean the involuntary termination of Grantee by the Company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reasons:</w:t>
      </w:r>
    </w:p>
    <w:p>
      <w:pPr>
        <w:spacing w:after="0" w:line="142" w:lineRule="exact"/>
        <w:rPr>
          <w:rFonts w:ascii="Times New Roman" w:cs="Times New Roman" w:eastAsia="Times New Roman" w:hAnsi="Times New Roman"/>
          <w:sz w:val="20"/>
          <w:szCs w:val="20"/>
          <w:color w:val="auto"/>
        </w:rPr>
      </w:pPr>
    </w:p>
    <w:p>
      <w:pPr>
        <w:ind w:left="820" w:hanging="164"/>
        <w:spacing w:after="0" w:line="283" w:lineRule="auto"/>
        <w:tabs>
          <w:tab w:leader="none" w:pos="81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by Grantee which constitute an indictable offense, a felony or any crime involving dishonesty, theft, fraud or moral turpitude;</w:t>
      </w:r>
    </w:p>
    <w:p>
      <w:pPr>
        <w:spacing w:after="0" w:line="160" w:lineRule="exact"/>
        <w:rPr>
          <w:sz w:val="20"/>
          <w:szCs w:val="20"/>
          <w:color w:val="auto"/>
        </w:rPr>
      </w:pPr>
    </w:p>
    <w:p>
      <w:pPr>
        <w:ind w:left="820" w:hanging="161"/>
        <w:spacing w:after="0" w:line="269" w:lineRule="auto"/>
        <w:rPr>
          <w:sz w:val="20"/>
          <w:szCs w:val="20"/>
          <w:color w:val="auto"/>
        </w:rPr>
      </w:pPr>
      <w:r>
        <w:rPr>
          <w:rFonts w:ascii="Times New Roman" w:cs="Times New Roman" w:eastAsia="Times New Roman" w:hAnsi="Times New Roman"/>
          <w:sz w:val="20"/>
          <w:szCs w:val="20"/>
          <w:color w:val="auto"/>
        </w:rPr>
        <w:t>ii.If termination shall have been the result of an act or acts by Grantee which are determined, in the good faith judgment of the Company, to be in violation of written policies of the Company;</w:t>
      </w:r>
    </w:p>
    <w:p>
      <w:pPr>
        <w:spacing w:after="0" w:line="173" w:lineRule="exact"/>
        <w:rPr>
          <w:sz w:val="20"/>
          <w:szCs w:val="20"/>
          <w:color w:val="auto"/>
        </w:rPr>
      </w:pPr>
    </w:p>
    <w:p>
      <w:pPr>
        <w:ind w:left="820" w:right="20" w:hanging="164"/>
        <w:spacing w:after="0" w:line="269" w:lineRule="auto"/>
        <w:tabs>
          <w:tab w:leader="none" w:pos="13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72" w:lineRule="exact"/>
        <w:rPr>
          <w:rFonts w:ascii="Times New Roman" w:cs="Times New Roman" w:eastAsia="Times New Roman" w:hAnsi="Times New Roman"/>
          <w:sz w:val="20"/>
          <w:szCs w:val="20"/>
          <w:color w:val="auto"/>
        </w:rPr>
      </w:pPr>
    </w:p>
    <w:p>
      <w:pPr>
        <w:jc w:val="both"/>
        <w:ind w:left="820" w:hanging="164"/>
        <w:spacing w:after="0" w:line="258" w:lineRule="auto"/>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72" w:lineRule="exact"/>
        <w:rPr>
          <w:sz w:val="20"/>
          <w:szCs w:val="20"/>
          <w:color w:val="auto"/>
        </w:rPr>
      </w:pPr>
    </w:p>
    <w:p>
      <w:pPr>
        <w:ind w:left="820" w:right="20" w:hanging="161"/>
        <w:spacing w:after="0" w:line="283" w:lineRule="auto"/>
        <w:rPr>
          <w:sz w:val="20"/>
          <w:szCs w:val="20"/>
          <w:color w:val="auto"/>
        </w:rPr>
      </w:pPr>
      <w:r>
        <w:rPr>
          <w:rFonts w:ascii="Times New Roman" w:cs="Times New Roman" w:eastAsia="Times New Roman" w:hAnsi="Times New Roman"/>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56" w:lineRule="exact"/>
        <w:rPr>
          <w:sz w:val="20"/>
          <w:szCs w:val="20"/>
          <w:color w:val="auto"/>
        </w:rPr>
      </w:pPr>
    </w:p>
    <w:p>
      <w:pPr>
        <w:jc w:val="both"/>
        <w:ind w:left="660" w:hanging="328"/>
        <w:spacing w:after="0" w:line="252" w:lineRule="auto"/>
        <w:tabs>
          <w:tab w:leader="none" w:pos="65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“Works For Hire.” </w:t>
      </w:r>
      <w:r>
        <w:rPr>
          <w:rFonts w:ascii="Times New Roman" w:cs="Times New Roman" w:eastAsia="Times New Roman" w:hAnsi="Times New Roman"/>
          <w:sz w:val="20"/>
          <w:szCs w:val="20"/>
          <w:color w:val="auto"/>
        </w:rPr>
        <w:t>The term “Invention” means contributions, discoveries, improvements and ideas and works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8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w:t>
      </w:r>
    </w:p>
    <w:p>
      <w:pPr>
        <w:spacing w:after="0" w:line="215" w:lineRule="exact"/>
        <w:rPr>
          <w:rFonts w:ascii="Times New Roman" w:cs="Times New Roman" w:eastAsia="Times New Roman" w:hAnsi="Times New Roman"/>
          <w:sz w:val="20"/>
          <w:szCs w:val="20"/>
          <w:b w:val="1"/>
          <w:bCs w:val="1"/>
          <w:color w:val="auto"/>
        </w:rPr>
      </w:pPr>
    </w:p>
    <w:p>
      <w:pPr>
        <w:jc w:val="both"/>
        <w:ind w:left="660" w:hanging="328"/>
        <w:spacing w:after="0" w:line="258" w:lineRule="auto"/>
        <w:tabs>
          <w:tab w:leader="none" w:pos="65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Purpose and Reasonableness of Provisions. </w:t>
      </w:r>
      <w:r>
        <w:rPr>
          <w:rFonts w:ascii="Times New Roman" w:cs="Times New Roman" w:eastAsia="Times New Roman" w:hAnsi="Times New Roman"/>
          <w:sz w:val="20"/>
          <w:szCs w:val="20"/>
          <w:color w:val="auto"/>
        </w:rPr>
        <w:t>Grantee acknowledges that, during the term of his/her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20"/>
          <w:szCs w:val="20"/>
          <w:color w:val="auto"/>
        </w:rPr>
        <w:t>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77" w:lineRule="exact"/>
        <w:rPr>
          <w:sz w:val="20"/>
          <w:szCs w:val="20"/>
          <w:color w:val="auto"/>
        </w:rPr>
      </w:pPr>
    </w:p>
    <w:p>
      <w:pPr>
        <w:jc w:val="both"/>
        <w:ind w:left="328" w:hanging="328"/>
        <w:spacing w:after="0" w:line="252" w:lineRule="auto"/>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Trade Secrets and Confidential Information. </w:t>
      </w:r>
      <w:r>
        <w:rPr>
          <w:rFonts w:ascii="Times New Roman" w:cs="Times New Roman" w:eastAsia="Times New Roman" w:hAnsi="Times New Roman"/>
          <w:sz w:val="20"/>
          <w:szCs w:val="20"/>
          <w:color w:val="auto"/>
        </w:rPr>
        <w:t>Grantee agrees that he/she shall protect the Company’s Trade Secrets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78" w:lineRule="exact"/>
        <w:rPr>
          <w:rFonts w:ascii="Times New Roman" w:cs="Times New Roman" w:eastAsia="Times New Roman" w:hAnsi="Times New Roman"/>
          <w:sz w:val="20"/>
          <w:szCs w:val="20"/>
          <w:color w:val="auto"/>
        </w:rPr>
      </w:pPr>
    </w:p>
    <w:p>
      <w:pPr>
        <w:jc w:val="both"/>
        <w:ind w:left="308"/>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85" w:lineRule="exact"/>
        <w:rPr>
          <w:rFonts w:ascii="Times New Roman" w:cs="Times New Roman" w:eastAsia="Times New Roman" w:hAnsi="Times New Roman"/>
          <w:sz w:val="20"/>
          <w:szCs w:val="20"/>
          <w:color w:val="auto"/>
        </w:rPr>
      </w:pPr>
    </w:p>
    <w:p>
      <w:pPr>
        <w:jc w:val="both"/>
        <w:ind w:left="308"/>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68" w:lineRule="exact"/>
        <w:rPr>
          <w:rFonts w:ascii="Times New Roman" w:cs="Times New Roman" w:eastAsia="Times New Roman" w:hAnsi="Times New Roman"/>
          <w:sz w:val="20"/>
          <w:szCs w:val="20"/>
          <w:color w:val="auto"/>
        </w:rPr>
      </w:pPr>
    </w:p>
    <w:p>
      <w:pPr>
        <w:jc w:val="both"/>
        <w:ind w:left="328" w:hanging="328"/>
        <w:spacing w:after="0" w:line="254" w:lineRule="auto"/>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Property</w:t>
      </w:r>
      <w:r>
        <w:rPr>
          <w:rFonts w:ascii="Times New Roman" w:cs="Times New Roman" w:eastAsia="Times New Roman" w:hAnsi="Times New Roman"/>
          <w:sz w:val="20"/>
          <w:szCs w:val="20"/>
          <w:color w:val="auto"/>
        </w:rPr>
        <w:t>. On or before the Date of Termination, Grantee agrees to deliver promptly to the Company all files, customer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72" w:lineRule="exact"/>
        <w:rPr>
          <w:rFonts w:ascii="Times New Roman" w:cs="Times New Roman" w:eastAsia="Times New Roman" w:hAnsi="Times New Roman"/>
          <w:sz w:val="20"/>
          <w:szCs w:val="20"/>
          <w:color w:val="auto"/>
        </w:rPr>
      </w:pPr>
    </w:p>
    <w:p>
      <w:pPr>
        <w:jc w:val="both"/>
        <w:ind w:left="328" w:hanging="328"/>
        <w:spacing w:after="0" w:line="254" w:lineRule="auto"/>
        <w:tabs>
          <w:tab w:leader="none" w:pos="3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does hereby assign to the Company the entire right, title and interest in any Invention which is or was made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86" w:lineRule="exact"/>
        <w:rPr>
          <w:rFonts w:ascii="Times New Roman" w:cs="Times New Roman" w:eastAsia="Times New Roman" w:hAnsi="Times New Roman"/>
          <w:sz w:val="20"/>
          <w:szCs w:val="20"/>
          <w:color w:val="auto"/>
        </w:rPr>
      </w:pPr>
    </w:p>
    <w:p>
      <w:pPr>
        <w:ind w:left="328" w:right="6960" w:hanging="328"/>
        <w:spacing w:after="0" w:line="474" w:lineRule="auto"/>
        <w:tabs>
          <w:tab w:leader="none" w:pos="32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In the event that Grantee,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voluntarily resigns from the Company,</w:t>
      </w:r>
    </w:p>
    <w:p>
      <w:pPr>
        <w:ind w:left="328"/>
        <w:spacing w:after="0"/>
        <w:rPr>
          <w:sz w:val="20"/>
          <w:szCs w:val="20"/>
          <w:color w:val="auto"/>
        </w:rPr>
      </w:pPr>
      <w:r>
        <w:rPr>
          <w:rFonts w:ascii="Times New Roman" w:cs="Times New Roman" w:eastAsia="Times New Roman" w:hAnsi="Times New Roman"/>
          <w:sz w:val="20"/>
          <w:szCs w:val="20"/>
          <w:color w:val="auto"/>
        </w:rPr>
        <w:t>ii.is Terminated for Cause (as defined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908"/>
          </w:cols>
          <w:pgMar w:left="652" w:top="1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0" w:right="20" w:hanging="164"/>
        <w:spacing w:after="0" w:line="269" w:lineRule="auto"/>
        <w:tabs>
          <w:tab w:leader="none" w:pos="13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73"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192" w:lineRule="exact"/>
        <w:rPr>
          <w:sz w:val="20"/>
          <w:szCs w:val="20"/>
          <w:color w:val="auto"/>
        </w:rPr>
      </w:pPr>
    </w:p>
    <w:p>
      <w:pPr>
        <w:jc w:val="both"/>
        <w:ind w:left="660" w:hanging="328"/>
        <w:spacing w:after="0" w:line="260" w:lineRule="auto"/>
        <w:tabs>
          <w:tab w:leader="none" w:pos="64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Grantee acknowledges and agrees that during his/her employment, and for twenty-four (24)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64"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5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5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5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Sales Agents. </w:t>
      </w:r>
      <w:r>
        <w:rPr>
          <w:rFonts w:ascii="Times New Roman" w:cs="Times New Roman" w:eastAsia="Times New Roman" w:hAnsi="Times New Roman"/>
          <w:sz w:val="20"/>
          <w:szCs w:val="20"/>
          <w:color w:val="auto"/>
        </w:rPr>
        <w:t>Grantee acknowledges and agrees that during his/her employment, and for a period of 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86"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5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Injunctive Relief. </w:t>
      </w:r>
      <w:r>
        <w:rPr>
          <w:rFonts w:ascii="Times New Roman" w:cs="Times New Roman" w:eastAsia="Times New Roman" w:hAnsi="Times New Roman"/>
          <w:sz w:val="20"/>
          <w:szCs w:val="20"/>
          <w:color w:val="auto"/>
        </w:rPr>
        <w:t>Grantee acknowledges that if he/she breaches or threatens to breach any of the provisions of this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73" w:lineRule="exact"/>
        <w:rPr>
          <w:rFonts w:ascii="Times New Roman" w:cs="Times New Roman" w:eastAsia="Times New Roman" w:hAnsi="Times New Roman"/>
          <w:sz w:val="20"/>
          <w:szCs w:val="20"/>
          <w:color w:val="auto"/>
        </w:rPr>
      </w:pPr>
    </w:p>
    <w:p>
      <w:pPr>
        <w:jc w:val="both"/>
        <w:ind w:left="340" w:right="20" w:hanging="332"/>
        <w:spacing w:after="0" w:line="263" w:lineRule="auto"/>
        <w:tabs>
          <w:tab w:leader="none" w:pos="3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Non-Assignable by Grantee</w:t>
      </w:r>
      <w:r>
        <w:rPr>
          <w:rFonts w:ascii="Times New Roman" w:cs="Times New Roman" w:eastAsia="Times New Roman" w:hAnsi="Times New Roman"/>
          <w:sz w:val="20"/>
          <w:szCs w:val="20"/>
          <w:color w:val="auto"/>
        </w:rPr>
        <w:t>. The parties acknowledge that the Confidentiality Provisions have been entered into due to, among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things, the special skills and knowledge of Grantee, and agree that the Confidentiality Provisions may not be assigned or transferred by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14" w:right="339" w:bottom="1440" w:gutter="0" w:footer="0" w:header="0"/>
        </w:sectPr>
      </w:pPr>
    </w:p>
    <w:bookmarkStart w:id="53" w:name="page54"/>
    <w:bookmarkEnd w:id="53"/>
    <w:p>
      <w:pPr>
        <w:ind w:left="10140"/>
        <w:spacing w:after="0"/>
        <w:rPr>
          <w:sz w:val="20"/>
          <w:szCs w:val="20"/>
          <w:color w:val="auto"/>
        </w:rPr>
      </w:pPr>
      <w:r>
        <w:rPr>
          <w:rFonts w:ascii="Times New Roman" w:cs="Times New Roman" w:eastAsia="Times New Roman" w:hAnsi="Times New Roman"/>
          <w:sz w:val="19"/>
          <w:szCs w:val="19"/>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340" w:hanging="332"/>
        <w:spacing w:after="0" w:line="263" w:lineRule="auto"/>
        <w:tabs>
          <w:tab w:leader="none" w:pos="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requests, demands and other communications required or permitted hereunder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delivered or seven days after mailing if mailed first class, certified mail, postage prepaid, addressed as follows:</w:t>
      </w:r>
    </w:p>
    <w:p>
      <w:pPr>
        <w:spacing w:after="0" w:line="179"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20"/>
          <w:szCs w:val="20"/>
          <w:color w:val="auto"/>
        </w:rPr>
        <w:t>If to the Company:</w:t>
      </w:r>
      <w:r>
        <w:rPr>
          <w:sz w:val="20"/>
          <w:szCs w:val="20"/>
          <w:color w:val="auto"/>
        </w:rPr>
        <w:tab/>
      </w:r>
      <w:r>
        <w:rPr>
          <w:rFonts w:ascii="Times New Roman" w:cs="Times New Roman" w:eastAsia="Times New Roman" w:hAnsi="Times New Roman"/>
          <w:sz w:val="19"/>
          <w:szCs w:val="19"/>
          <w:color w:val="auto"/>
        </w:rPr>
        <w:t>Acuity Inc.</w:t>
      </w:r>
    </w:p>
    <w:p>
      <w:pPr>
        <w:spacing w:after="0" w:line="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Attention: Corporate Secretary</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1170 Peachtree Street, NE, Suite 1200</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Atlanta, Georgia 30309-7676</w:t>
      </w:r>
    </w:p>
    <w:p>
      <w:pPr>
        <w:sectPr>
          <w:pgSz w:w="11900" w:h="16838" w:orient="portrait"/>
          <w:cols w:equalWidth="0" w:num="1">
            <w:col w:w="11240"/>
          </w:cols>
          <w:pgMar w:left="320" w:top="114" w:right="339" w:bottom="1440" w:gutter="0" w:footer="0" w:header="0"/>
        </w:sect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to Grantee: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his or her last known address on file with the Company.</w:t>
      </w:r>
    </w:p>
    <w:p>
      <w:pPr>
        <w:spacing w:after="0" w:line="200" w:lineRule="exact"/>
        <w:rPr>
          <w:sz w:val="20"/>
          <w:szCs w:val="20"/>
          <w:color w:val="auto"/>
        </w:rPr>
      </w:pPr>
    </w:p>
    <w:p>
      <w:pPr>
        <w:sectPr>
          <w:pgSz w:w="11900" w:h="16838" w:orient="portrait"/>
          <w:cols w:equalWidth="0" w:num="2">
            <w:col w:w="1700" w:space="400"/>
            <w:col w:w="9140"/>
          </w:cols>
          <w:pgMar w:left="320" w:top="114" w:right="339" w:bottom="1440" w:gutter="0" w:footer="0" w:header="0"/>
          <w:type w:val="continuous"/>
        </w:sectPr>
      </w:pPr>
    </w:p>
    <w:p>
      <w:pPr>
        <w:spacing w:after="0" w:line="41"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69" w:lineRule="exact"/>
        <w:rPr>
          <w:sz w:val="20"/>
          <w:szCs w:val="20"/>
          <w:color w:val="auto"/>
        </w:rPr>
      </w:pPr>
    </w:p>
    <w:p>
      <w:pPr>
        <w:jc w:val="both"/>
        <w:ind w:left="340" w:hanging="332"/>
        <w:spacing w:after="0" w:line="252" w:lineRule="auto"/>
        <w:tabs>
          <w:tab w:leader="none" w:pos="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Provisions Severabl</w:t>
      </w:r>
      <w:r>
        <w:rPr>
          <w:rFonts w:ascii="Times New Roman" w:cs="Times New Roman" w:eastAsia="Times New Roman" w:hAnsi="Times New Roman"/>
          <w:sz w:val="20"/>
          <w:szCs w:val="20"/>
          <w:color w:val="auto"/>
        </w:rPr>
        <w:t>e. If any provision or covenant, or any part thereof, contained in the Confidentiality Provisions is held by any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agency, arbitrator or other competent authority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 To the extent a court, agency, arbitrator or other competent authority finds that a provision is unenforceable because it is overbroad, the court may modify or reform the provision to the minimum extent necessary for the provision to remain in force and effect for the maximum duration, subject matter scope and geographic area as to which it may be enforceable.</w:t>
      </w:r>
    </w:p>
    <w:p>
      <w:pPr>
        <w:spacing w:after="0" w:line="191" w:lineRule="exact"/>
        <w:rPr>
          <w:rFonts w:ascii="Times New Roman" w:cs="Times New Roman" w:eastAsia="Times New Roman" w:hAnsi="Times New Roman"/>
          <w:sz w:val="20"/>
          <w:szCs w:val="20"/>
          <w:color w:val="auto"/>
        </w:rPr>
      </w:pPr>
    </w:p>
    <w:p>
      <w:pPr>
        <w:jc w:val="both"/>
        <w:ind w:left="34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60" w:lineRule="auto"/>
        <w:tabs>
          <w:tab w:leader="none" w:pos="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Failure of either party to insist, in one or more instances, on performance by the other in strict accordance with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6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60" w:lineRule="auto"/>
        <w:tabs>
          <w:tab w:leader="none" w:pos="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The validity and effect of the Confidentiality Provisions shall be governed by and construed and enforced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4" w:right="33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20"/>
          <w:szCs w:val="20"/>
          <w:color w:val="auto"/>
        </w:rPr>
        <w:t>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5" w:lineRule="exact"/>
        <w:rPr>
          <w:sz w:val="20"/>
          <w:szCs w:val="20"/>
          <w:color w:val="auto"/>
        </w:rPr>
      </w:pPr>
    </w:p>
    <w:p>
      <w:pPr>
        <w:ind w:left="340" w:hanging="332"/>
        <w:spacing w:after="0" w:line="287" w:lineRule="auto"/>
        <w:tabs>
          <w:tab w:leader="none" w:pos="3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Legal Fees. </w:t>
      </w:r>
      <w:r>
        <w:rPr>
          <w:rFonts w:ascii="Times New Roman" w:cs="Times New Roman" w:eastAsia="Times New Roman" w:hAnsi="Times New Roman"/>
          <w:sz w:val="20"/>
          <w:szCs w:val="20"/>
          <w:color w:val="auto"/>
        </w:rPr>
        <w:t>Each party shall pay its own legal fees and other expenses associated with any dispute under the Confidentiality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Exhibit hereto.</w:t>
      </w:r>
    </w:p>
    <w:p>
      <w:pPr>
        <w:spacing w:after="0" w:line="151"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3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Tender Back Provision. </w:t>
      </w:r>
      <w:r>
        <w:rPr>
          <w:rFonts w:ascii="Times New Roman" w:cs="Times New Roman" w:eastAsia="Times New Roman" w:hAnsi="Times New Roman"/>
          <w:sz w:val="20"/>
          <w:szCs w:val="20"/>
          <w:color w:val="auto"/>
        </w:rPr>
        <w:t>If, in the context of a lawsuit involving Grantee or any other person or entity arguing on Grantee’s behalf,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court determines that any provisions of Section 2 are void, invalid, illegal, or otherwise unenforceable, Grantee shall be required to immediately return to the Company 70% of all monies paid out under the Performance Unit Award Agreement, or to return 70% of any unsold shares Grantee still owns of such Performance Units awarded under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73"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2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Tolling Period. </w:t>
      </w:r>
      <w:r>
        <w:rPr>
          <w:rFonts w:ascii="Times New Roman" w:cs="Times New Roman" w:eastAsia="Times New Roman" w:hAnsi="Times New Roman"/>
          <w:sz w:val="20"/>
          <w:szCs w:val="20"/>
          <w:color w:val="auto"/>
        </w:rPr>
        <w:t>If Grantee is found by a court to have violated any restriction in Section 2 of the Confidentiality Provisions, he/she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time period for such restriction shall be extended by one day for each day that he/she is found to have violated the restriction, up to a maximum of 18 months.</w:t>
      </w:r>
    </w:p>
    <w:p>
      <w:pPr>
        <w:spacing w:after="0" w:line="175" w:lineRule="exact"/>
        <w:rPr>
          <w:rFonts w:ascii="Times New Roman" w:cs="Times New Roman" w:eastAsia="Times New Roman" w:hAnsi="Times New Roman"/>
          <w:sz w:val="20"/>
          <w:szCs w:val="20"/>
          <w:color w:val="auto"/>
        </w:rPr>
      </w:pPr>
    </w:p>
    <w:p>
      <w:pPr>
        <w:ind w:left="340" w:hanging="332"/>
        <w:spacing w:after="0" w:line="287" w:lineRule="auto"/>
        <w:tabs>
          <w:tab w:leader="none" w:pos="33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The parties acknowledge that they have requested and are satisfied that the Confidentiality Provisions and all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1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OUTSIDE THE U.S.</w:t>
      </w:r>
    </w:p>
    <w:p>
      <w:pPr>
        <w:spacing w:after="0" w:line="1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080"/>
          </w:cols>
          <w:pgMar w:left="480" w:top="11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IN THE U.S.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Appendix includes additional state-specific terms and conditions that apply to Grantees in states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 ALL GRANTEES IN THE US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 respect to Grantees who are not supervisors for the purposes of the National Labor Relations Act, nothing contained in the Confidentiality Provisions, in any way, restricts or impedes Grantee from exercising Grantee’s rights under Section 7 of the National Labor Relations Act (such protected rights include assisting coworkers or former coworkers with workplace issues concerning their employer, communicating with others including a union and the NLRB, about their employment, or discussing the terms and conditions of employment, including, but not limited to, wages or salary, benefits, severance, the terms of this Agreement, job responsibilities and vacation, with coworkers or union representatives).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Nothing in this Agreement limits any Grantee from testifying truthfully in any legal proceeding, including, but not limited to responding to any inquiries made by the EEOC or any government agency; from discussing or disclosing information about unlawful acts in the workplace, such as harassment or discrimination or any other conduct that Grantee has reason to believe is unlawful; or from disclosing factual information related to an administrative claim or civil action concerning sexual assault, sexual harassment, workplace harassment or discrimination, failure to prevent an act of workplace harassment or discrimination, or an act of retaliation against a person for reporting or opposing harassment or discrimination. Grantee may respond accurately and fully to any question or request for information when required to do so by law.</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Further, nothing in this Agreement limits any Grantee’s rights to: (i) file a charge (including a challenge to the validity of this Agreement) with, communicate with, or participate in an investigation or proceeding conducted by the U.S. Equal Employment Opportunity Commission (“EEOC”), the National Labor Relations Board (“NLRB”), or any other similar federal, state, or local government office, official, or agency;</w:t>
      </w:r>
    </w:p>
    <w:p>
      <w:pPr>
        <w:jc w:val="both"/>
        <w:ind w:firstLine="8"/>
        <w:spacing w:after="0" w:line="251" w:lineRule="auto"/>
        <w:tabs>
          <w:tab w:leader="none" w:pos="30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testify in an administrative, legislative, or judicial proceeding concerning alleged criminal conduct or alleged sexual harassment on the part of any other party, or on the part of the agents or employees of another party, when the person testifying has been required or requested to attend the proceeding pursuant to a court order, subpoena, or written request from an administrative agency or legislature; or (iii) provide information to the U.S. Securities and Exchange Commission, EEOC, or any other regulatory or enforcement agency or collect rewards under a whistleblower program.</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Further, to the extent that any Grantee does not meet the compensation threshold required for a post-termination covenant to be enforceable under applicable state law,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to the extent required by applicable state law, Section 2(E)(Non-Competition), Section 2(F)(Non-Solicitation of Customers), Section 2(G) Non-Solicitation of Employees and Agents, or Section 2(H)(Non-Solicitation of Sales Agents) of the Confidentiality Provisions shall not apply to any such Grantee.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 is advised to consult with an attorney of Grantee’s own choosing and at Grantee’s own cost before signing this Agreement.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Section 2(E)(Non-Competition) and Section 2(F)(Non-Solicitation of Customers) of the Confidentiality Provisions are deleted. However, any conduct relating to the solicitation of Company’s customers or employees that involves the misappropriation of the Company’s trade secret information, such as its protected customer information, will remain prohibited conduct at all times.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 twelve</w:t>
      </w:r>
    </w:p>
    <w:p>
      <w:pPr>
        <w:spacing w:after="0" w:line="32" w:lineRule="exact"/>
        <w:rPr>
          <w:sz w:val="20"/>
          <w:szCs w:val="20"/>
          <w:color w:val="auto"/>
        </w:rPr>
      </w:pPr>
    </w:p>
    <w:p>
      <w:pPr>
        <w:jc w:val="both"/>
        <w:ind w:firstLine="8"/>
        <w:spacing w:after="0" w:line="253" w:lineRule="auto"/>
        <w:tabs>
          <w:tab w:leader="none" w:pos="38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2(H) of the Confidentiality Provisions:</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Non-Solicitation of Sales Agents.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a period of twelve (12) months after the Date of Termination, Grantee has not and will not,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Grantee: (i) is not an officer, executive or management employee, or an employee who constitutes professional staff to executive and management personnel or (ii) does not meet the “highly compensated worker” threshold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Section 2(E)(Non-Competition) shall not apply. The highly compensated worker threshold is $127,091 for 2025 and is adjusted annually for inflation.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Grantee: (i) is not an officer, executive or management employee, or an employee who constitutes professional staff to executive and management personnel or (ii) does not meet 60% of the “highly compensated worker” (“Non-Solicitation Compensation Threshold”) threshold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Section 2(F)(Non-Solicitation of Customers), Section 2(G) Non-Solicitation of Employees and Agents, and Section 2(H)(Non-Solicitation of Sales Agents) of the Confidentiality Provisions shall not apply. For 2025, the Non-Solicitation Compensation Threshold is $76,254.60. If Grantee: (i) is an officer, executive or management employee, or an employee who constitutes professional staff to executive and management personnel and (ii) meets the Non-Solicitation Compensation Threshold, both at the time the Agreement is entered into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at the time of enforcement then: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Grantee acknowledges and agrees that during his/her employment, and for twelve (12) months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21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Grantee stipulates that the obligations in Section 2(E)(Non-Competition), Section 2(F)(Non-Solicitation of Customers), Section 2(G) Non-Solicitation of Employees and Agents, and Section 2(H)(Non-Solicitation of Sales Agents) of the Confidentiality Provisions are reasonable and necessary for the protection of trade secrets within the meaning § 8-2-113(2)(b) (the “Colorado Noncompete Act”) and that the Company has provided the Grantee separate notice of this Agreement at least 14 days before the effective date of this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Nothing in the Agreement prohibits disclosure of information that arises from the Grantee’s general training, knowledge, skill, or experience, whether gained on the job or otherwise, information that is readily ascertainable to the public, or information that employee otherwise has a right to disclose as legally protected conduct.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LOUISIANA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1(G) of the Confidentiality Provisions:</w:t>
      </w:r>
    </w:p>
    <w:p>
      <w:pPr>
        <w:spacing w:after="0" w:line="22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parishes (and equivalents) in the following list so long as the Company continues to carry on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therein: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if Louisiana law requires counties (or their equivalents) in my Restricted Territory located outside of Louisiana to also be specified by name, Grantee acknowledges that the names at issue are the remaining counties in the United States listed by the U. S. Census Bureau found at </w:t>
      </w:r>
      <w:r>
        <w:rPr>
          <w:rFonts w:ascii="Times New Roman" w:cs="Times New Roman" w:eastAsia="Times New Roman" w:hAnsi="Times New Roman"/>
          <w:sz w:val="20"/>
          <w:szCs w:val="20"/>
          <w:u w:val="single" w:color="auto"/>
          <w:color w:val="0000FF"/>
        </w:rPr>
        <w:t>https://en.wikipedia.org/wiki/List_of_counties_by_U.S._state_and_territory#Louisiana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list is incorporated here by reference).</w:t>
      </w:r>
    </w:p>
    <w:p>
      <w:pPr>
        <w:spacing w:after="0" w:line="191"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Accordingly, Grantee agrees that the foregoing provides Grantee with adequate notice of the geographic scope of the restrictions contained in the Agreement by name of specific parishes (and equivalents), municipalities, and/or their parts.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MASSACHUSETTS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Grantee acknowledges and agrees that: (a) Section 2(E)(Non-Competition) will not apply if Grantee’s employment is terminated without Cause (as defined above) or if Grantee is terminated as part of a reduction in force; (b) Grantee received a copy of this Agreement prior to receiving a formal offer of employment from the Company or at least ten (10) business days before commencement of his or her employment, whichever came first; and if Grantee was already employed by the Company at the time of signing this Agreement, Grantee confirms that he or she was provided a copy of this Agreement at least ten (10) business days before it takes effect, (c) Grantee has been advised that he or she has a right to consult with an attorney about this Agreement and have been given an opportunity to do so; and (d) if Grantee breaches Section 2(E)(Non-Competition) of this Agreement, and also breaches his or her fiduciary duty to the Company and/or has unlawfully taken, physically or electronically, any Company Records, then the applicable time period in Section 2(E) shall be extended to 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14" w:right="339" w:bottom="1440" w:gutter="0" w:footer="0" w:header="0"/>
        </w:sectPr>
      </w:pPr>
    </w:p>
    <w:bookmarkStart w:id="59" w:name="page60"/>
    <w:bookmarkEnd w:id="59"/>
    <w:p>
      <w:pPr>
        <w:ind w:left="10140"/>
        <w:spacing w:after="0"/>
        <w:rPr>
          <w:sz w:val="20"/>
          <w:szCs w:val="20"/>
          <w:color w:val="auto"/>
        </w:rPr>
      </w:pPr>
      <w:r>
        <w:rPr>
          <w:rFonts w:ascii="Times New Roman" w:cs="Times New Roman" w:eastAsia="Times New Roman" w:hAnsi="Times New Roman"/>
          <w:sz w:val="19"/>
          <w:szCs w:val="19"/>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period of twelve (12) additional months, i.e., for a total of twenty-four (24) months from the cessation of employment. Grantee also acknowledges and agrees that Grantee has received Performance Units, which Grantee agrees to be fair and reasonable consideration in exchange for the post-employment non-competition covenant.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Grantee further acknowledges and agrees that all civil actions relating to Section 2(E)(Non-Competition), Section 2(F)(Non-Solicitation of Customers), Section 2(G) Non-Solicitation of Employees and Agents, and Section 2(H)(Non-Solicitation of Sales Agents) of the Confidentiality Provisions shall be brought in Suffolk County, Massachusetts. Grantee further agree that the parties consent to the use of electronic signatures to sign and acknowledge acceptance of the terms of this Agreement, including the provision above. Acuity Inc., hereby enters its electronic signature as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ACUITY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MONTANA &amp; NORTH DAKOTA</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Section 2(E)(Non-Competition), Section 2(F)(Non-Solicitation of Customers), and Section 2(H)(Non-Solicitation of Sales Agents) of the Confidentiality Provisions are deleted.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OKLAHOMA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2(E)(Non-Competition) and Section 2(H)(Non-Solicitation of Sales Agents) of the Confidentiality Provisions are deleted.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(Non-Solicitation of Customers) of the Confidentiality Provisions:</w:t>
      </w:r>
    </w:p>
    <w:p>
      <w:pPr>
        <w:spacing w:after="0" w:line="216" w:lineRule="exact"/>
        <w:rPr>
          <w:sz w:val="20"/>
          <w:szCs w:val="20"/>
          <w:color w:val="auto"/>
        </w:rPr>
      </w:pPr>
    </w:p>
    <w:p>
      <w:pPr>
        <w:jc w:val="both"/>
        <w:ind w:left="660" w:hanging="328"/>
        <w:spacing w:after="0" w:line="258"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 Non-Solicitation of Customers</w:t>
      </w:r>
      <w:r>
        <w:rPr>
          <w:rFonts w:ascii="Times New Roman" w:cs="Times New Roman" w:eastAsia="Times New Roman" w:hAnsi="Times New Roman"/>
          <w:sz w:val="20"/>
          <w:szCs w:val="20"/>
          <w:color w:val="auto"/>
        </w:rPr>
        <w:t xml:space="preserve"> — “Grantee agrees that that during his/her employment, and for twenty-four (24) months after the Date of Termination, the Grantee shall not, on the Grantee’s own behalf or on behalf of any other person or entity (other than the Company), directly solicit the sale of goods, services, or a combination of goods and services from the established customers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OREGON</w:t>
      </w:r>
    </w:p>
    <w:p>
      <w:pPr>
        <w:spacing w:after="0" w:line="220"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If Grantee is being initially hired by the Company, Grantee confirms that he or she has received a written employment offer at least two (2) weeks before the first day of employment in which Grantee was informed that a noncompetition agreement is required as a condition of employment; and if Grantee was already employed by the Company at the time of signing this Agreement, Grantee confirms that he or she was aware in exchange for a bona fide advancement that execution of an agreement with non-compete and non-solicit restrictions was a requirement of employment when accepted the Company’s offer. For purposes of the foregoing test only, “bona fide advancement” means a genuine promotion in rank after initial employment.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Section 2(E)(Non-Competition) shall only apply to Grantee if both of the following conditions apply: (1) Grantee engages in administrative, executive, or professional work as described in ORS 653.020(3); and (2) Grantee’s total annual compensation including commissions, if any, at termination exceeds the salary threshold under ORS 653.295(e), which is $113,241 in 2024 and is adjusted annually for inflation. For purposes of the foregoing test only, “administrative, executive, or professional work” means that Grantee: (1) performs predominantly intellectual, managerial or creative tasks; (2) exercises discretion and independent judgment; and (3) earns a salary paid on a salary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Grantee may contact his or her local human resources representative with any questions regarding his or her rate of earnings.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8"/>
        <w:spacing w:after="0" w:line="269" w:lineRule="auto"/>
        <w:tabs>
          <w:tab w:leader="none" w:pos="31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2(E)(Non-Competition) and Section 2(H)(Non-Solicitation of Sales Agents) of the Confidentiality Provisions will not be enforceable against Grantee unless Grantee’s earnings from Company exceed the threshold established under RCW 49.62.020(b), which is $123,394.17 in Box 1 W-2 annual compensation for 2025, and is adjusted annually for inflation by the Washington State Department of Labor &amp; Industries (“Earnings Threshold”). Grantee further agrees that if, at the time Grantee signs the Agreement, his or her earnings do not meet the Earnings Threshold, Section 2(E)(Non-Competition), and Section 2(H)(Non-Solicitation of Sales Agents) of the Confidentiality Provisions, will automatically become enforceable against Grantee if and when his or her salary meets the Earnings Threshold.</w:t>
      </w:r>
    </w:p>
    <w:p>
      <w:pPr>
        <w:spacing w:after="0" w:line="191" w:lineRule="exact"/>
        <w:rPr>
          <w:rFonts w:ascii="Times New Roman" w:cs="Times New Roman" w:eastAsia="Times New Roman" w:hAnsi="Times New Roman"/>
          <w:sz w:val="19"/>
          <w:szCs w:val="19"/>
          <w:color w:val="auto"/>
        </w:rPr>
      </w:pPr>
    </w:p>
    <w:p>
      <w:pPr>
        <w:jc w:val="both"/>
        <w:ind w:firstLine="8"/>
        <w:spacing w:after="0" w:line="253" w:lineRule="auto"/>
        <w:tabs>
          <w:tab w:leader="none" w:pos="28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further agrees that if Grantee’s employment with the Company is terminated as the result of a layoff, the Company will not enforce Section 2(E)(Non-Competition) and Section 2(H)(Non-Solicitation of Sales Agents) of the Confidentiality Provisions against the Grantee unless, during the period of enforcement, the Company pays the Grantee compensation equivalent to Grantee’s final base pay at the time of the termination of his or her employment, minus the amount of any compensation Grantee earns through employment after the end of his or her employment with the Company, which Grantee agrees to promptly and fully disclose. For purposes of this section, “layoff” means termination of Grantee’s employment by the Company for reasons of the Company’s insolvency or other purely economic factors, and specifically excludes termination of Grantee’s employment for any other reason, either with or without cause.</w:t>
      </w:r>
    </w:p>
    <w:p>
      <w:pPr>
        <w:spacing w:after="0" w:line="219"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21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Grantee acknowledges and agrees that during his/her employment, and for eighteen (18)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to cease or reduce the extent to which it is doing business with the Company</w:t>
      </w:r>
      <w:r>
        <w:rPr>
          <w:rFonts w:ascii="Times New Roman" w:cs="Times New Roman" w:eastAsia="Times New Roman" w:hAnsi="Times New Roman"/>
          <w:sz w:val="20"/>
          <w:szCs w:val="20"/>
          <w:i w:val="1"/>
          <w:i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The following provision replaces Section(G) of the Confidentiality Provisions:</w:t>
      </w:r>
    </w:p>
    <w:p>
      <w:pPr>
        <w:spacing w:after="0" w:line="225"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eighteen (18) months after the Date of Termination, Grantee has not and will not, directly or indirectly, whether on behalf of Grantee or others, solicit, lure or attempt to solicit or lure any of the Company’s employees or agents to leave the Company.</w:t>
      </w:r>
    </w:p>
    <w:p>
      <w:pPr>
        <w:spacing w:after="0" w:line="166" w:lineRule="exact"/>
        <w:rPr>
          <w:sz w:val="20"/>
          <w:szCs w:val="20"/>
          <w:color w:val="auto"/>
        </w:rPr>
      </w:pPr>
    </w:p>
    <w:p>
      <w:pPr>
        <w:jc w:val="both"/>
        <w:ind w:firstLine="8"/>
        <w:spacing w:after="0" w:line="257" w:lineRule="auto"/>
        <w:tabs>
          <w:tab w:leader="none" w:pos="30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and agrees if he or she is a newly hired employee, Grantee was given advance notice of Section 2(E)(Non-Competition) and Section 2(H)(Non-Solicitation of Sales Agents) of the Confidentiality Provisions in writing prior to accepting the Company’s offer of employment. If this Agreement is entered into after the commencement of Grantee’s employment with the Company, Grantee confirms that he / she has received Performance Units, which Grantee agrees to be independent consideration that involves new promises or obligations previously not required of the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employer operating in the District of Columbia may request or require any employee working in the District of Columbia to agree to a non-compete policy or agreement, in accordance with the Ban on Non-Compete Agreements Amendment Act of 2020, as amended (“Act”), unless Grantee’s compensation (including wages, bonus, commissions, vested stock and any other payments in connection with employment) is reasonably expected to equal or exceed in a consecutive twelve (12) month period, or does equal or exceed in the consecutive twelve (12) month period preceding Grantee’s Date of Termination, the threshold for a “highly compensated employee” under the Act, which is $154,200 for 2024 and is adjusted annually for inflation. As such, for all other Grantees who primarily reside and work for the Company in Washington D.C., then Section 2(E)(Non-Competition), Section 2(F)(Non-Solicitation of Customers), and Section 2(H)(Non-Solicitation of Sales Agents) of the Confidentiality Provisions are deleted and do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14" w:right="339" w:bottom="1440" w:gutter="0" w:footer="0" w:header="0"/>
        </w:sectPr>
      </w:pPr>
    </w:p>
    <w:bookmarkStart w:id="61" w:name="page62"/>
    <w:bookmarkEnd w:id="61"/>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ACUITY INC. (previously known as Acuity Brands,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Amended and Restated 2012 Omnibus Stock Incentive Compensation Plan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Global Performance Unit Notification and Award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(rTSR Performance Award)</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000" w:type="dxa"/>
            <w:vAlign w:val="bottom"/>
            <w:tcBorders>
              <w:top w:val="single" w:sz="8" w:color="auto"/>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Grantee:</w:t>
            </w:r>
          </w:p>
        </w:tc>
        <w:tc>
          <w:tcPr>
            <w:tcW w:w="826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/$ParticipantName$/</w:t>
            </w:r>
          </w:p>
        </w:tc>
      </w:tr>
      <w:tr>
        <w:trPr>
          <w:trHeight w:val="230"/>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 Type:</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/$GrantType$/</w:t>
            </w:r>
          </w:p>
        </w:tc>
      </w:tr>
      <w:tr>
        <w:trPr>
          <w:trHeight w:val="243"/>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 ID:</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/$GrantID$/</w:t>
            </w:r>
          </w:p>
        </w:tc>
      </w:tr>
      <w:tr>
        <w:trPr>
          <w:trHeight w:val="243"/>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Grant Date:</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/$GrantDate$/</w:t>
            </w:r>
          </w:p>
        </w:tc>
      </w:tr>
      <w:tr>
        <w:trPr>
          <w:trHeight w:val="229"/>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Target Award Amount:</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/$AwardsGranted$/</w:t>
            </w:r>
          </w:p>
        </w:tc>
      </w:tr>
      <w:tr>
        <w:trPr>
          <w:trHeight w:val="243"/>
        </w:trPr>
        <w:tc>
          <w:tcPr>
            <w:tcW w:w="3000" w:type="dxa"/>
            <w:vAlign w:val="bottom"/>
            <w:tcBorders>
              <w:left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Maximum Award Amount:</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Up to 200% of the Target Award Amount</w:t>
            </w:r>
          </w:p>
        </w:tc>
      </w:tr>
      <w:tr>
        <w:trPr>
          <w:trHeight w:val="229"/>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Performance Period</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Three-Year Period Comprised of Fiscal Years 2025, 2026 and 2027</w:t>
            </w:r>
          </w:p>
        </w:tc>
      </w:tr>
      <w:tr>
        <w:trPr>
          <w:trHeight w:val="243"/>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Service Period:</w:t>
            </w:r>
          </w:p>
        </w:tc>
        <w:tc>
          <w:tcPr>
            <w:tcW w:w="82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Three-Year Cliff Vest on October 24, 2027</w:t>
            </w:r>
          </w:p>
        </w:tc>
      </w:tr>
      <w:tr>
        <w:trPr>
          <w:trHeight w:val="212"/>
        </w:trPr>
        <w:tc>
          <w:tcPr>
            <w:tcW w:w="3000" w:type="dxa"/>
            <w:vAlign w:val="bottom"/>
            <w:tcBorders>
              <w:left w:val="single" w:sz="8" w:color="auto"/>
            </w:tcBorders>
          </w:tcPr>
          <w:p>
            <w:pPr>
              <w:jc w:val="right"/>
              <w:ind w:right="101"/>
              <w:spacing w:after="0" w:line="212" w:lineRule="exact"/>
              <w:rPr>
                <w:sz w:val="20"/>
                <w:szCs w:val="20"/>
                <w:color w:val="auto"/>
              </w:rPr>
            </w:pPr>
            <w:r>
              <w:rPr>
                <w:rFonts w:ascii="Times New Roman" w:cs="Times New Roman" w:eastAsia="Times New Roman" w:hAnsi="Times New Roman"/>
                <w:sz w:val="20"/>
                <w:szCs w:val="20"/>
                <w:color w:val="auto"/>
              </w:rPr>
              <w:t>Grantee Level:</w:t>
            </w:r>
          </w:p>
        </w:tc>
        <w:tc>
          <w:tcPr>
            <w:tcW w:w="8260" w:type="dxa"/>
            <w:vAlign w:val="bottom"/>
            <w:tcBorders>
              <w:right w:val="single" w:sz="8" w:color="auto"/>
            </w:tcBorders>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/$UserCode2$/ for Stock Ownership Guidelines (Exhibit A)</w:t>
            </w:r>
          </w:p>
        </w:tc>
      </w:tr>
      <w:tr>
        <w:trPr>
          <w:trHeight w:val="269"/>
        </w:trPr>
        <w:tc>
          <w:tcPr>
            <w:tcW w:w="3000" w:type="dxa"/>
            <w:vAlign w:val="bottom"/>
            <w:tcBorders>
              <w:left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Accept by Date:</w:t>
            </w:r>
          </w:p>
        </w:tc>
        <w:tc>
          <w:tcPr>
            <w:tcW w:w="4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/$AcceptByDate$/</w:t>
            </w:r>
          </w:p>
        </w:tc>
        <w:tc>
          <w:tcPr>
            <w:tcW w:w="780" w:type="dxa"/>
            <w:vAlign w:val="bottom"/>
            <w:tcBorders>
              <w:top w:val="single" w:sz="8" w:color="auto"/>
            </w:tcBorders>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r>
      <w:tr>
        <w:trPr>
          <w:trHeight w:val="21"/>
        </w:trPr>
        <w:tc>
          <w:tcPr>
            <w:tcW w:w="3000" w:type="dxa"/>
            <w:vAlign w:val="bottom"/>
            <w:tcBorders>
              <w:left w:val="single" w:sz="8" w:color="auto"/>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both"/>
        <w:ind w:right="20" w:firstLine="427"/>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Acuity Inc. (the “Company”) maintains the Amended and Restated Acuity, Inc. 2012 Omnibus Stock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Plan (the “Plan”) under which the Compensation Committee of the Company’s Board of Directors (the “Committee”) has authority to grant Performance Units; and</w:t>
      </w:r>
    </w:p>
    <w:p>
      <w:pPr>
        <w:spacing w:after="0" w:line="175" w:lineRule="exact"/>
        <w:rPr>
          <w:sz w:val="20"/>
          <w:szCs w:val="20"/>
          <w:color w:val="auto"/>
        </w:rPr>
      </w:pPr>
    </w:p>
    <w:p>
      <w:pPr>
        <w:jc w:val="both"/>
        <w:ind w:right="20" w:firstLine="23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has determined that it is in the best interest of the Company and its stockholders to grant this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 Award to the Grantee identified above, subject to the terms and conditions set forth in the Plan and this Global Performance Unit Notification and Award Agreement, together with its exhibits (the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hereinafter set forth, the parties agree as follows:</w:t>
      </w:r>
    </w:p>
    <w:p>
      <w:pPr>
        <w:spacing w:after="0" w:line="229" w:lineRule="exact"/>
        <w:rPr>
          <w:sz w:val="20"/>
          <w:szCs w:val="20"/>
          <w:color w:val="auto"/>
        </w:rPr>
      </w:pPr>
    </w:p>
    <w:p>
      <w:pPr>
        <w:jc w:val="both"/>
        <w:ind w:right="20" w:firstLine="656"/>
        <w:spacing w:after="0" w:line="254" w:lineRule="auto"/>
        <w:tabs>
          <w:tab w:leader="none" w:pos="1296"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Incorporation of the Plan</w:t>
      </w:r>
      <w:r>
        <w:rPr>
          <w:rFonts w:ascii="Times New Roman" w:cs="Times New Roman" w:eastAsia="Times New Roman" w:hAnsi="Times New Roman"/>
          <w:sz w:val="20"/>
          <w:szCs w:val="20"/>
          <w:color w:val="auto"/>
        </w:rPr>
        <w:t>. The provisions of the Plan are hereby incorporated by reference. Except as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86" w:lineRule="exact"/>
        <w:rPr>
          <w:rFonts w:ascii="Times New Roman" w:cs="Times New Roman" w:eastAsia="Times New Roman" w:hAnsi="Times New Roman"/>
          <w:sz w:val="20"/>
          <w:szCs w:val="20"/>
          <w:b w:val="1"/>
          <w:bCs w:val="1"/>
          <w:color w:val="auto"/>
        </w:rPr>
      </w:pPr>
    </w:p>
    <w:p>
      <w:pPr>
        <w:jc w:val="both"/>
        <w:ind w:right="20" w:firstLine="656"/>
        <w:spacing w:after="0" w:line="254" w:lineRule="auto"/>
        <w:tabs>
          <w:tab w:leader="none" w:pos="1296"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Performance Unit Award</w:t>
      </w:r>
      <w:r>
        <w:rPr>
          <w:rFonts w:ascii="Times New Roman" w:cs="Times New Roman" w:eastAsia="Times New Roman" w:hAnsi="Times New Roman"/>
          <w:sz w:val="20"/>
          <w:szCs w:val="20"/>
          <w:color w:val="auto"/>
        </w:rPr>
        <w:t>. The Committee, on behalf of the Company, hereby grants to Grantee, effective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Grant Date, Performance Units equal to the Target Award Amount set forth above, on the terms and conditions set forth in this Agreement, including the specific vesting requirements set forth above and the performance goal requirements (the “Performance Goals”)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as otherwise provided in the Plan. The actual number of Performance Units earned pursuant to the Award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0"/>
          </w:cols>
          <w:pgMar w:left="320" w:top="114"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be determined based on the achievement of the Performance Goals during the Performance Period, as further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656"/>
        <w:spacing w:after="0" w:line="260" w:lineRule="auto"/>
        <w:tabs>
          <w:tab w:leader="none" w:pos="1296"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Acceptance of Performance Unit Award</w:t>
      </w:r>
      <w:r>
        <w:rPr>
          <w:rFonts w:ascii="Times New Roman" w:cs="Times New Roman" w:eastAsia="Times New Roman" w:hAnsi="Times New Roman"/>
          <w:sz w:val="20"/>
          <w:szCs w:val="20"/>
          <w:color w:val="auto"/>
        </w:rPr>
        <w:t>. This award of Performance Units is conditioned upon Grantee’s acceptance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pacing w:after="0" w:line="177"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96"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Goals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sets forth the Performance Goals that must be satisfied in order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Units to be eligible to vest, subject to Grantee’s satisfaction of the Service Period, except as otherwise set forth in Section 5. The Committee shall certify the extent to which the Performance Goals have been achieved with such certification occurring as soon as practicable following the end of the Performance Period and in any event no later than ninety (90) days following the end of such Performance Period (such certification occurring on the “Certification Date”). Except as set forth in Section 5, any Performance Units for which the Performance Goals have not been achieved shall be automatically forfeited, terminated and cancelled effective as of the applicable Certification Date, without the payment of any consideration by the Company, and Grantee, or Grantee’s beneficiary or personal representative, as the case may be, shall have no further rights with respect to such forfeited Performance Units under the Agreement.</w:t>
      </w:r>
    </w:p>
    <w:p>
      <w:pPr>
        <w:spacing w:after="0" w:line="18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Performance Unit Award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980"/>
        <w:spacing w:after="0" w:line="258" w:lineRule="auto"/>
        <w:tabs>
          <w:tab w:leader="none" w:pos="128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185" w:lineRule="exact"/>
        <w:rPr>
          <w:rFonts w:ascii="Times New Roman" w:cs="Times New Roman" w:eastAsia="Times New Roman" w:hAnsi="Times New Roman"/>
          <w:sz w:val="20"/>
          <w:szCs w:val="20"/>
          <w:color w:val="auto"/>
        </w:rPr>
      </w:pPr>
    </w:p>
    <w:p>
      <w:pPr>
        <w:jc w:val="both"/>
        <w:ind w:firstLine="980"/>
        <w:spacing w:after="0" w:line="269" w:lineRule="auto"/>
        <w:tabs>
          <w:tab w:leader="none" w:pos="1285"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Acceleration Upon Termination due to Death or Disability</w:t>
      </w:r>
      <w:r>
        <w:rPr>
          <w:rFonts w:ascii="Times New Roman" w:cs="Times New Roman" w:eastAsia="Times New Roman" w:hAnsi="Times New Roman"/>
          <w:sz w:val="19"/>
          <w:szCs w:val="19"/>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64" w:lineRule="exact"/>
        <w:rPr>
          <w:rFonts w:ascii="Times New Roman" w:cs="Times New Roman" w:eastAsia="Times New Roman" w:hAnsi="Times New Roman"/>
          <w:sz w:val="19"/>
          <w:szCs w:val="19"/>
          <w:color w:val="auto"/>
        </w:rPr>
      </w:pPr>
    </w:p>
    <w:p>
      <w:pPr>
        <w:jc w:val="both"/>
        <w:ind w:firstLine="980"/>
        <w:spacing w:after="0" w:line="250" w:lineRule="auto"/>
        <w:tabs>
          <w:tab w:leader="none" w:pos="128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Following Termination with Tenure</w:t>
      </w:r>
      <w:r>
        <w:rPr>
          <w:rFonts w:ascii="Times New Roman" w:cs="Times New Roman" w:eastAsia="Times New Roman" w:hAnsi="Times New Roman"/>
          <w:sz w:val="20"/>
          <w:szCs w:val="20"/>
          <w:color w:val="auto"/>
        </w:rPr>
        <w:t xml:space="preserve">. Notwithstanding Section 5(a) above, if Grantee’s employment terminates for a reason other than Cause on or after the date on which the number of completed years of Grantee’s continuous service to the Company or a Subsidiary or Affiliate is at least five (5) (“Tenure”), the Performance Units will remain outstanding and will remain available to vest on a pro rata basis (as described below) at the end of the Service Period set forth above and subject to the terms set forth in this Agreement, including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as though Grantee had remained employed,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(as determined by the Committee). The pro-rata portion of the Performance Units that will remain outstanding and available to vest following Grantee’s termination with Tenure will be calculated based on the ratio of (x) each full year worked by Grantee from the Grant Date to Grantee’s Date of Termination (as defined below), to (y) the total number of years in the Service Period. The Company, in its sole discretion, will determine whether Grantee has completed five (5) years of continuous service, including the effect of any break-in-service.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80"/>
        <w:spacing w:after="0" w:line="250" w:lineRule="auto"/>
        <w:tabs>
          <w:tab w:leader="none" w:pos="128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 for Any Other Reason</w:t>
      </w:r>
      <w:r>
        <w:rPr>
          <w:rFonts w:ascii="Times New Roman" w:cs="Times New Roman" w:eastAsia="Times New Roman" w:hAnsi="Times New Roman"/>
          <w:sz w:val="20"/>
          <w:szCs w:val="20"/>
          <w:color w:val="auto"/>
        </w:rPr>
        <w:t>. Except for death, Termination due to Disability or Termination with Tenure, as provided in Sections 5(b) and (c) above, or except as otherwise provided in a duly approved severance agreement with Grantee, if Grantee terminates his or her employment or if the Company or if different, the Subsidiary or Affiliate employing Grantee (the “Employer”) terminates Grantee’s employment prior to the Vesting Date (even in the case of unfair dismissal and whether or not later to be found invalid or in breach of applicable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Company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193" w:lineRule="exact"/>
        <w:rPr>
          <w:rFonts w:ascii="Times New Roman" w:cs="Times New Roman" w:eastAsia="Times New Roman" w:hAnsi="Times New Roman"/>
          <w:sz w:val="20"/>
          <w:szCs w:val="20"/>
          <w:color w:val="auto"/>
        </w:rPr>
      </w:pPr>
    </w:p>
    <w:p>
      <w:pPr>
        <w:jc w:val="both"/>
        <w:ind w:firstLine="980"/>
        <w:spacing w:after="0" w:line="253" w:lineRule="auto"/>
        <w:tabs>
          <w:tab w:leader="none" w:pos="12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 Upon a Change in Control</w:t>
      </w:r>
      <w:r>
        <w:rPr>
          <w:rFonts w:ascii="Times New Roman" w:cs="Times New Roman" w:eastAsia="Times New Roman" w:hAnsi="Times New Roman"/>
          <w:sz w:val="20"/>
          <w:szCs w:val="20"/>
          <w:color w:val="auto"/>
        </w:rPr>
        <w:t>. Notwithstanding the other provisions of this Agreement, in the event of a Change in Control prior to the Vesting Date, all Performance Units shall become fully vested and non-forfeitable as of the date of the Change in Control in an amount equal to the Target Award Amount; provided, however, that if the Change in Control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87"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During the period that Grantee holds Performance Units granted pursuant to this Agreement, on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that the Company pays a cash dividend to holders of its Common Stock, the Company shall credit to a non-interest bearing account on its books for Grantee an unvested amount equal to the United States (“U.S.”) Dollar amount paid per share of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9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Issuance of Shares upon Vesting</w:t>
      </w:r>
      <w:r>
        <w:rPr>
          <w:rFonts w:ascii="Times New Roman" w:cs="Times New Roman" w:eastAsia="Times New Roman" w:hAnsi="Times New Roman"/>
          <w:sz w:val="20"/>
          <w:szCs w:val="20"/>
          <w:color w:val="auto"/>
        </w:rPr>
        <w:t>. No Shares shall be issued to Grantee prior to the date that the Performance Units vest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this Agreement. As soon as practical and in any event within sixty (60) days after the date that the Performance Units vest pursuant to Section 5 (or within such longer period as may be permitted under Section 409A upon Grantee’s death), and subject to the Company’s Incentive-Based Compensation Recoupment Policy (described in Section 11 below) and the applicable terms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and any Dividend Equivalents shall be paid in accordance with Section 14.2 of the Plan, and (b) to the extent that (i) the Performance Units constitute “nonqualified deferred compensation” subject to Section 409A, (ii) Grantee is subject to U.S. federal taxation and (iii) the aforementioned sixty (60) day period spans two calendar years, the Performance Units and any Dividend Equivalents will be paid in the second of such calendar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56"/>
        <w:spacing w:after="0" w:line="263" w:lineRule="auto"/>
        <w:tabs>
          <w:tab w:leader="none" w:pos="1296"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 Restrictions</w:t>
      </w:r>
      <w:r>
        <w:rPr>
          <w:rFonts w:ascii="Times New Roman" w:cs="Times New Roman" w:eastAsia="Times New Roman" w:hAnsi="Times New Roman"/>
          <w:sz w:val="20"/>
          <w:szCs w:val="20"/>
          <w:color w:val="auto"/>
        </w:rPr>
        <w:t>. The Performance Units may not be sold, assigned, transferred, pledged, or otherwise encumbered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manner other than by will or the laws of descent and distribution, unless and until the shares of Common Stock underlying the vested Performance Units have been issued.</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5" w:lineRule="auto"/>
        <w:tabs>
          <w:tab w:leader="none" w:pos="1296"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Rights</w:t>
      </w:r>
      <w:r>
        <w:rPr>
          <w:rFonts w:ascii="Times New Roman" w:cs="Times New Roman" w:eastAsia="Times New Roman" w:hAnsi="Times New Roman"/>
          <w:sz w:val="20"/>
          <w:szCs w:val="20"/>
          <w:color w:val="auto"/>
        </w:rPr>
        <w:t>. The Performance Units granted pursuant to this Agreement do not and shall not entitle Grantee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of a stockholder of the Company’s Common Stock. Grantee’s rights with respect to the Performance Units shall remain forfeitable at all times prior to the Vesting Date (or, if later, the Certification Date) or such other date on which the Performance Units vest pursuant to Section 5.</w:t>
      </w:r>
    </w:p>
    <w:p>
      <w:pPr>
        <w:spacing w:after="0" w:line="183"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Upon Specified Events</w:t>
      </w:r>
      <w:r>
        <w:rPr>
          <w:rFonts w:ascii="Times New Roman" w:cs="Times New Roman" w:eastAsia="Times New Roman" w:hAnsi="Times New Roman"/>
          <w:sz w:val="20"/>
          <w:szCs w:val="20"/>
          <w:color w:val="auto"/>
        </w:rPr>
        <w:t>. In the event of a Share Change (as defined in the Plan), the number and class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76"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r>
        <w:rPr>
          <w:rFonts w:ascii="Times New Roman" w:cs="Times New Roman" w:eastAsia="Times New Roman" w:hAnsi="Times New Roman"/>
          <w:sz w:val="20"/>
          <w:szCs w:val="20"/>
          <w:color w:val="auto"/>
        </w:rPr>
        <w:t>. All Awards of Performance Units, whether unvested or vested, and any Shares issued or Dividend Equivalents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on vesting of the Performance Units, shall be subject to the Company’s Incentive-Based Compensation Recoupment Policy, as it may be amended from time to time (the “Recoupment Policy”), such that any Award that was made to a Grantee who is subject to the Recoupment Policy, and any Shares or Dividend Equivalents acquired pursuant to such Award, shall be subject to deduction, clawback or forfeiture, as provided under the Recoupment Policy. Further, the Performance Units, whether unvested or vested, and any Shares issued or Dividend Equivalents paid on vesting of the Performance Units, shall be subject to deduction, clawback or forfeiture to the extent required to comply with any recoupment requirement imposed under applicable laws, rules, regulations or stock exchange listing standards. In order to satisfy any recoupment obligation arising under the Recoupment Policy or otherwise under applicable laws, rules, regulations or stock exchange listing standards, among other things, Grantee expressly and explicitly authorizes the Company to issue instructions, on Grantee’s behalf, to any brokerage firm or stock plan service provider engaged by the Company to hold any Shares, Dividend Equivalents or other amounts acquired pursuant to the Performance Units to re-convey, transfer or otherwise return such Shares, Dividend Equivalents and/or other amounts to the Company upon the Company’s enforcement of the Recoupment Policy. To the extent that this Agreement and the Recoupment Policy conflict, the terms of the Recoupment Policy shall prevail.</w:t>
      </w:r>
    </w:p>
    <w:p>
      <w:pPr>
        <w:spacing w:after="0" w:line="180" w:lineRule="exact"/>
        <w:rPr>
          <w:rFonts w:ascii="Times New Roman" w:cs="Times New Roman" w:eastAsia="Times New Roman" w:hAnsi="Times New Roman"/>
          <w:sz w:val="20"/>
          <w:szCs w:val="20"/>
          <w:b w:val="1"/>
          <w:bCs w:val="1"/>
          <w:color w:val="auto"/>
        </w:rPr>
      </w:pPr>
    </w:p>
    <w:p>
      <w:pPr>
        <w:jc w:val="both"/>
        <w:ind w:firstLine="656"/>
        <w:spacing w:after="0" w:line="264" w:lineRule="auto"/>
        <w:tabs>
          <w:tab w:leader="none" w:pos="1287"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Compliance with Section 409A of the Code for U.S. Taxpayers</w:t>
      </w:r>
      <w:r>
        <w:rPr>
          <w:rFonts w:ascii="Times New Roman" w:cs="Times New Roman" w:eastAsia="Times New Roman" w:hAnsi="Times New Roman"/>
          <w:sz w:val="19"/>
          <w:szCs w:val="19"/>
          <w:color w:val="auto"/>
        </w:rPr>
        <w:t>. The parties intend that this Agreement and the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hereunder be exempt from the requirements of Section 409A of the Code (together with any U.S.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Performance Units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Performance Units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Performance Units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56"/>
        <w:spacing w:after="0" w:line="251" w:lineRule="auto"/>
        <w:tabs>
          <w:tab w:leader="none" w:pos="1287"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 and other Legal Compliance</w:t>
      </w:r>
      <w:r>
        <w:rPr>
          <w:rFonts w:ascii="Times New Roman" w:cs="Times New Roman" w:eastAsia="Times New Roman" w:hAnsi="Times New Roman"/>
          <w:sz w:val="20"/>
          <w:szCs w:val="20"/>
          <w:color w:val="auto"/>
        </w:rPr>
        <w:t>. Notwithstanding any other provision of the Plan or this Agreement,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an 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Grantee’s Representation</w:t>
      </w:r>
      <w:r>
        <w:rPr>
          <w:rFonts w:ascii="Times New Roman" w:cs="Times New Roman" w:eastAsia="Times New Roman" w:hAnsi="Times New Roman"/>
          <w:sz w:val="20"/>
          <w:szCs w:val="20"/>
          <w:color w:val="auto"/>
        </w:rPr>
        <w:t>. Grantee represents and warrants that he or she is acquiring the Performance Units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for investment purposes only, and not with a view to distribution thereof.</w:t>
      </w:r>
    </w:p>
    <w:p>
      <w:pPr>
        <w:spacing w:after="0" w:line="151"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 Stock Ownership Guidelines</w:t>
      </w:r>
      <w:r>
        <w:rPr>
          <w:rFonts w:ascii="Times New Roman" w:cs="Times New Roman" w:eastAsia="Times New Roman" w:hAnsi="Times New Roman"/>
          <w:sz w:val="20"/>
          <w:szCs w:val="20"/>
          <w:color w:val="auto"/>
        </w:rPr>
        <w:t>. In exchange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consideration in the form of the Performance Unit award pursuant to this Agreement and other good and valuable consideration, Grantee agrees that he/she shall comply with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Grantee acknowledges its obligations, if and as applicable to Grantee’s position, described in the Company’s Stock Ownership Guidelines in effect from time to time, as summarized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Grant</w:t>
      </w:r>
      <w:r>
        <w:rPr>
          <w:rFonts w:ascii="Times New Roman" w:cs="Times New Roman" w:eastAsia="Times New Roman" w:hAnsi="Times New Roman"/>
          <w:sz w:val="20"/>
          <w:szCs w:val="20"/>
          <w:color w:val="auto"/>
        </w:rPr>
        <w:t>. In accepting the grant, Grantee acknowledges, understands and agrees that:</w:t>
      </w:r>
    </w:p>
    <w:p>
      <w:pPr>
        <w:spacing w:after="0" w:line="219" w:lineRule="exact"/>
        <w:rPr>
          <w:rFonts w:ascii="Times New Roman" w:cs="Times New Roman" w:eastAsia="Times New Roman" w:hAnsi="Times New Roman"/>
          <w:sz w:val="20"/>
          <w:szCs w:val="20"/>
          <w:b w:val="1"/>
          <w:bCs w:val="1"/>
          <w:color w:val="auto"/>
        </w:rPr>
      </w:pPr>
    </w:p>
    <w:p>
      <w:pPr>
        <w:ind w:firstLine="980"/>
        <w:spacing w:after="0" w:line="283" w:lineRule="auto"/>
        <w:tabs>
          <w:tab w:leader="none" w:pos="128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46" w:lineRule="exact"/>
        <w:rPr>
          <w:rFonts w:ascii="Times New Roman" w:cs="Times New Roman" w:eastAsia="Times New Roman" w:hAnsi="Times New Roman"/>
          <w:sz w:val="20"/>
          <w:szCs w:val="20"/>
          <w:color w:val="auto"/>
        </w:rPr>
      </w:pPr>
    </w:p>
    <w:p>
      <w:pPr>
        <w:ind w:right="20" w:firstLine="980"/>
        <w:spacing w:after="0" w:line="283" w:lineRule="auto"/>
        <w:tabs>
          <w:tab w:leader="none" w:pos="128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Performance Units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18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voluntarily participating in the Plan;</w:t>
      </w:r>
    </w:p>
    <w:p>
      <w:pPr>
        <w:spacing w:after="0" w:line="229" w:lineRule="exact"/>
        <w:rPr>
          <w:rFonts w:ascii="Times New Roman" w:cs="Times New Roman" w:eastAsia="Times New Roman" w:hAnsi="Times New Roman"/>
          <w:sz w:val="20"/>
          <w:szCs w:val="20"/>
          <w:color w:val="auto"/>
        </w:rPr>
      </w:pPr>
    </w:p>
    <w:p>
      <w:pPr>
        <w:ind w:right="20" w:firstLine="980"/>
        <w:spacing w:after="0" w:line="269" w:lineRule="auto"/>
        <w:tabs>
          <w:tab w:leader="none" w:pos="129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Units and the Shares subject to the Performance Units, and any related income and value,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980"/>
        <w:spacing w:after="0" w:line="254" w:lineRule="auto"/>
        <w:tabs>
          <w:tab w:leader="none" w:pos="128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00" w:hanging="320"/>
        <w:spacing w:after="0"/>
        <w:tabs>
          <w:tab w:leader="none" w:pos="13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215" w:lineRule="exact"/>
        <w:rPr>
          <w:rFonts w:ascii="Times New Roman" w:cs="Times New Roman" w:eastAsia="Times New Roman" w:hAnsi="Times New Roman"/>
          <w:sz w:val="20"/>
          <w:szCs w:val="20"/>
          <w:color w:val="auto"/>
        </w:rPr>
      </w:pPr>
    </w:p>
    <w:p>
      <w:pPr>
        <w:jc w:val="both"/>
        <w:ind w:firstLine="980"/>
        <w:spacing w:after="0" w:line="257" w:lineRule="auto"/>
        <w:tabs>
          <w:tab w:leader="none" w:pos="129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applicable laws in the jurisdiction where Grantee is employed or the terms of Grantee’s employment agreement, if any) and any forfeiture of Performance Units or recoupment of Shares resulting from the application of the Recoupment Policy or any other forfeiture or recoupment pursuant to Section 11 of this Agreement;</w:t>
      </w:r>
    </w:p>
    <w:p>
      <w:pPr>
        <w:spacing w:after="0" w:line="172" w:lineRule="exact"/>
        <w:rPr>
          <w:rFonts w:ascii="Times New Roman" w:cs="Times New Roman" w:eastAsia="Times New Roman" w:hAnsi="Times New Roman"/>
          <w:sz w:val="20"/>
          <w:szCs w:val="20"/>
          <w:color w:val="auto"/>
        </w:rPr>
      </w:pPr>
    </w:p>
    <w:p>
      <w:pPr>
        <w:jc w:val="both"/>
        <w:ind w:firstLine="980"/>
        <w:spacing w:after="0" w:line="268" w:lineRule="auto"/>
        <w:tabs>
          <w:tab w:leader="none" w:pos="129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16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17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for Taxes</w:t>
      </w:r>
    </w:p>
    <w:p>
      <w:pPr>
        <w:spacing w:after="0" w:line="233" w:lineRule="exact"/>
        <w:rPr>
          <w:rFonts w:ascii="Times New Roman" w:cs="Times New Roman" w:eastAsia="Times New Roman" w:hAnsi="Times New Roman"/>
          <w:sz w:val="20"/>
          <w:szCs w:val="20"/>
          <w:b w:val="1"/>
          <w:bCs w:val="1"/>
          <w:color w:val="auto"/>
        </w:rPr>
      </w:pPr>
    </w:p>
    <w:p>
      <w:pPr>
        <w:jc w:val="both"/>
        <w:ind w:firstLine="980"/>
        <w:spacing w:after="0" w:line="250" w:lineRule="auto"/>
        <w:tabs>
          <w:tab w:leader="none" w:pos="128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are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86" w:lineRule="exact"/>
        <w:rPr>
          <w:rFonts w:ascii="Times New Roman" w:cs="Times New Roman" w:eastAsia="Times New Roman" w:hAnsi="Times New Roman"/>
          <w:sz w:val="20"/>
          <w:szCs w:val="20"/>
          <w:color w:val="auto"/>
        </w:rPr>
      </w:pPr>
    </w:p>
    <w:p>
      <w:pPr>
        <w:jc w:val="both"/>
        <w:ind w:firstLine="980"/>
        <w:spacing w:after="0" w:line="258" w:lineRule="auto"/>
        <w:tabs>
          <w:tab w:leader="none" w:pos="128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85" w:lineRule="exact"/>
        <w:rPr>
          <w:rFonts w:ascii="Times New Roman" w:cs="Times New Roman" w:eastAsia="Times New Roman" w:hAnsi="Times New Roman"/>
          <w:sz w:val="20"/>
          <w:szCs w:val="20"/>
          <w:color w:val="auto"/>
        </w:rPr>
      </w:pPr>
    </w:p>
    <w:p>
      <w:pPr>
        <w:ind w:left="1620" w:hanging="397"/>
        <w:spacing w:after="0" w:line="269" w:lineRule="auto"/>
        <w:tabs>
          <w:tab w:leader="none" w:pos="1618"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Grantee’s wages or other cash compensation payable to Grantee by the Company and/or the Employer; or</w:t>
      </w:r>
    </w:p>
    <w:p>
      <w:pPr>
        <w:spacing w:after="0" w:line="172" w:lineRule="exact"/>
        <w:rPr>
          <w:rFonts w:ascii="Times New Roman" w:cs="Times New Roman" w:eastAsia="Times New Roman" w:hAnsi="Times New Roman"/>
          <w:sz w:val="20"/>
          <w:szCs w:val="20"/>
          <w:color w:val="auto"/>
        </w:rPr>
      </w:pPr>
    </w:p>
    <w:p>
      <w:pPr>
        <w:jc w:val="both"/>
        <w:ind w:left="1620" w:hanging="397"/>
        <w:spacing w:after="0" w:line="261" w:lineRule="auto"/>
        <w:tabs>
          <w:tab w:leader="none" w:pos="1619"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upon vesting/settlement of the Performance Unit either through a voluntary sale or through a mandatory sale arranged by the Company (on Grantee’s behalf pursuant to this authorization);</w:t>
      </w:r>
    </w:p>
    <w:p>
      <w:pPr>
        <w:spacing w:after="0" w:line="167" w:lineRule="exact"/>
        <w:rPr>
          <w:rFonts w:ascii="Times New Roman" w:cs="Times New Roman" w:eastAsia="Times New Roman" w:hAnsi="Times New Roman"/>
          <w:sz w:val="20"/>
          <w:szCs w:val="20"/>
          <w:color w:val="auto"/>
        </w:rPr>
      </w:pPr>
    </w:p>
    <w:p>
      <w:pPr>
        <w:ind w:left="1620" w:hanging="397"/>
        <w:spacing w:after="0"/>
        <w:tabs>
          <w:tab w:leader="none" w:pos="162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pursuant to the Performance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20" w:hanging="397"/>
        <w:spacing w:after="0"/>
        <w:tabs>
          <w:tab w:leader="none" w:pos="1620" w:val="left"/>
        </w:tabs>
        <w:numPr>
          <w:ilvl w:val="3"/>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of withholding determined by the Company to comply with applicable laws and the Plan.</w:t>
      </w:r>
    </w:p>
    <w:p>
      <w:pPr>
        <w:spacing w:after="0" w:line="215" w:lineRule="exact"/>
        <w:rPr>
          <w:rFonts w:ascii="Times New Roman" w:cs="Times New Roman" w:eastAsia="Times New Roman" w:hAnsi="Times New Roman"/>
          <w:sz w:val="20"/>
          <w:szCs w:val="20"/>
          <w:color w:val="auto"/>
        </w:rPr>
      </w:pPr>
    </w:p>
    <w:p>
      <w:pPr>
        <w:jc w:val="both"/>
        <w:ind w:firstLine="980"/>
        <w:spacing w:after="0" w:line="254" w:lineRule="auto"/>
        <w:tabs>
          <w:tab w:leader="none" w:pos="1288"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17(b) above or Section 17(g) below, if Grantee is subject to the reporting requirements of Section 16(a) of the Exchange Act, then any applicable 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w:t>
      </w:r>
    </w:p>
    <w:p>
      <w:pPr>
        <w:ind w:left="240" w:hanging="232"/>
        <w:spacing w:after="0"/>
        <w:tabs>
          <w:tab w:leader="none" w:pos="2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w:t>
      </w:r>
    </w:p>
    <w:p>
      <w:pPr>
        <w:spacing w:after="0" w:line="200" w:lineRule="exact"/>
        <w:rPr>
          <w:rFonts w:ascii="Times New Roman" w:cs="Times New Roman" w:eastAsia="Times New Roman" w:hAnsi="Times New Roman"/>
          <w:sz w:val="20"/>
          <w:szCs w:val="20"/>
          <w:color w:val="auto"/>
        </w:rPr>
      </w:pPr>
    </w:p>
    <w:p>
      <w:pPr>
        <w:jc w:val="both"/>
        <w:ind w:firstLine="980"/>
        <w:spacing w:after="0" w:line="257" w:lineRule="auto"/>
        <w:tabs>
          <w:tab w:leader="none" w:pos="1285"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16.2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 or the Employer.</w:t>
      </w:r>
    </w:p>
    <w:p>
      <w:pPr>
        <w:spacing w:after="0" w:line="172" w:lineRule="exact"/>
        <w:rPr>
          <w:rFonts w:ascii="Times New Roman" w:cs="Times New Roman" w:eastAsia="Times New Roman" w:hAnsi="Times New Roman"/>
          <w:sz w:val="20"/>
          <w:szCs w:val="20"/>
          <w:color w:val="auto"/>
        </w:rPr>
      </w:pPr>
    </w:p>
    <w:p>
      <w:pPr>
        <w:jc w:val="both"/>
        <w:ind w:firstLine="980"/>
        <w:spacing w:after="0" w:line="268" w:lineRule="auto"/>
        <w:tabs>
          <w:tab w:leader="none" w:pos="1288"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161" w:lineRule="exact"/>
        <w:rPr>
          <w:rFonts w:ascii="Times New Roman" w:cs="Times New Roman" w:eastAsia="Times New Roman" w:hAnsi="Times New Roman"/>
          <w:sz w:val="20"/>
          <w:szCs w:val="20"/>
          <w:color w:val="auto"/>
        </w:rPr>
      </w:pPr>
    </w:p>
    <w:p>
      <w:pPr>
        <w:ind w:firstLine="980"/>
        <w:spacing w:after="0" w:line="283" w:lineRule="auto"/>
        <w:tabs>
          <w:tab w:leader="none" w:pos="1293"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refuse to issue or deliver the Shares or the proceeds of the sale of Shares, if Grantee fails to comply with Grantee’s obligations in connection with the Tax-Related Items.</w:t>
      </w:r>
    </w:p>
    <w:p>
      <w:pPr>
        <w:spacing w:after="0" w:line="146" w:lineRule="exact"/>
        <w:rPr>
          <w:rFonts w:ascii="Times New Roman" w:cs="Times New Roman" w:eastAsia="Times New Roman" w:hAnsi="Times New Roman"/>
          <w:sz w:val="20"/>
          <w:szCs w:val="20"/>
          <w:color w:val="auto"/>
        </w:rPr>
      </w:pPr>
    </w:p>
    <w:p>
      <w:pPr>
        <w:jc w:val="both"/>
        <w:ind w:firstLine="980"/>
        <w:spacing w:after="0" w:line="253" w:lineRule="auto"/>
        <w:tabs>
          <w:tab w:leader="none" w:pos="1285"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Performance Units effected to cover Tax-Related Items pursuant to this Section 17(g) shall apply only to the applicable number of Performance Units and not to any associated Dividend Equivalents thereon, which shall remain subject to vesting on the dates or events set forth in Section 5 and payable pursuant to Section 7 of this Agreement.</w:t>
      </w:r>
    </w:p>
    <w:p>
      <w:pPr>
        <w:spacing w:after="0" w:line="176" w:lineRule="exact"/>
        <w:rPr>
          <w:rFonts w:ascii="Times New Roman" w:cs="Times New Roman" w:eastAsia="Times New Roman" w:hAnsi="Times New Roman"/>
          <w:sz w:val="20"/>
          <w:szCs w:val="20"/>
          <w:color w:val="auto"/>
        </w:rPr>
      </w:pPr>
    </w:p>
    <w:p>
      <w:pPr>
        <w:jc w:val="both"/>
        <w:ind w:firstLine="656"/>
        <w:spacing w:after="0" w:line="260" w:lineRule="auto"/>
        <w:tabs>
          <w:tab w:leader="none" w:pos="1287"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Grantee hereby explicitly and unambiguously consents to the collection, use and transfer, in electronic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other form, of Grantee’s personal data as described in this Agreement and any other Performance Unit grant materials by and among, as applicable, the Company and its other Subsidiaries and Affiliates for the exclusive purpose of implementing, administering and managing Grantee’s participation in the Plan.</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the Company holds certain personal information about Grantee, including, but not limited to, Grantee’s name, home address, email address, telephone number, date of birth, social insurance number, passport or other identification number, salary, nationality, job title, any Shares of stock or directorships held in the Company, details of all Performance Units or any other entitlement to Shares awarded, canceled, exercised, vested, unvested or outstanding in Grantee’s favor (“Data”), for the exclusive purpose of implementing, administering and managing the Plan.</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 management of the Plan. Grantee understands that the recipients of the Data may be located in the U.S. or elsewhere, and that the recipients’ country (e.g.,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may have different data privacy laws and protections than Grantee’s country. Grantee understands that he or she may request a list with the names and addresses of any potential recipients of the Data by contacting his or her local human resources representative. Grantee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will not be adversely affected; the only consequence of refusing or withdrawing Grantee’s consent is that the Company would not be able to grant Performance Units or other equity awards to Grantee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72" w:lineRule="exact"/>
        <w:rPr>
          <w:sz w:val="20"/>
          <w:szCs w:val="20"/>
          <w:color w:val="auto"/>
        </w:rPr>
      </w:pPr>
    </w:p>
    <w:p>
      <w:pPr>
        <w:jc w:val="both"/>
        <w:ind w:firstLine="656"/>
        <w:spacing w:after="0" w:line="260" w:lineRule="auto"/>
        <w:tabs>
          <w:tab w:leader="none" w:pos="128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77"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8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Trading/Market Abuse Restrictions</w:t>
      </w:r>
      <w:r>
        <w:rPr>
          <w:rFonts w:ascii="Times New Roman" w:cs="Times New Roman" w:eastAsia="Times New Roman" w:hAnsi="Times New Roman"/>
          <w:sz w:val="20"/>
          <w:szCs w:val="20"/>
          <w:color w:val="auto"/>
        </w:rPr>
        <w:t>. Grantee may be subject to insider trading restriction and/or market abuse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in applicable jurisdictions including, but not limited to, the U.S. and Grantee’s country of residence, which may affect Grantee’s ability to accept, acquire sell or otherwise dispose of Shares or rights to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67" w:lineRule="auto"/>
        <w:tabs>
          <w:tab w:leader="none" w:pos="1287"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Foreign Asset / Account or Tax Reporting; Exchange Control</w:t>
      </w:r>
      <w:r>
        <w:rPr>
          <w:rFonts w:ascii="Times New Roman" w:cs="Times New Roman" w:eastAsia="Times New Roman" w:hAnsi="Times New Roman"/>
          <w:sz w:val="19"/>
          <w:szCs w:val="19"/>
          <w:color w:val="auto"/>
        </w:rPr>
        <w:t>. Grantee acknowledges that there may be certain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75" w:lineRule="exact"/>
        <w:rPr>
          <w:rFonts w:ascii="Times New Roman" w:cs="Times New Roman" w:eastAsia="Times New Roman" w:hAnsi="Times New Roman"/>
          <w:sz w:val="19"/>
          <w:szCs w:val="19"/>
          <w:b w:val="1"/>
          <w:bCs w:val="1"/>
          <w:color w:val="auto"/>
        </w:rPr>
      </w:pPr>
    </w:p>
    <w:p>
      <w:pPr>
        <w:jc w:val="both"/>
        <w:ind w:firstLine="656"/>
        <w:spacing w:after="0" w:line="254" w:lineRule="auto"/>
        <w:tabs>
          <w:tab w:leader="none" w:pos="128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56"/>
        <w:spacing w:after="0" w:line="254"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Country-Specific Terms and Conditions</w:t>
      </w:r>
      <w:r>
        <w:rPr>
          <w:rFonts w:ascii="Times New Roman" w:cs="Times New Roman" w:eastAsia="Times New Roman" w:hAnsi="Times New Roman"/>
          <w:sz w:val="20"/>
          <w:szCs w:val="20"/>
          <w:color w:val="auto"/>
        </w:rPr>
        <w:t>. Notwithstanding any provisions in this Agreement, the Performance Unit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subject to any additional terms and conditions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to this Agreement for Grantee’s country. Moreover, if Grantee relocates to one of the countries included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constitutes part of this Agreement.</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Grantee acknowledges that he or she is sufficiently proficient in English, or has consulted with an advisor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Imposition of Other Requirements</w:t>
      </w:r>
      <w:r>
        <w:rPr>
          <w:rFonts w:ascii="Times New Roman" w:cs="Times New Roman" w:eastAsia="Times New Roman" w:hAnsi="Times New Roman"/>
          <w:sz w:val="20"/>
          <w:szCs w:val="20"/>
          <w:color w:val="auto"/>
        </w:rPr>
        <w:t>. The Company reserves the right to impose other requirements on Grantee’s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Performance Units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77"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Except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Performance Unit grant and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6"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unenforceable, in whole or in part, the remaining provisions shall nevertheless be binding and enforceable.</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Grantee acknowledges that a waiver by the Company of any provision, or breach thereof, of this Agreement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300" w:lineRule="auto"/>
        <w:tabs>
          <w:tab w:leader="none" w:pos="1287"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Pronouns; Including</w:t>
      </w:r>
      <w:r>
        <w:rPr>
          <w:rFonts w:ascii="Times New Roman" w:cs="Times New Roman" w:eastAsia="Times New Roman" w:hAnsi="Times New Roman"/>
          <w:sz w:val="19"/>
          <w:szCs w:val="19"/>
          <w:color w:val="auto"/>
        </w:rPr>
        <w:t>. Wherever appropriate in this Agreement, personal pronouns shall be deemed to include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genders and the singular to include the plural. Wherever used in this Agreement, the term “including” means “including, without limitation.”</w:t>
      </w:r>
    </w:p>
    <w:p>
      <w:pPr>
        <w:spacing w:after="0" w:line="142" w:lineRule="exact"/>
        <w:rPr>
          <w:rFonts w:ascii="Times New Roman" w:cs="Times New Roman" w:eastAsia="Times New Roman" w:hAnsi="Times New Roman"/>
          <w:sz w:val="19"/>
          <w:szCs w:val="19"/>
          <w:b w:val="1"/>
          <w:bCs w:val="1"/>
          <w:color w:val="auto"/>
        </w:rPr>
      </w:pPr>
    </w:p>
    <w:p>
      <w:pPr>
        <w:jc w:val="both"/>
        <w:ind w:firstLine="656"/>
        <w:spacing w:after="0" w:line="255" w:lineRule="auto"/>
        <w:tabs>
          <w:tab w:leader="none" w:pos="1287"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in Interest</w:t>
      </w:r>
      <w:r>
        <w:rPr>
          <w:rFonts w:ascii="Times New Roman" w:cs="Times New Roman" w:eastAsia="Times New Roman" w:hAnsi="Times New Roman"/>
          <w:sz w:val="20"/>
          <w:szCs w:val="20"/>
          <w:color w:val="auto"/>
        </w:rPr>
        <w:t>. This Agreement shall inure to the benefit of, and be binding upon, the Company and its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56"/>
        <w:spacing w:after="0" w:line="254" w:lineRule="auto"/>
        <w:tabs>
          <w:tab w:leader="none" w:pos="1287"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This Agreement, along with any Exhibit hereto, encompasses the entire agreement of the parties related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subject matter of this Agreement, and supersedes all previous understandings and agreements between them, whether oral or written, except as otherwise described specifically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Committee shall have the sole and absolute authority to interpret, construe and apply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By completing the online acceptance process, Grantee accepts the grant of Performance Units and agrees to all the terms and conditions described in this Agreement and in the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635"/>
        <w:spacing w:after="0" w:line="283" w:lineRule="auto"/>
        <w:rPr>
          <w:sz w:val="20"/>
          <w:szCs w:val="20"/>
          <w:color w:val="auto"/>
        </w:rPr>
      </w:pPr>
      <w:r>
        <w:rPr>
          <w:rFonts w:ascii="Times New Roman" w:cs="Times New Roman" w:eastAsia="Times New Roman" w:hAnsi="Times New Roman"/>
          <w:sz w:val="20"/>
          <w:szCs w:val="20"/>
          <w:color w:val="auto"/>
        </w:rPr>
        <w:t>You acknowledge that you have read the Company’s Stock Ownership Guidelines (“Guidelines”) posted on the Company’s website and you agree to comply with those Guidelines.</w:t>
      </w:r>
    </w:p>
    <w:p>
      <w:pPr>
        <w:spacing w:after="0" w:line="146" w:lineRule="exact"/>
        <w:rPr>
          <w:sz w:val="20"/>
          <w:szCs w:val="20"/>
          <w:color w:val="auto"/>
        </w:rPr>
      </w:pPr>
    </w:p>
    <w:p>
      <w:pPr>
        <w:ind w:firstLine="635"/>
        <w:spacing w:after="0" w:line="283" w:lineRule="auto"/>
        <w:rPr>
          <w:sz w:val="20"/>
          <w:szCs w:val="20"/>
          <w:color w:val="auto"/>
        </w:rPr>
      </w:pPr>
      <w:r>
        <w:rPr>
          <w:rFonts w:ascii="Times New Roman" w:cs="Times New Roman" w:eastAsia="Times New Roman" w:hAnsi="Times New Roman"/>
          <w:sz w:val="20"/>
          <w:szCs w:val="20"/>
          <w:color w:val="auto"/>
        </w:rPr>
        <w:t>Your minimum stock ownership level and retention requirements, based on the Grantee Level stated on the first page of this Agreement, are set forth below. In the event of a conflict between this Exhibit A and the Guidelines, the Guidelines will prevail.</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243"/>
        </w:trPr>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Ownership Multiple of</w:t>
            </w:r>
          </w:p>
        </w:tc>
        <w:tc>
          <w:tcPr>
            <w:tcW w:w="194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Retention Requirement</w:t>
            </w:r>
          </w:p>
        </w:tc>
      </w:tr>
      <w:tr>
        <w:trPr>
          <w:trHeight w:val="212"/>
        </w:trPr>
        <w:tc>
          <w:tcPr>
            <w:tcW w:w="11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6"/>
              </w:rPr>
              <w:t>Grantee Level</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5"/>
              </w:rPr>
              <w:t>Title</w:t>
            </w:r>
          </w:p>
        </w:tc>
        <w:tc>
          <w:tcPr>
            <w:tcW w:w="3160" w:type="dxa"/>
            <w:vAlign w:val="bottom"/>
          </w:tcPr>
          <w:p>
            <w:pPr>
              <w:spacing w:after="0"/>
              <w:rPr>
                <w:sz w:val="18"/>
                <w:szCs w:val="18"/>
                <w:color w:val="auto"/>
              </w:rPr>
            </w:pPr>
          </w:p>
        </w:tc>
        <w:tc>
          <w:tcPr>
            <w:tcW w:w="210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Annual Base Salary</w:t>
            </w:r>
          </w:p>
        </w:tc>
        <w:tc>
          <w:tcPr>
            <w:tcW w:w="194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w w:val="97"/>
              </w:rPr>
              <w:t>Percentage</w:t>
            </w:r>
          </w:p>
        </w:tc>
      </w:tr>
      <w:tr>
        <w:trPr>
          <w:trHeight w:val="20"/>
        </w:trPr>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1860" w:type="dxa"/>
            <w:vAlign w:val="bottom"/>
            <w:gridSpan w:val="2"/>
          </w:tcPr>
          <w:p>
            <w:pPr>
              <w:jc w:val="center"/>
              <w:ind w:left="221"/>
              <w:spacing w:after="0"/>
              <w:rPr>
                <w:sz w:val="20"/>
                <w:szCs w:val="20"/>
                <w:color w:val="auto"/>
              </w:rPr>
            </w:pPr>
            <w:r>
              <w:rPr>
                <w:rFonts w:ascii="Times New Roman" w:cs="Times New Roman" w:eastAsia="Times New Roman" w:hAnsi="Times New Roman"/>
                <w:sz w:val="20"/>
                <w:szCs w:val="20"/>
                <w:color w:val="auto"/>
                <w:w w:val="99"/>
              </w:rPr>
              <w:t>6</w:t>
            </w:r>
          </w:p>
        </w:tc>
        <w:tc>
          <w:tcPr>
            <w:tcW w:w="240" w:type="dxa"/>
            <w:vAlign w:val="bottom"/>
          </w:tcPr>
          <w:p>
            <w:pPr>
              <w:spacing w:after="0"/>
              <w:rPr>
                <w:sz w:val="24"/>
                <w:szCs w:val="24"/>
                <w:color w:val="auto"/>
              </w:rPr>
            </w:pPr>
          </w:p>
        </w:tc>
        <w:tc>
          <w:tcPr>
            <w:tcW w:w="1440" w:type="dxa"/>
            <w:vAlign w:val="bottom"/>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8"/>
              </w:rPr>
              <w:t>50%</w:t>
            </w:r>
          </w:p>
        </w:tc>
        <w:tc>
          <w:tcPr>
            <w:tcW w:w="500" w:type="dxa"/>
            <w:vAlign w:val="bottom"/>
          </w:tcPr>
          <w:p>
            <w:pPr>
              <w:spacing w:after="0"/>
              <w:rPr>
                <w:sz w:val="24"/>
                <w:szCs w:val="24"/>
                <w:color w:val="auto"/>
              </w:rPr>
            </w:pPr>
          </w:p>
        </w:tc>
      </w:tr>
      <w:tr>
        <w:trPr>
          <w:trHeight w:val="255"/>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760" w:type="dxa"/>
            <w:vAlign w:val="bottom"/>
          </w:tcPr>
          <w:p>
            <w:pPr>
              <w:spacing w:after="0"/>
              <w:rPr>
                <w:sz w:val="22"/>
                <w:szCs w:val="22"/>
                <w:color w:val="auto"/>
              </w:rPr>
            </w:pPr>
          </w:p>
        </w:tc>
        <w:tc>
          <w:tcPr>
            <w:tcW w:w="43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Executive Officers (other than the Chief</w:t>
            </w:r>
          </w:p>
        </w:tc>
        <w:tc>
          <w:tcPr>
            <w:tcW w:w="1860" w:type="dxa"/>
            <w:vAlign w:val="bottom"/>
            <w:gridSpan w:val="2"/>
          </w:tcPr>
          <w:p>
            <w:pPr>
              <w:jc w:val="center"/>
              <w:ind w:left="221"/>
              <w:spacing w:after="0"/>
              <w:rPr>
                <w:sz w:val="20"/>
                <w:szCs w:val="20"/>
                <w:color w:val="auto"/>
              </w:rPr>
            </w:pPr>
            <w:r>
              <w:rPr>
                <w:rFonts w:ascii="Times New Roman" w:cs="Times New Roman" w:eastAsia="Times New Roman" w:hAnsi="Times New Roman"/>
                <w:sz w:val="20"/>
                <w:szCs w:val="20"/>
                <w:color w:val="auto"/>
                <w:w w:val="99"/>
              </w:rPr>
              <w:t>3</w:t>
            </w:r>
          </w:p>
        </w:tc>
        <w:tc>
          <w:tcPr>
            <w:tcW w:w="240" w:type="dxa"/>
            <w:vAlign w:val="bottom"/>
          </w:tcPr>
          <w:p>
            <w:pPr>
              <w:spacing w:after="0"/>
              <w:rPr>
                <w:sz w:val="22"/>
                <w:szCs w:val="22"/>
                <w:color w:val="auto"/>
              </w:rPr>
            </w:pPr>
          </w:p>
        </w:tc>
        <w:tc>
          <w:tcPr>
            <w:tcW w:w="1440" w:type="dxa"/>
            <w:vAlign w:val="bottom"/>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8"/>
              </w:rPr>
              <w:t>50%</w:t>
            </w:r>
          </w:p>
        </w:tc>
        <w:tc>
          <w:tcPr>
            <w:tcW w:w="500" w:type="dxa"/>
            <w:vAlign w:val="bottom"/>
          </w:tcPr>
          <w:p>
            <w:pPr>
              <w:spacing w:after="0"/>
              <w:rPr>
                <w:sz w:val="22"/>
                <w:szCs w:val="22"/>
                <w:color w:val="auto"/>
              </w:rPr>
            </w:pPr>
          </w:p>
        </w:tc>
      </w:tr>
      <w:tr>
        <w:trPr>
          <w:trHeight w:val="258"/>
        </w:trPr>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Executive Officer)</w:t>
            </w: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55"/>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60" w:type="dxa"/>
            <w:vAlign w:val="bottom"/>
          </w:tcPr>
          <w:p>
            <w:pPr>
              <w:spacing w:after="0"/>
              <w:rPr>
                <w:sz w:val="22"/>
                <w:szCs w:val="22"/>
                <w:color w:val="auto"/>
              </w:rPr>
            </w:pPr>
          </w:p>
        </w:tc>
        <w:tc>
          <w:tcPr>
            <w:tcW w:w="43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Executive Vice Presidents and Senior Vice</w:t>
            </w:r>
          </w:p>
        </w:tc>
        <w:tc>
          <w:tcPr>
            <w:tcW w:w="1860" w:type="dxa"/>
            <w:vAlign w:val="bottom"/>
            <w:gridSpan w:val="2"/>
          </w:tcPr>
          <w:p>
            <w:pPr>
              <w:jc w:val="center"/>
              <w:ind w:left="221"/>
              <w:spacing w:after="0"/>
              <w:rPr>
                <w:sz w:val="20"/>
                <w:szCs w:val="20"/>
                <w:color w:val="auto"/>
              </w:rPr>
            </w:pPr>
            <w:r>
              <w:rPr>
                <w:rFonts w:ascii="Times New Roman" w:cs="Times New Roman" w:eastAsia="Times New Roman" w:hAnsi="Times New Roman"/>
                <w:sz w:val="20"/>
                <w:szCs w:val="20"/>
                <w:color w:val="auto"/>
                <w:w w:val="99"/>
              </w:rPr>
              <w:t>2</w:t>
            </w:r>
          </w:p>
        </w:tc>
        <w:tc>
          <w:tcPr>
            <w:tcW w:w="240" w:type="dxa"/>
            <w:vAlign w:val="bottom"/>
          </w:tcPr>
          <w:p>
            <w:pPr>
              <w:spacing w:after="0"/>
              <w:rPr>
                <w:sz w:val="22"/>
                <w:szCs w:val="22"/>
                <w:color w:val="auto"/>
              </w:rPr>
            </w:pPr>
          </w:p>
        </w:tc>
        <w:tc>
          <w:tcPr>
            <w:tcW w:w="1440" w:type="dxa"/>
            <w:vAlign w:val="bottom"/>
            <w:gridSpan w:val="2"/>
          </w:tcPr>
          <w:p>
            <w:pPr>
              <w:jc w:val="center"/>
              <w:ind w:left="501"/>
              <w:spacing w:after="0"/>
              <w:rPr>
                <w:sz w:val="20"/>
                <w:szCs w:val="20"/>
                <w:color w:val="auto"/>
              </w:rPr>
            </w:pPr>
            <w:r>
              <w:rPr>
                <w:rFonts w:ascii="Times New Roman" w:cs="Times New Roman" w:eastAsia="Times New Roman" w:hAnsi="Times New Roman"/>
                <w:sz w:val="20"/>
                <w:szCs w:val="20"/>
                <w:color w:val="auto"/>
                <w:w w:val="98"/>
              </w:rPr>
              <w:t>50%</w:t>
            </w:r>
          </w:p>
        </w:tc>
        <w:tc>
          <w:tcPr>
            <w:tcW w:w="500" w:type="dxa"/>
            <w:vAlign w:val="bottom"/>
          </w:tcPr>
          <w:p>
            <w:pPr>
              <w:spacing w:after="0"/>
              <w:rPr>
                <w:sz w:val="22"/>
                <w:szCs w:val="22"/>
                <w:color w:val="auto"/>
              </w:rPr>
            </w:pPr>
          </w:p>
        </w:tc>
      </w:tr>
      <w:tr>
        <w:trPr>
          <w:trHeight w:val="258"/>
        </w:trPr>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Presidents (other than Executive Officers)</w:t>
            </w: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760" w:type="dxa"/>
            <w:vAlign w:val="bottom"/>
          </w:tcPr>
          <w:p>
            <w:pPr>
              <w:spacing w:after="0"/>
              <w:rPr>
                <w:sz w:val="24"/>
                <w:szCs w:val="24"/>
                <w:color w:val="auto"/>
              </w:rPr>
            </w:pPr>
          </w:p>
        </w:tc>
        <w:tc>
          <w:tcPr>
            <w:tcW w:w="430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All Other Associates/Participants</w:t>
            </w:r>
          </w:p>
        </w:tc>
        <w:tc>
          <w:tcPr>
            <w:tcW w:w="1860" w:type="dxa"/>
            <w:vAlign w:val="bottom"/>
            <w:gridSpan w:val="2"/>
          </w:tcPr>
          <w:p>
            <w:pPr>
              <w:jc w:val="center"/>
              <w:ind w:left="221"/>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144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w w:val="97"/>
              </w:rPr>
              <w:t>0%</w:t>
            </w:r>
          </w:p>
        </w:tc>
        <w:tc>
          <w:tcPr>
            <w:tcW w:w="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4" w:right="339" w:bottom="1440" w:gutter="0" w:footer="0" w:header="0"/>
        </w:sectPr>
      </w:pPr>
    </w:p>
    <w:bookmarkStart w:id="72" w:name="page73"/>
    <w:bookmarkEnd w:id="72"/>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PERFORMANCE GOAL FOR</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rTSR PERFORMANCE UNIT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20"/>
        <w:spacing w:after="0"/>
        <w:rPr>
          <w:sz w:val="20"/>
          <w:szCs w:val="20"/>
          <w:color w:val="auto"/>
        </w:rPr>
      </w:pPr>
      <w:r>
        <w:rPr>
          <w:rFonts w:ascii="Times New Roman" w:cs="Times New Roman" w:eastAsia="Times New Roman" w:hAnsi="Times New Roman"/>
          <w:sz w:val="20"/>
          <w:szCs w:val="20"/>
          <w:b w:val="1"/>
          <w:bCs w:val="1"/>
          <w:color w:val="auto"/>
        </w:rPr>
        <w:t xml:space="preserve">Grant ID:  </w:t>
      </w:r>
      <w:r>
        <w:rPr>
          <w:rFonts w:ascii="Times New Roman" w:cs="Times New Roman" w:eastAsia="Times New Roman" w:hAnsi="Times New Roman"/>
          <w:sz w:val="20"/>
          <w:szCs w:val="20"/>
          <w:color w:val="auto"/>
        </w:rPr>
        <w:t>/$GrantID$/</w:t>
      </w:r>
    </w:p>
    <w:p>
      <w:pPr>
        <w:spacing w:after="0" w:line="5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b w:val="1"/>
          <w:bCs w:val="1"/>
          <w:color w:val="auto"/>
        </w:rPr>
        <w:t xml:space="preserve">Grant Date:  </w:t>
      </w:r>
      <w:r>
        <w:rPr>
          <w:rFonts w:ascii="Times New Roman" w:cs="Times New Roman" w:eastAsia="Times New Roman" w:hAnsi="Times New Roman"/>
          <w:sz w:val="20"/>
          <w:szCs w:val="20"/>
          <w:color w:val="auto"/>
        </w:rPr>
        <w:t>/$GrantDate$/</w:t>
      </w:r>
    </w:p>
    <w:p>
      <w:pPr>
        <w:spacing w:after="0" w:line="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Target Share Units: </w:t>
      </w:r>
      <w:r>
        <w:rPr>
          <w:rFonts w:ascii="Times New Roman" w:cs="Times New Roman" w:eastAsia="Times New Roman" w:hAnsi="Times New Roman"/>
          <w:sz w:val="20"/>
          <w:szCs w:val="20"/>
          <w:color w:val="auto"/>
        </w:rPr>
        <w:t>/$AwardsGranted$/</w:t>
      </w:r>
    </w:p>
    <w:p>
      <w:pPr>
        <w:spacing w:after="0" w:line="54" w:lineRule="exact"/>
        <w:rPr>
          <w:sz w:val="20"/>
          <w:szCs w:val="20"/>
          <w:color w:val="auto"/>
        </w:rPr>
      </w:pPr>
    </w:p>
    <w:p>
      <w:pPr>
        <w:ind w:left="2680" w:right="980" w:hanging="1909"/>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Three-Year Period Comprised of Fiscal Years 2025, 2026 and 2027 (September 1, 2024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August 31, 2027)</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Measurement Date:  </w:t>
      </w:r>
      <w:r>
        <w:rPr>
          <w:rFonts w:ascii="Times New Roman" w:cs="Times New Roman" w:eastAsia="Times New Roman" w:hAnsi="Times New Roman"/>
          <w:sz w:val="20"/>
          <w:szCs w:val="20"/>
          <w:color w:val="auto"/>
        </w:rPr>
        <w:t>August 31, 2027 (end of third fiscal year)</w:t>
      </w:r>
    </w:p>
    <w:p>
      <w:pPr>
        <w:spacing w:after="0" w:line="54" w:lineRule="exact"/>
        <w:rPr>
          <w:sz w:val="20"/>
          <w:szCs w:val="20"/>
          <w:color w:val="auto"/>
        </w:rPr>
      </w:pPr>
    </w:p>
    <w:p>
      <w:pPr>
        <w:ind w:left="2680" w:right="960" w:hanging="1265"/>
        <w:spacing w:after="0" w:line="281" w:lineRule="auto"/>
        <w:rPr>
          <w:sz w:val="20"/>
          <w:szCs w:val="20"/>
          <w:color w:val="auto"/>
        </w:rPr>
      </w:pPr>
      <w:r>
        <w:rPr>
          <w:rFonts w:ascii="Times New Roman" w:cs="Times New Roman" w:eastAsia="Times New Roman" w:hAnsi="Times New Roman"/>
          <w:sz w:val="19"/>
          <w:szCs w:val="19"/>
          <w:b w:val="1"/>
          <w:bCs w:val="1"/>
          <w:color w:val="auto"/>
        </w:rPr>
        <w:t xml:space="preserve">Vesting Date: </w:t>
      </w:r>
      <w:r>
        <w:rPr>
          <w:rFonts w:ascii="Times New Roman" w:cs="Times New Roman" w:eastAsia="Times New Roman" w:hAnsi="Times New Roman"/>
          <w:sz w:val="19"/>
          <w:szCs w:val="19"/>
          <w:color w:val="auto"/>
        </w:rPr>
        <w:t>The later of the date on which the Committee certifies the achievement level 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Goal after the Measurement Date, or the third anniversary of the Grant Date, October 24, 2027</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Benchmark Group:  </w:t>
      </w:r>
      <w:r>
        <w:rPr>
          <w:rFonts w:ascii="Times New Roman" w:cs="Times New Roman" w:eastAsia="Times New Roman" w:hAnsi="Times New Roman"/>
          <w:sz w:val="20"/>
          <w:szCs w:val="20"/>
          <w:color w:val="auto"/>
        </w:rPr>
        <w:t>S&amp;P 400 Capital Goods Index (see below for list of companies in this Index)</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Goal:</w:t>
      </w:r>
    </w:p>
    <w:p>
      <w:pPr>
        <w:spacing w:after="0" w:line="200" w:lineRule="exact"/>
        <w:rPr>
          <w:sz w:val="20"/>
          <w:szCs w:val="20"/>
          <w:color w:val="auto"/>
        </w:rPr>
      </w:pPr>
    </w:p>
    <w:p>
      <w:pPr>
        <w:spacing w:after="0" w:line="303"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9"/>
          <w:szCs w:val="19"/>
          <w:color w:val="auto"/>
        </w:rPr>
        <w:t xml:space="preserve">The achievement of a level of the relative Total Shareholder Return Performance Measure (as defined below) between the Threshold and Maximum as shown in the table below (the “Achievement Level”). Final performance will be measured against the payout curve as of the Measurement Date. The number of shares you will receive will be calculated by multiplying your Target Share Units by the Payout % between 0% and 200%. The exact Payout % will be determined by linear interpolation of the Achievement Level of the Performance Measure between the bend points illustrated below. </w:t>
      </w:r>
      <w:r>
        <w:rPr>
          <w:rFonts w:ascii="Times New Roman" w:cs="Times New Roman" w:eastAsia="Times New Roman" w:hAnsi="Times New Roman"/>
          <w:sz w:val="19"/>
          <w:szCs w:val="19"/>
          <w:b w:val="1"/>
          <w:bCs w:val="1"/>
          <w:color w:val="auto"/>
        </w:rPr>
        <w:t>If the Performance Measure is at or below Threshold, no payout will be received.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Achievement Levels.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2360" w:type="dxa"/>
            <w:vAlign w:val="bottom"/>
            <w:tcBorders>
              <w:top w:val="single" w:sz="8" w:color="auto"/>
              <w:left w:val="single" w:sz="8" w:color="auto"/>
              <w:bottom w:val="single" w:sz="8" w:color="DFDFDF"/>
              <w:right w:val="single" w:sz="8" w:color="auto"/>
            </w:tcBorders>
            <w:shd w:val="clear" w:color="auto" w:fill="DFDFDF"/>
          </w:tcPr>
          <w:p>
            <w:pPr>
              <w:spacing w:after="0"/>
              <w:rPr>
                <w:sz w:val="24"/>
                <w:szCs w:val="24"/>
                <w:color w:val="auto"/>
              </w:rPr>
            </w:pPr>
          </w:p>
        </w:tc>
        <w:tc>
          <w:tcPr>
            <w:tcW w:w="254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Threshold Payout</w:t>
            </w:r>
          </w:p>
        </w:tc>
        <w:tc>
          <w:tcPr>
            <w:tcW w:w="2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Target Payout</w:t>
            </w:r>
          </w:p>
        </w:tc>
        <w:tc>
          <w:tcPr>
            <w:tcW w:w="346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 Payout</w:t>
            </w:r>
          </w:p>
        </w:tc>
        <w:tc>
          <w:tcPr>
            <w:tcW w:w="0" w:type="dxa"/>
            <w:vAlign w:val="bottom"/>
          </w:tcPr>
          <w:p>
            <w:pPr>
              <w:spacing w:after="0"/>
              <w:rPr>
                <w:sz w:val="1"/>
                <w:szCs w:val="1"/>
                <w:color w:val="auto"/>
              </w:rPr>
            </w:pPr>
          </w:p>
        </w:tc>
      </w:tr>
      <w:tr>
        <w:trPr>
          <w:trHeight w:val="241"/>
        </w:trPr>
        <w:tc>
          <w:tcPr>
            <w:tcW w:w="2360" w:type="dxa"/>
            <w:vAlign w:val="bottom"/>
            <w:tcBorders>
              <w:top w:val="single" w:sz="8" w:color="auto"/>
              <w:left w:val="single" w:sz="8" w:color="auto"/>
              <w:right w:val="single" w:sz="8" w:color="auto"/>
            </w:tcBorders>
            <w:shd w:val="clear" w:color="auto" w:fill="DFDFDF"/>
          </w:tcPr>
          <w:p>
            <w:pPr>
              <w:spacing w:after="0"/>
              <w:rPr>
                <w:sz w:val="20"/>
                <w:szCs w:val="20"/>
                <w:color w:val="auto"/>
              </w:rPr>
            </w:pPr>
          </w:p>
        </w:tc>
        <w:tc>
          <w:tcPr>
            <w:tcW w:w="2540" w:type="dxa"/>
            <w:vAlign w:val="bottom"/>
            <w:tcBorders>
              <w:top w:val="single" w:sz="8" w:color="auto"/>
              <w:right w:val="single" w:sz="8" w:color="auto"/>
            </w:tcBorders>
          </w:tcPr>
          <w:p>
            <w:pPr>
              <w:jc w:val="center"/>
              <w:spacing w:after="0" w:line="240" w:lineRule="exact"/>
              <w:rPr>
                <w:sz w:val="20"/>
                <w:szCs w:val="20"/>
                <w:color w:val="auto"/>
              </w:rPr>
            </w:pPr>
            <w:r>
              <w:rPr>
                <w:rFonts w:ascii="Times New Roman" w:cs="Times New Roman" w:eastAsia="Times New Roman" w:hAnsi="Times New Roman"/>
                <w:sz w:val="20"/>
                <w:szCs w:val="20"/>
                <w:color w:val="auto"/>
                <w:w w:val="97"/>
              </w:rPr>
              <w:t>25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Rank and</w:t>
            </w:r>
          </w:p>
        </w:tc>
        <w:tc>
          <w:tcPr>
            <w:tcW w:w="2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50th Percentile Rank of Company</w:t>
            </w:r>
          </w:p>
        </w:tc>
        <w:tc>
          <w:tcPr>
            <w:tcW w:w="34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tcBorders>
              <w:left w:val="single" w:sz="8" w:color="auto"/>
              <w:right w:val="single" w:sz="8" w:color="auto"/>
            </w:tcBorders>
            <w:vMerge w:val="restart"/>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254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0"/>
                <w:szCs w:val="20"/>
                <w:color w:val="auto"/>
                <w:w w:val="97"/>
              </w:rPr>
              <w:t>Below 25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Rank</w:t>
            </w:r>
          </w:p>
        </w:tc>
        <w:tc>
          <w:tcPr>
            <w:tcW w:w="2900" w:type="dxa"/>
            <w:vAlign w:val="bottom"/>
            <w:tcBorders>
              <w:right w:val="single" w:sz="8" w:color="auto"/>
            </w:tcBorders>
            <w:vMerge w:val="continue"/>
          </w:tcPr>
          <w:p>
            <w:pPr>
              <w:spacing w:after="0"/>
              <w:rPr>
                <w:sz w:val="19"/>
                <w:szCs w:val="19"/>
                <w:color w:val="auto"/>
              </w:rPr>
            </w:pP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75th and above Percentile Rank of</w:t>
            </w:r>
          </w:p>
        </w:tc>
        <w:tc>
          <w:tcPr>
            <w:tcW w:w="0" w:type="dxa"/>
            <w:vAlign w:val="bottom"/>
          </w:tcPr>
          <w:p>
            <w:pPr>
              <w:spacing w:after="0"/>
              <w:rPr>
                <w:sz w:val="1"/>
                <w:szCs w:val="1"/>
                <w:color w:val="auto"/>
              </w:rPr>
            </w:pPr>
          </w:p>
        </w:tc>
      </w:tr>
      <w:tr>
        <w:trPr>
          <w:trHeight w:val="137"/>
        </w:trPr>
        <w:tc>
          <w:tcPr>
            <w:tcW w:w="2360" w:type="dxa"/>
            <w:vAlign w:val="bottom"/>
            <w:tcBorders>
              <w:left w:val="single" w:sz="8" w:color="auto"/>
              <w:right w:val="single" w:sz="8" w:color="auto"/>
            </w:tcBorders>
            <w:vMerge w:val="continue"/>
            <w:shd w:val="clear" w:color="auto" w:fill="DFDFDF"/>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compared to Benchmark</w:t>
            </w: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compared to Benchmark Group</w:t>
            </w: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Company compared to Benchmark Group</w:t>
            </w:r>
          </w:p>
        </w:tc>
        <w:tc>
          <w:tcPr>
            <w:tcW w:w="0" w:type="dxa"/>
            <w:vAlign w:val="bottom"/>
          </w:tcPr>
          <w:p>
            <w:pPr>
              <w:spacing w:after="0"/>
              <w:rPr>
                <w:sz w:val="1"/>
                <w:szCs w:val="1"/>
                <w:color w:val="auto"/>
              </w:rPr>
            </w:pPr>
          </w:p>
        </w:tc>
      </w:tr>
      <w:tr>
        <w:trPr>
          <w:trHeight w:val="106"/>
        </w:trPr>
        <w:tc>
          <w:tcPr>
            <w:tcW w:w="2360" w:type="dxa"/>
            <w:vAlign w:val="bottom"/>
            <w:tcBorders>
              <w:left w:val="single" w:sz="8" w:color="auto"/>
              <w:right w:val="single" w:sz="8" w:color="auto"/>
            </w:tcBorders>
            <w:shd w:val="clear" w:color="auto" w:fill="DFDFDF"/>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3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2360" w:type="dxa"/>
            <w:vAlign w:val="bottom"/>
            <w:tcBorders>
              <w:left w:val="single" w:sz="8" w:color="auto"/>
              <w:bottom w:val="single" w:sz="8" w:color="DFDFDF"/>
              <w:right w:val="single" w:sz="8" w:color="auto"/>
            </w:tcBorders>
            <w:shd w:val="clear" w:color="auto" w:fill="DFDFDF"/>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Group</w:t>
            </w:r>
          </w:p>
        </w:tc>
        <w:tc>
          <w:tcPr>
            <w:tcW w:w="290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60" w:type="dxa"/>
            <w:vAlign w:val="bottom"/>
            <w:tcBorders>
              <w:top w:val="single" w:sz="8" w:color="auto"/>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Achievement Level</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2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40" w:type="dxa"/>
            <w:vAlign w:val="bottom"/>
            <w:tcBorders>
              <w:right w:val="single" w:sz="8" w:color="auto"/>
            </w:tcBorders>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Total Shareholder Return (“TSR”) means the stock price appreciation from the beginning to end of the Performance Period, plus dividends and distributions made or declared during the Performance Period (it shall be assumed that such dividends or distributions are reinvested as of the ex-dividend date), expressed as a percentage return. Relative total shareholder return (“rTSR”) is the percentile rank of the Company’s TSR over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60"/>
          </w:cols>
          <w:pgMar w:left="320" w:top="114" w:right="3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Period as compared to the TSR of each company in the Benchmark Group (the “Performance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Calculation of Relative Total Shareholder Return (rTSR):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TSR for Acuity and each peer company will be calculated using the equation shown below:</w:t>
      </w:r>
    </w:p>
    <w:p>
      <w:pPr>
        <w:spacing w:after="0" w:line="310" w:lineRule="exact"/>
        <w:rPr>
          <w:sz w:val="20"/>
          <w:szCs w:val="20"/>
          <w:color w:val="auto"/>
        </w:rPr>
      </w:pPr>
    </w:p>
    <w:tbl>
      <w:tblPr>
        <w:tblLayout w:type="fixed"/>
        <w:tblInd w:w="1620" w:type="dxa"/>
        <w:tblCellMar>
          <w:top w:w="0" w:type="dxa"/>
          <w:left w:w="0" w:type="dxa"/>
          <w:bottom w:w="0" w:type="dxa"/>
          <w:right w:w="0" w:type="dxa"/>
        </w:tblCellMar>
      </w:tblPr>
      <w:tr>
        <w:trPr>
          <w:trHeight w:val="258"/>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TSR =</w:t>
            </w:r>
          </w:p>
        </w:tc>
        <w:tc>
          <w:tcPr>
            <w:tcW w:w="4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(Ending Stock Price - Beginning Stock Price)</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w w:val="92"/>
              </w:rPr>
              <w:t>X 100</w:t>
            </w:r>
          </w:p>
        </w:tc>
        <w:tc>
          <w:tcPr>
            <w:tcW w:w="0" w:type="dxa"/>
            <w:vAlign w:val="bottom"/>
          </w:tcPr>
          <w:p>
            <w:pPr>
              <w:spacing w:after="0"/>
              <w:rPr>
                <w:sz w:val="1"/>
                <w:szCs w:val="1"/>
                <w:color w:val="auto"/>
              </w:rPr>
            </w:pPr>
          </w:p>
        </w:tc>
      </w:tr>
      <w:tr>
        <w:trPr>
          <w:trHeight w:val="21"/>
        </w:trPr>
        <w:tc>
          <w:tcPr>
            <w:tcW w:w="720" w:type="dxa"/>
            <w:vAlign w:val="bottom"/>
            <w:vMerge w:val="continue"/>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4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Beginning Stock Price</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Beginning Stock Price equals the average closing stock price during the 20-trading day period preceding the start of the Performance Period. The Ending Stock Price will equal the average closing price over the 20-trading day period ending on the last day of the Performance Period, assuming dividends distributed during the Performance Period are reinvested on the ex-dividend date for additional shares of the issuing company’s stock.</w:t>
      </w:r>
    </w:p>
    <w:p>
      <w:pPr>
        <w:jc w:val="both"/>
        <w:ind w:right="180"/>
        <w:spacing w:after="0" w:line="248" w:lineRule="auto"/>
        <w:rPr>
          <w:sz w:val="20"/>
          <w:szCs w:val="20"/>
          <w:color w:val="auto"/>
        </w:rPr>
      </w:pPr>
      <w:r>
        <w:rPr>
          <w:rFonts w:ascii="Times New Roman" w:cs="Times New Roman" w:eastAsia="Times New Roman" w:hAnsi="Times New Roman"/>
          <w:sz w:val="20"/>
          <w:szCs w:val="20"/>
          <w:color w:val="auto"/>
        </w:rPr>
        <w:t>At the end of the Performance Period the TSR of each company in the peer group (excluding Acuity) will be ranked from highest to lowest, with the company with the highest TSR being assigned a rank of 1. Acuity’s percentile rank within the Peer Group will be calculated using the formula below, where N is the total companies in the Peer Group excluding Acuity and R is Acuity’s ranking within the Peer Group. N equals 45 as of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1270</wp:posOffset>
            </wp:positionV>
            <wp:extent cx="164592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6459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spacing w:after="0" w:line="222" w:lineRule="auto"/>
        <w:rPr>
          <w:sz w:val="20"/>
          <w:szCs w:val="20"/>
          <w:color w:val="auto"/>
        </w:rPr>
      </w:pPr>
      <w:r>
        <w:rPr>
          <w:rFonts w:ascii="Times New Roman" w:cs="Times New Roman" w:eastAsia="Times New Roman" w:hAnsi="Times New Roman"/>
          <w:sz w:val="20"/>
          <w:szCs w:val="20"/>
          <w:color w:val="auto"/>
        </w:rPr>
        <w:t>The percentile rank of Acuity’s TSR within the peer group will be calculated using the equation below, where PR</w:t>
      </w:r>
      <w:r>
        <w:rPr>
          <w:rFonts w:ascii="Times New Roman" w:cs="Times New Roman" w:eastAsia="Times New Roman" w:hAnsi="Times New Roman"/>
          <w:sz w:val="28"/>
          <w:szCs w:val="28"/>
          <w:color w:val="auto"/>
          <w:vertAlign w:val="subscript"/>
        </w:rPr>
        <w:t>Acuity</w:t>
      </w:r>
      <w:r>
        <w:rPr>
          <w:rFonts w:ascii="Times New Roman" w:cs="Times New Roman" w:eastAsia="Times New Roman" w:hAnsi="Times New Roman"/>
          <w:sz w:val="20"/>
          <w:szCs w:val="20"/>
          <w:color w:val="auto"/>
        </w:rPr>
        <w:t xml:space="preserve"> and TSR</w:t>
      </w:r>
      <w:r>
        <w:rPr>
          <w:rFonts w:ascii="Times New Roman" w:cs="Times New Roman" w:eastAsia="Times New Roman" w:hAnsi="Times New Roman"/>
          <w:sz w:val="28"/>
          <w:szCs w:val="28"/>
          <w:color w:val="auto"/>
          <w:vertAlign w:val="subscript"/>
        </w:rPr>
        <w:t>Acuity</w:t>
      </w:r>
      <w:r>
        <w:rPr>
          <w:rFonts w:ascii="Times New Roman" w:cs="Times New Roman" w:eastAsia="Times New Roman" w:hAnsi="Times New Roman"/>
          <w:sz w:val="20"/>
          <w:szCs w:val="20"/>
          <w:color w:val="auto"/>
        </w:rPr>
        <w:t xml:space="preserve"> equal Acuity’s percentile rank and TSR, PR</w:t>
      </w:r>
      <w:r>
        <w:rPr>
          <w:rFonts w:ascii="Times New Roman" w:cs="Times New Roman" w:eastAsia="Times New Roman" w:hAnsi="Times New Roman"/>
          <w:sz w:val="28"/>
          <w:szCs w:val="28"/>
          <w:color w:val="auto"/>
          <w:vertAlign w:val="subscript"/>
        </w:rPr>
        <w:t>above</w:t>
      </w:r>
      <w:r>
        <w:rPr>
          <w:rFonts w:ascii="Times New Roman" w:cs="Times New Roman" w:eastAsia="Times New Roman" w:hAnsi="Times New Roman"/>
          <w:sz w:val="20"/>
          <w:szCs w:val="20"/>
          <w:color w:val="auto"/>
        </w:rPr>
        <w:t xml:space="preserve"> and TSR</w:t>
      </w:r>
      <w:r>
        <w:rPr>
          <w:rFonts w:ascii="Times New Roman" w:cs="Times New Roman" w:eastAsia="Times New Roman" w:hAnsi="Times New Roman"/>
          <w:sz w:val="28"/>
          <w:szCs w:val="28"/>
          <w:color w:val="auto"/>
          <w:vertAlign w:val="subscript"/>
        </w:rPr>
        <w:t>above</w:t>
      </w:r>
      <w:r>
        <w:rPr>
          <w:rFonts w:ascii="Times New Roman" w:cs="Times New Roman" w:eastAsia="Times New Roman" w:hAnsi="Times New Roman"/>
          <w:sz w:val="20"/>
          <w:szCs w:val="20"/>
          <w:color w:val="auto"/>
        </w:rPr>
        <w:t xml:space="preserve"> equal the percentile rank and TSR of the peer company performing just above Acuity, and PR</w:t>
      </w:r>
      <w:r>
        <w:rPr>
          <w:rFonts w:ascii="Times New Roman" w:cs="Times New Roman" w:eastAsia="Times New Roman" w:hAnsi="Times New Roman"/>
          <w:sz w:val="28"/>
          <w:szCs w:val="28"/>
          <w:color w:val="auto"/>
          <w:vertAlign w:val="subscript"/>
        </w:rPr>
        <w:t>below</w:t>
      </w:r>
      <w:r>
        <w:rPr>
          <w:rFonts w:ascii="Times New Roman" w:cs="Times New Roman" w:eastAsia="Times New Roman" w:hAnsi="Times New Roman"/>
          <w:sz w:val="20"/>
          <w:szCs w:val="20"/>
          <w:color w:val="auto"/>
        </w:rPr>
        <w:t xml:space="preserve"> and TSR</w:t>
      </w:r>
      <w:r>
        <w:rPr>
          <w:rFonts w:ascii="Times New Roman" w:cs="Times New Roman" w:eastAsia="Times New Roman" w:hAnsi="Times New Roman"/>
          <w:sz w:val="28"/>
          <w:szCs w:val="28"/>
          <w:color w:val="auto"/>
          <w:vertAlign w:val="subscript"/>
        </w:rPr>
        <w:t>below</w:t>
      </w:r>
      <w:r>
        <w:rPr>
          <w:rFonts w:ascii="Times New Roman" w:cs="Times New Roman" w:eastAsia="Times New Roman" w:hAnsi="Times New Roman"/>
          <w:sz w:val="20"/>
          <w:szCs w:val="20"/>
          <w:color w:val="auto"/>
        </w:rPr>
        <w:t xml:space="preserve"> equal the percentile rank and TSR of the peer company performing just below Acuity.</w:t>
      </w:r>
    </w:p>
    <w:p>
      <w:pPr>
        <w:spacing w:after="0" w:line="200" w:lineRule="exact"/>
        <w:rPr>
          <w:sz w:val="20"/>
          <w:szCs w:val="20"/>
          <w:color w:val="auto"/>
        </w:rPr>
      </w:pPr>
    </w:p>
    <w:p>
      <w:pPr>
        <w:spacing w:after="0" w:line="301"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PRAcuity = PRabove + (PRbelow − PRabove) X</w:t>
            </w:r>
          </w:p>
        </w:tc>
        <w:tc>
          <w:tcPr>
            <w:tcW w:w="2460" w:type="dxa"/>
            <w:vAlign w:val="bottom"/>
            <w:gridSpan w:val="2"/>
          </w:tcPr>
          <w:p>
            <w:pPr>
              <w:jc w:val="center"/>
              <w:ind w:left="281"/>
              <w:spacing w:after="0"/>
              <w:rPr>
                <w:sz w:val="20"/>
                <w:szCs w:val="20"/>
                <w:color w:val="auto"/>
              </w:rPr>
            </w:pPr>
            <w:r>
              <w:rPr>
                <w:rFonts w:ascii="Times New Roman" w:cs="Times New Roman" w:eastAsia="Times New Roman" w:hAnsi="Times New Roman"/>
                <w:sz w:val="20"/>
                <w:szCs w:val="20"/>
                <w:color w:val="auto"/>
                <w:w w:val="98"/>
              </w:rPr>
              <w:t>(TSRabove − TSRAcuity)</w:t>
            </w:r>
          </w:p>
        </w:tc>
        <w:tc>
          <w:tcPr>
            <w:tcW w:w="0" w:type="dxa"/>
            <w:vAlign w:val="bottom"/>
          </w:tcPr>
          <w:p>
            <w:pPr>
              <w:spacing w:after="0"/>
              <w:rPr>
                <w:sz w:val="1"/>
                <w:szCs w:val="1"/>
                <w:color w:val="auto"/>
              </w:rPr>
            </w:pPr>
          </w:p>
        </w:tc>
      </w:tr>
      <w:tr>
        <w:trPr>
          <w:trHeight w:val="337"/>
        </w:trPr>
        <w:tc>
          <w:tcPr>
            <w:tcW w:w="4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(TSRabove − TSRbelow)</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0" w:right="620"/>
        <w:spacing w:after="0" w:line="283" w:lineRule="auto"/>
        <w:rPr>
          <w:sz w:val="20"/>
          <w:szCs w:val="20"/>
          <w:color w:val="auto"/>
        </w:rPr>
      </w:pPr>
      <w:r>
        <w:rPr>
          <w:rFonts w:ascii="Times New Roman" w:cs="Times New Roman" w:eastAsia="Times New Roman" w:hAnsi="Times New Roman"/>
          <w:sz w:val="20"/>
          <w:szCs w:val="20"/>
          <w:color w:val="auto"/>
        </w:rPr>
        <w:t>If Acuity’s TSR is greater than the highest TSR of the peer companies, its TSR will be positioned at the 100th percentile. Similarly, if Acuity’s TSR is less than the lowest TSR of the peer companies, its TSR will be positioned at the 0th percentile.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Payout Example: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payout example assuming an award of 100 Target Share Units would be as follows:</w:t>
      </w:r>
    </w:p>
    <w:p>
      <w:pPr>
        <w:spacing w:after="0" w:line="25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Determine Acuity TSR. The Beginning Stock Price for Acuity was $25.01 per share and the Ending Stock Price was $41.45 per share, then the TSR for Acuity would be 65.73%. The calculation is as follows:</w:t>
      </w:r>
    </w:p>
    <w:p>
      <w:pPr>
        <w:spacing w:after="0" w:line="254" w:lineRule="exact"/>
        <w:rPr>
          <w:sz w:val="20"/>
          <w:szCs w:val="20"/>
          <w:color w:val="auto"/>
        </w:rPr>
      </w:pPr>
    </w:p>
    <w:tbl>
      <w:tblPr>
        <w:tblLayout w:type="fixed"/>
        <w:tblInd w:w="1620" w:type="dxa"/>
        <w:tblCellMar>
          <w:top w:w="0" w:type="dxa"/>
          <w:left w:w="0" w:type="dxa"/>
          <w:bottom w:w="0" w:type="dxa"/>
          <w:right w:w="0" w:type="dxa"/>
        </w:tblCellMar>
      </w:tblPr>
      <w:tr>
        <w:trPr>
          <w:trHeight w:val="258"/>
        </w:trPr>
        <w:tc>
          <w:tcPr>
            <w:tcW w:w="2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Acuity TSR =</w:t>
            </w:r>
          </w:p>
        </w:tc>
        <w:tc>
          <w:tcPr>
            <w:tcW w:w="19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($41.45 - $25.01)</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X 100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0.6573</w:t>
            </w:r>
          </w:p>
        </w:tc>
        <w:tc>
          <w:tcPr>
            <w:tcW w:w="0" w:type="dxa"/>
            <w:vAlign w:val="bottom"/>
          </w:tcPr>
          <w:p>
            <w:pPr>
              <w:spacing w:after="0"/>
              <w:rPr>
                <w:sz w:val="1"/>
                <w:szCs w:val="1"/>
                <w:color w:val="auto"/>
              </w:rPr>
            </w:pPr>
          </w:p>
        </w:tc>
      </w:tr>
      <w:tr>
        <w:trPr>
          <w:trHeight w:val="21"/>
        </w:trPr>
        <w:tc>
          <w:tcPr>
            <w:tcW w:w="2060" w:type="dxa"/>
            <w:vAlign w:val="bottom"/>
            <w:vMerge w:val="continue"/>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190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$25.01</w:t>
            </w:r>
          </w:p>
        </w:tc>
        <w:tc>
          <w:tcPr>
            <w:tcW w:w="1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 Benchmark Group rank and percentile 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185420</wp:posOffset>
            </wp:positionV>
            <wp:extent cx="1797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252" w:lineRule="exact"/>
        <w:rPr>
          <w:sz w:val="20"/>
          <w:szCs w:val="20"/>
          <w:color w:val="auto"/>
        </w:rPr>
      </w:pPr>
    </w:p>
    <w:tbl>
      <w:tblPr>
        <w:tblLayout w:type="fixed"/>
        <w:tblInd w:w="2130" w:type="dxa"/>
        <w:tblCellMar>
          <w:top w:w="0" w:type="dxa"/>
          <w:left w:w="0" w:type="dxa"/>
          <w:bottom w:w="0" w:type="dxa"/>
          <w:right w:w="0" w:type="dxa"/>
        </w:tblCellMar>
      </w:tblPr>
      <w:tr>
        <w:trPr>
          <w:trHeight w:val="302"/>
        </w:trPr>
        <w:tc>
          <w:tcPr>
            <w:tcW w:w="1160" w:type="dxa"/>
            <w:vAlign w:val="bottom"/>
            <w:tcBorders>
              <w:top w:val="single" w:sz="8" w:color="auto"/>
              <w:left w:val="single" w:sz="8" w:color="auto"/>
              <w:bottom w:val="single" w:sz="8" w:color="F2F2F2"/>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1140" w:type="dxa"/>
            <w:vAlign w:val="bottom"/>
            <w:tcBorders>
              <w:top w:val="single" w:sz="8" w:color="auto"/>
              <w:bottom w:val="single" w:sz="8" w:color="F2F2F2"/>
              <w:right w:val="single" w:sz="8" w:color="auto"/>
            </w:tcBorders>
            <w:shd w:val="clear" w:color="auto" w:fill="F2F2F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TSR</w:t>
            </w:r>
          </w:p>
        </w:tc>
        <w:tc>
          <w:tcPr>
            <w:tcW w:w="1160" w:type="dxa"/>
            <w:vAlign w:val="bottom"/>
            <w:tcBorders>
              <w:top w:val="single" w:sz="8" w:color="auto"/>
              <w:bottom w:val="single" w:sz="8" w:color="F2F2F2"/>
              <w:right w:val="single" w:sz="8" w:color="auto"/>
            </w:tcBorders>
            <w:shd w:val="clear" w:color="auto" w:fill="F2F2F2"/>
          </w:tcPr>
          <w:p>
            <w:pPr>
              <w:ind w:left="340"/>
              <w:spacing w:after="0"/>
              <w:rPr>
                <w:sz w:val="20"/>
                <w:szCs w:val="20"/>
                <w:color w:val="auto"/>
              </w:rPr>
            </w:pPr>
            <w:r>
              <w:rPr>
                <w:rFonts w:ascii="Times New Roman" w:cs="Times New Roman" w:eastAsia="Times New Roman" w:hAnsi="Times New Roman"/>
                <w:sz w:val="20"/>
                <w:szCs w:val="20"/>
                <w:b w:val="1"/>
                <w:bCs w:val="1"/>
                <w:color w:val="auto"/>
              </w:rPr>
              <w:t>Rank</w:t>
            </w:r>
          </w:p>
        </w:tc>
        <w:tc>
          <w:tcPr>
            <w:tcW w:w="1160" w:type="dxa"/>
            <w:vAlign w:val="bottom"/>
            <w:tcBorders>
              <w:top w:val="single" w:sz="8" w:color="auto"/>
              <w:bottom w:val="single" w:sz="8" w:color="F2F2F2"/>
              <w:right w:val="single" w:sz="8" w:color="auto"/>
            </w:tcBorders>
            <w:shd w:val="clear" w:color="auto" w:fill="F2F2F2"/>
          </w:tcPr>
          <w:p>
            <w:pPr>
              <w:ind w:left="140"/>
              <w:spacing w:after="0"/>
              <w:rPr>
                <w:sz w:val="20"/>
                <w:szCs w:val="20"/>
                <w:color w:val="auto"/>
              </w:rPr>
            </w:pPr>
            <w:r>
              <w:rPr>
                <w:rFonts w:ascii="Times New Roman" w:cs="Times New Roman" w:eastAsia="Times New Roman" w:hAnsi="Times New Roman"/>
                <w:sz w:val="20"/>
                <w:szCs w:val="20"/>
                <w:b w:val="1"/>
                <w:bCs w:val="1"/>
                <w:color w:val="auto"/>
              </w:rPr>
              <w:t>Percentile</w:t>
            </w:r>
          </w:p>
        </w:tc>
      </w:tr>
      <w:tr>
        <w:trPr>
          <w:trHeight w:val="256"/>
        </w:trPr>
        <w:tc>
          <w:tcPr>
            <w:tcW w:w="11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A</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95.54%</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100.00%</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B</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92.53%</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92.30%</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C</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91.19%</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84.61%</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D</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71.00%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76.92%</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65.87%</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69.23%</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F</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62.56%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61.53%</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G</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46.59%</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53.84%</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H</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46.29%</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46.15%</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I</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38.46%</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J</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37.92%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10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30.76%</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K</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24.70%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11</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23.07%</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9.62%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12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15.38%</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M</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7.46%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13</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7.69%</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Company N</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0.95%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14</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0.00%</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350"/>
        </w:trPr>
        <w:tc>
          <w:tcPr>
            <w:tcW w:w="11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Acuity Inc.</w:t>
            </w:r>
          </w:p>
        </w:tc>
        <w:tc>
          <w:tcPr>
            <w:tcW w:w="114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65.73%</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-234315</wp:posOffset>
            </wp:positionV>
            <wp:extent cx="825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8255" cy="25717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 the relative percentile rank of Acuity’s TSR within the Benchmark Group.</w:t>
      </w:r>
    </w:p>
    <w:p>
      <w:pPr>
        <w:spacing w:after="0" w:line="278"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PRAcuity = 69.23% + (61.53% − 69.23%) X</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(65.</w:t>
            </w:r>
            <w:r>
              <w:rPr>
                <w:rFonts w:ascii="Times New Roman" w:cs="Times New Roman" w:eastAsia="Times New Roman" w:hAnsi="Times New Roman"/>
                <w:sz w:val="20"/>
                <w:szCs w:val="20"/>
                <w:u w:val="single" w:color="auto"/>
                <w:color w:val="auto"/>
                <w:w w:val="97"/>
              </w:rPr>
              <w:t>87%</w:t>
            </w:r>
            <w:r>
              <w:rPr>
                <w:rFonts w:ascii="Times New Roman" w:cs="Times New Roman" w:eastAsia="Times New Roman" w:hAnsi="Times New Roman"/>
                <w:sz w:val="20"/>
                <w:szCs w:val="20"/>
                <w:color w:val="auto"/>
                <w:w w:val="97"/>
              </w:rPr>
              <w:t xml:space="preserve"> − 65.73%)</w:t>
            </w:r>
          </w:p>
        </w:tc>
        <w:tc>
          <w:tcPr>
            <w:tcW w:w="0" w:type="dxa"/>
            <w:vAlign w:val="bottom"/>
          </w:tcPr>
          <w:p>
            <w:pPr>
              <w:spacing w:after="0"/>
              <w:rPr>
                <w:sz w:val="1"/>
                <w:szCs w:val="1"/>
                <w:color w:val="auto"/>
              </w:rPr>
            </w:pPr>
          </w:p>
        </w:tc>
      </w:tr>
      <w:tr>
        <w:trPr>
          <w:trHeight w:val="337"/>
        </w:trPr>
        <w:tc>
          <w:tcPr>
            <w:tcW w:w="4540" w:type="dxa"/>
            <w:vAlign w:val="bottom"/>
            <w:vMerge w:val="continue"/>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(65.87% − 62.56%)</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PRAcuity = </w:t>
      </w:r>
      <w:r>
        <w:rPr>
          <w:rFonts w:ascii="Times New Roman" w:cs="Times New Roman" w:eastAsia="Times New Roman" w:hAnsi="Times New Roman"/>
          <w:sz w:val="20"/>
          <w:szCs w:val="20"/>
          <w:b w:val="1"/>
          <w:bCs w:val="1"/>
          <w:color w:val="auto"/>
        </w:rPr>
        <w:t>68.90%</w:t>
      </w:r>
    </w:p>
    <w:p>
      <w:pPr>
        <w:spacing w:after="0" w:line="24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9"/>
          <w:szCs w:val="19"/>
          <w:color w:val="auto"/>
        </w:rPr>
        <w:t>A 68.90% percentile rank results in an achievement level of between Target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Maximum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above). The payout percentage would be interpolated between 100% and 200% to be 176%. The number of shares earned as a result are as follows: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100 Target Shares x 176% payout percentage = </w:t>
      </w:r>
      <w:r>
        <w:rPr>
          <w:rFonts w:ascii="Times New Roman" w:cs="Times New Roman" w:eastAsia="Times New Roman" w:hAnsi="Times New Roman"/>
          <w:sz w:val="20"/>
          <w:szCs w:val="20"/>
          <w:b w:val="1"/>
          <w:bCs w:val="1"/>
          <w:color w:val="auto"/>
        </w:rPr>
        <w:t>176 shares earned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14"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S&amp;P 400 Capital Goods Index - 45 Companies</w:t>
      </w:r>
    </w:p>
    <w:p>
      <w:pPr>
        <w:spacing w:after="0" w:line="24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S&amp;P 400 Capital Goods Index (the “Benchmark Group”) will be considered “closed” as of September 1, 2022, with no new companies being added subsequent to the establishment of the Benchmark Group.</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AECOM</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Axon Enterprise,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Builders FirstSource,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Carlisle Companies Incorporated</w:t>
      </w:r>
    </w:p>
    <w:p>
      <w:pPr>
        <w:spacing w:after="0" w:line="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Chart Industries,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Crane Holdings Incorporated</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Curtiss-Wright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Donaldson Company,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Dycom Industries,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EMCOR Group,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EnerSys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ESAB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Flowserve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Fluor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GATX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Graco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Hexcel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Hubbell Incorporated</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ITT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Kennametal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Lennox International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Lincoln Electric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MasTec,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MDU Resources Group,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Mercury Systems,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MSC Industrial Direct Co.,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nVent Electric plc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Oshkosh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Owens Corning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Regal Rexnord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Simpson Manufacturing Co.,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SunPower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Sunrun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Terex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Middleby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Timken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Trex Company,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Univar Solutions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Valmont Industries,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Vicor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Watsco,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Watts Water Technologies,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Woodward, Inc.</w:t>
      </w:r>
    </w:p>
    <w:p>
      <w:pPr>
        <w:spacing w:after="0" w:line="483" w:lineRule="exact"/>
        <w:rPr>
          <w:sz w:val="20"/>
          <w:szCs w:val="20"/>
          <w:color w:val="auto"/>
        </w:rPr>
      </w:pPr>
    </w:p>
    <w:p>
      <w:pPr>
        <w:sectPr>
          <w:pgSz w:w="11900" w:h="16838" w:orient="portrait"/>
          <w:cols w:equalWidth="0" w:num="2">
            <w:col w:w="3960" w:space="720"/>
            <w:col w:w="656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14" w:right="339"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ADDITIONAL TERMS AND CONDITIONS FOR GRANTEES OUTSIDE THE U.S.</w:t>
      </w:r>
    </w:p>
    <w:p>
      <w:pPr>
        <w:spacing w:after="0" w:line="2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120"/>
          </w:cols>
          <w:pgMar w:left="1440" w:top="11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CONFIDENTIALITY, INVENTIONS, NON-SOLICITATION AND NON-COMPETITION PROVISIONS</w:t>
      </w:r>
    </w:p>
    <w:p>
      <w:pPr>
        <w:spacing w:after="0" w:line="229"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9"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“Confidential Information” means the following:</w:t>
      </w:r>
    </w:p>
    <w:p>
      <w:pPr>
        <w:spacing w:after="0" w:line="219" w:lineRule="exact"/>
        <w:rPr>
          <w:rFonts w:ascii="Times New Roman" w:cs="Times New Roman" w:eastAsia="Times New Roman" w:hAnsi="Times New Roman"/>
          <w:sz w:val="20"/>
          <w:szCs w:val="20"/>
          <w:b w:val="1"/>
          <w:bCs w:val="1"/>
          <w:color w:val="auto"/>
        </w:rPr>
      </w:pPr>
    </w:p>
    <w:p>
      <w:pPr>
        <w:jc w:val="both"/>
        <w:ind w:left="820" w:hanging="164"/>
        <w:spacing w:after="0" w:line="263" w:lineRule="auto"/>
        <w:tabs>
          <w:tab w:leader="none" w:pos="816"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Times New Roman" w:cs="Times New Roman" w:eastAsia="Times New Roman" w:hAnsi="Times New Roman"/>
          <w:sz w:val="19"/>
          <w:szCs w:val="19"/>
          <w:u w:val="single" w:color="auto"/>
          <w:color w:val="auto"/>
        </w:rPr>
        <w:t>and</w:t>
      </w:r>
      <w:r>
        <w:rPr>
          <w:rFonts w:ascii="Times New Roman" w:cs="Times New Roman" w:eastAsia="Times New Roman" w:hAnsi="Times New Roman"/>
          <w:sz w:val="19"/>
          <w:szCs w:val="19"/>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3" w:lineRule="exact"/>
        <w:rPr>
          <w:rFonts w:ascii="Times New Roman" w:cs="Times New Roman" w:eastAsia="Times New Roman" w:hAnsi="Times New Roman"/>
          <w:sz w:val="19"/>
          <w:szCs w:val="19"/>
          <w:color w:val="auto"/>
        </w:rPr>
      </w:pPr>
    </w:p>
    <w:p>
      <w:pPr>
        <w:jc w:val="both"/>
        <w:ind w:left="820"/>
        <w:spacing w:after="0" w:line="26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ii.Confidential Information shall not include:</w:t>
      </w:r>
    </w:p>
    <w:p>
      <w:pPr>
        <w:spacing w:after="0" w:line="216" w:lineRule="exact"/>
        <w:rPr>
          <w:sz w:val="20"/>
          <w:szCs w:val="20"/>
          <w:color w:val="auto"/>
        </w:rPr>
      </w:pPr>
    </w:p>
    <w:p>
      <w:pPr>
        <w:ind w:left="1220" w:hanging="321"/>
        <w:spacing w:after="0"/>
        <w:tabs>
          <w:tab w:leader="none" w:pos="122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generally available to the public other than as a result of improper disclosure by Grantee;</w:t>
      </w:r>
    </w:p>
    <w:p>
      <w:pPr>
        <w:spacing w:after="0" w:line="229" w:lineRule="exact"/>
        <w:rPr>
          <w:rFonts w:ascii="Times New Roman" w:cs="Times New Roman" w:eastAsia="Times New Roman" w:hAnsi="Times New Roman"/>
          <w:sz w:val="20"/>
          <w:szCs w:val="20"/>
          <w:color w:val="auto"/>
        </w:rPr>
      </w:pPr>
    </w:p>
    <w:p>
      <w:pPr>
        <w:ind w:left="1220" w:hanging="321"/>
        <w:spacing w:after="0" w:line="283" w:lineRule="auto"/>
        <w:tabs>
          <w:tab w:leader="none" w:pos="120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46" w:lineRule="exact"/>
        <w:rPr>
          <w:rFonts w:ascii="Times New Roman" w:cs="Times New Roman" w:eastAsia="Times New Roman" w:hAnsi="Times New Roman"/>
          <w:sz w:val="20"/>
          <w:szCs w:val="20"/>
          <w:color w:val="auto"/>
        </w:rPr>
      </w:pPr>
    </w:p>
    <w:p>
      <w:pPr>
        <w:ind w:left="1220" w:hanging="321"/>
        <w:spacing w:after="0"/>
        <w:tabs>
          <w:tab w:leader="none" w:pos="122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disclosed pursuant to law, regulations or pursuant to a subpoena, court order or legal process; and/or</w:t>
      </w:r>
    </w:p>
    <w:p>
      <w:pPr>
        <w:spacing w:after="0" w:line="229" w:lineRule="exact"/>
        <w:rPr>
          <w:rFonts w:ascii="Times New Roman" w:cs="Times New Roman" w:eastAsia="Times New Roman" w:hAnsi="Times New Roman"/>
          <w:sz w:val="20"/>
          <w:szCs w:val="20"/>
          <w:color w:val="auto"/>
        </w:rPr>
      </w:pPr>
    </w:p>
    <w:p>
      <w:pPr>
        <w:ind w:left="1220" w:hanging="321"/>
        <w:spacing w:after="0"/>
        <w:tabs>
          <w:tab w:leader="none" w:pos="122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obtained in filings with the Securities and Exchange Commission.</w:t>
      </w:r>
    </w:p>
    <w:p>
      <w:pPr>
        <w:spacing w:after="0" w:line="211"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b w:val="1"/>
          <w:bCs w:val="1"/>
          <w:color w:val="auto"/>
        </w:rPr>
        <w:t>“Trade Secrets”</w:t>
      </w:r>
      <w:r>
        <w:rPr>
          <w:rFonts w:ascii="Times New Roman" w:cs="Times New Roman" w:eastAsia="Times New Roman" w:hAnsi="Times New Roman"/>
          <w:sz w:val="20"/>
          <w:szCs w:val="20"/>
          <w:color w:val="auto"/>
        </w:rPr>
        <w:t xml:space="preserve"> has the meaning set forth under Georgia law, O.C.G.A. §§ 10-1-760,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1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28" w:hanging="328"/>
        <w:spacing w:after="0" w:line="270" w:lineRule="auto"/>
        <w:tabs>
          <w:tab w:leader="none" w:pos="32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“Customers” </w:t>
      </w:r>
      <w:r>
        <w:rPr>
          <w:rFonts w:ascii="Times New Roman" w:cs="Times New Roman" w:eastAsia="Times New Roman" w:hAnsi="Times New Roman"/>
          <w:sz w:val="19"/>
          <w:szCs w:val="19"/>
          <w:color w:val="auto"/>
        </w:rPr>
        <w:t>means those entities and/or individuals which, within the two-year period preceding the Date of Termination (as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58"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means Acuity Inc. (previously known as Acuity Brands, Inc.), along with its Subsidiaries or other Affiliates.</w:t>
      </w:r>
    </w:p>
    <w:p>
      <w:pPr>
        <w:spacing w:after="0" w:line="229" w:lineRule="exact"/>
        <w:rPr>
          <w:rFonts w:ascii="Times New Roman" w:cs="Times New Roman" w:eastAsia="Times New Roman" w:hAnsi="Times New Roman"/>
          <w:sz w:val="20"/>
          <w:szCs w:val="20"/>
          <w:color w:val="auto"/>
        </w:rPr>
      </w:pPr>
    </w:p>
    <w:p>
      <w:pPr>
        <w:jc w:val="both"/>
        <w:ind w:left="328" w:hanging="328"/>
        <w:spacing w:after="0" w:line="250" w:lineRule="auto"/>
        <w:tabs>
          <w:tab w:leader="none" w:pos="32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“Company’s Business” </w:t>
      </w:r>
      <w:r>
        <w:rPr>
          <w:rFonts w:ascii="Times New Roman" w:cs="Times New Roman" w:eastAsia="Times New Roman" w:hAnsi="Times New Roman"/>
          <w:sz w:val="20"/>
          <w:szCs w:val="20"/>
          <w:color w:val="auto"/>
        </w:rPr>
        <w:t>means the design, manufacture, installation, servicing, and/or sale of one or more of the following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79" w:lineRule="exact"/>
        <w:rPr>
          <w:rFonts w:ascii="Times New Roman" w:cs="Times New Roman" w:eastAsia="Times New Roman" w:hAnsi="Times New Roman"/>
          <w:sz w:val="20"/>
          <w:szCs w:val="20"/>
          <w:color w:val="auto"/>
        </w:rPr>
      </w:pPr>
    </w:p>
    <w:p>
      <w:pPr>
        <w:ind w:left="328" w:hanging="328"/>
        <w:spacing w:after="0" w:line="287" w:lineRule="auto"/>
        <w:tabs>
          <w:tab w:leader="none" w:pos="31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Services” </w:t>
      </w:r>
      <w:r>
        <w:rPr>
          <w:rFonts w:ascii="Times New Roman" w:cs="Times New Roman" w:eastAsia="Times New Roman" w:hAnsi="Times New Roman"/>
          <w:sz w:val="20"/>
          <w:szCs w:val="20"/>
          <w:color w:val="auto"/>
        </w:rPr>
        <w:t>shall mean the duties and services of the type conducted, authorized, offered, or provided by Grantee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capacity as an Employee on behalf of the Company within twelve (12) months prior to the Date of Termination.</w:t>
      </w:r>
    </w:p>
    <w:p>
      <w:pPr>
        <w:spacing w:after="0" w:line="138" w:lineRule="exact"/>
        <w:rPr>
          <w:rFonts w:ascii="Times New Roman" w:cs="Times New Roman" w:eastAsia="Times New Roman" w:hAnsi="Times New Roman"/>
          <w:sz w:val="20"/>
          <w:szCs w:val="20"/>
          <w:color w:val="auto"/>
        </w:rPr>
      </w:pPr>
    </w:p>
    <w:p>
      <w:pPr>
        <w:jc w:val="both"/>
        <w:ind w:left="328" w:hanging="328"/>
        <w:spacing w:after="0" w:line="252" w:lineRule="auto"/>
        <w:tabs>
          <w:tab w:leader="none" w:pos="3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country in which Grantee is employed by the Company (the “Country”). Grantee acknowledges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87"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“Material Contact” </w:t>
      </w:r>
      <w:r>
        <w:rPr>
          <w:rFonts w:ascii="Times New Roman" w:cs="Times New Roman" w:eastAsia="Times New Roman" w:hAnsi="Times New Roman"/>
          <w:sz w:val="20"/>
          <w:szCs w:val="20"/>
          <w:color w:val="auto"/>
        </w:rPr>
        <w:t>shall have the meaning set forth in O.C.G.A. § 13-8-51(10), which includes contact between an employee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Customer or potential Customer: with whom or which Grantee dealt on behalf of the Company; whose dealings with the Company were coordinated or supervised by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908"/>
          </w:cols>
          <w:pgMar w:left="652" w:top="11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77" w:lineRule="exact"/>
        <w:rPr>
          <w:sz w:val="20"/>
          <w:szCs w:val="20"/>
          <w:color w:val="auto"/>
        </w:rPr>
      </w:pPr>
    </w:p>
    <w:p>
      <w:pPr>
        <w:ind w:left="660" w:hanging="328"/>
        <w:spacing w:after="0" w:line="273" w:lineRule="auto"/>
        <w:tabs>
          <w:tab w:leader="none" w:pos="65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“Terminated for Cause” </w:t>
      </w:r>
      <w:r>
        <w:rPr>
          <w:rFonts w:ascii="Times New Roman" w:cs="Times New Roman" w:eastAsia="Times New Roman" w:hAnsi="Times New Roman"/>
          <w:sz w:val="20"/>
          <w:szCs w:val="20"/>
          <w:color w:val="auto"/>
        </w:rPr>
        <w:t>shall mean the involuntary termination of Grantee by the Company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reasons:</w:t>
      </w:r>
    </w:p>
    <w:p>
      <w:pPr>
        <w:spacing w:after="0" w:line="169" w:lineRule="exact"/>
        <w:rPr>
          <w:sz w:val="20"/>
          <w:szCs w:val="20"/>
          <w:color w:val="auto"/>
        </w:rPr>
      </w:pPr>
    </w:p>
    <w:p>
      <w:pPr>
        <w:ind w:left="820" w:hanging="161"/>
        <w:spacing w:after="0" w:line="269" w:lineRule="auto"/>
        <w:rPr>
          <w:sz w:val="20"/>
          <w:szCs w:val="20"/>
          <w:color w:val="auto"/>
        </w:rPr>
      </w:pPr>
      <w:r>
        <w:rPr>
          <w:rFonts w:ascii="Times New Roman" w:cs="Times New Roman" w:eastAsia="Times New Roman" w:hAnsi="Times New Roman"/>
          <w:sz w:val="20"/>
          <w:szCs w:val="20"/>
          <w:color w:val="auto"/>
        </w:rPr>
        <w:t>i. If termination shall have been the result of an act or acts by Grantee which constitute an indictable offense, a felony or any crime involving dishonesty, theft, fraud or moral turpitude;</w:t>
      </w:r>
    </w:p>
    <w:p>
      <w:pPr>
        <w:spacing w:after="0" w:line="173" w:lineRule="exact"/>
        <w:rPr>
          <w:sz w:val="20"/>
          <w:szCs w:val="20"/>
          <w:color w:val="auto"/>
        </w:rPr>
      </w:pPr>
    </w:p>
    <w:p>
      <w:pPr>
        <w:ind w:left="820" w:hanging="161"/>
        <w:spacing w:after="0" w:line="283" w:lineRule="auto"/>
        <w:rPr>
          <w:sz w:val="20"/>
          <w:szCs w:val="20"/>
          <w:color w:val="auto"/>
        </w:rPr>
      </w:pPr>
      <w:r>
        <w:rPr>
          <w:rFonts w:ascii="Times New Roman" w:cs="Times New Roman" w:eastAsia="Times New Roman" w:hAnsi="Times New Roman"/>
          <w:sz w:val="20"/>
          <w:szCs w:val="20"/>
          <w:color w:val="auto"/>
        </w:rPr>
        <w:t>ii.If termination shall have been the result of an act or acts by Grantee which are determined, in the good faith judgment of the Company, to be in violation of written policies of the Company;</w:t>
      </w:r>
    </w:p>
    <w:p>
      <w:pPr>
        <w:spacing w:after="0" w:line="146" w:lineRule="exact"/>
        <w:rPr>
          <w:sz w:val="20"/>
          <w:szCs w:val="20"/>
          <w:color w:val="auto"/>
        </w:rPr>
      </w:pPr>
    </w:p>
    <w:p>
      <w:pPr>
        <w:ind w:left="820" w:right="20" w:hanging="164"/>
        <w:spacing w:after="0" w:line="283" w:lineRule="auto"/>
        <w:tabs>
          <w:tab w:leader="none" w:pos="130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46" w:lineRule="exact"/>
        <w:rPr>
          <w:rFonts w:ascii="Times New Roman" w:cs="Times New Roman" w:eastAsia="Times New Roman" w:hAnsi="Times New Roman"/>
          <w:sz w:val="20"/>
          <w:szCs w:val="20"/>
          <w:color w:val="auto"/>
        </w:rPr>
      </w:pPr>
    </w:p>
    <w:p>
      <w:pPr>
        <w:jc w:val="both"/>
        <w:ind w:left="820" w:hanging="164"/>
        <w:spacing w:after="0" w:line="258" w:lineRule="auto"/>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86" w:lineRule="exact"/>
        <w:rPr>
          <w:sz w:val="20"/>
          <w:szCs w:val="20"/>
          <w:color w:val="auto"/>
        </w:rPr>
      </w:pPr>
    </w:p>
    <w:p>
      <w:pPr>
        <w:ind w:left="820" w:right="20" w:hanging="161"/>
        <w:spacing w:after="0" w:line="269" w:lineRule="auto"/>
        <w:rPr>
          <w:sz w:val="20"/>
          <w:szCs w:val="20"/>
          <w:color w:val="auto"/>
        </w:rPr>
      </w:pPr>
      <w:r>
        <w:rPr>
          <w:rFonts w:ascii="Times New Roman" w:cs="Times New Roman" w:eastAsia="Times New Roman" w:hAnsi="Times New Roman"/>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69" w:lineRule="exact"/>
        <w:rPr>
          <w:sz w:val="20"/>
          <w:szCs w:val="20"/>
          <w:color w:val="auto"/>
        </w:rPr>
      </w:pPr>
    </w:p>
    <w:p>
      <w:pPr>
        <w:jc w:val="both"/>
        <w:ind w:left="660" w:hanging="328"/>
        <w:spacing w:after="0" w:line="254" w:lineRule="auto"/>
        <w:tabs>
          <w:tab w:leader="none" w:pos="65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“Works For Hire.” </w:t>
      </w:r>
      <w:r>
        <w:rPr>
          <w:rFonts w:ascii="Times New Roman" w:cs="Times New Roman" w:eastAsia="Times New Roman" w:hAnsi="Times New Roman"/>
          <w:sz w:val="20"/>
          <w:szCs w:val="20"/>
          <w:color w:val="auto"/>
        </w:rPr>
        <w:t>The term “Invention” means contributions, discoveries, improvements and ideas and works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7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w:t>
      </w:r>
    </w:p>
    <w:p>
      <w:pPr>
        <w:spacing w:after="0" w:line="229" w:lineRule="exact"/>
        <w:rPr>
          <w:rFonts w:ascii="Times New Roman" w:cs="Times New Roman" w:eastAsia="Times New Roman" w:hAnsi="Times New Roman"/>
          <w:sz w:val="20"/>
          <w:szCs w:val="20"/>
          <w:b w:val="1"/>
          <w:bCs w:val="1"/>
          <w:color w:val="auto"/>
        </w:rPr>
      </w:pPr>
    </w:p>
    <w:p>
      <w:pPr>
        <w:jc w:val="both"/>
        <w:ind w:left="660" w:hanging="328"/>
        <w:spacing w:after="0" w:line="252" w:lineRule="auto"/>
        <w:tabs>
          <w:tab w:leader="none" w:pos="65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Purpose and Reasonableness of Provisions. </w:t>
      </w:r>
      <w:r>
        <w:rPr>
          <w:rFonts w:ascii="Times New Roman" w:cs="Times New Roman" w:eastAsia="Times New Roman" w:hAnsi="Times New Roman"/>
          <w:sz w:val="20"/>
          <w:szCs w:val="20"/>
          <w:color w:val="auto"/>
        </w:rPr>
        <w:t>Grantee acknowledges that, during the term of his/her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74" w:lineRule="exact"/>
        <w:rPr>
          <w:rFonts w:ascii="Times New Roman" w:cs="Times New Roman" w:eastAsia="Times New Roman" w:hAnsi="Times New Roman"/>
          <w:sz w:val="20"/>
          <w:szCs w:val="20"/>
          <w:color w:val="auto"/>
        </w:rPr>
      </w:pPr>
    </w:p>
    <w:p>
      <w:pPr>
        <w:ind w:left="660" w:hanging="328"/>
        <w:spacing w:after="0" w:line="287" w:lineRule="auto"/>
        <w:tabs>
          <w:tab w:leader="none" w:pos="65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Trade Secrets and Confidential Information. </w:t>
      </w:r>
      <w:r>
        <w:rPr>
          <w:rFonts w:ascii="Times New Roman" w:cs="Times New Roman" w:eastAsia="Times New Roman" w:hAnsi="Times New Roman"/>
          <w:sz w:val="20"/>
          <w:szCs w:val="20"/>
          <w:color w:val="auto"/>
        </w:rPr>
        <w:t>Grantee agrees that he/she shall protect the Company’s Trade Secrets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1(b) above) and Confidential Information (as defined in Section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328"/>
        <w:spacing w:after="0" w:line="251" w:lineRule="auto"/>
        <w:rPr>
          <w:sz w:val="20"/>
          <w:szCs w:val="20"/>
          <w:color w:val="auto"/>
        </w:rPr>
      </w:pPr>
      <w:r>
        <w:rPr>
          <w:rFonts w:ascii="Times New Roman" w:cs="Times New Roman" w:eastAsia="Times New Roman" w:hAnsi="Times New Roman"/>
          <w:sz w:val="20"/>
          <w:szCs w:val="20"/>
          <w:color w:val="auto"/>
        </w:rPr>
        <w:t>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93" w:lineRule="exact"/>
        <w:rPr>
          <w:sz w:val="20"/>
          <w:szCs w:val="20"/>
          <w:color w:val="auto"/>
        </w:rPr>
      </w:pPr>
    </w:p>
    <w:p>
      <w:pPr>
        <w:jc w:val="both"/>
        <w:ind w:left="308"/>
        <w:spacing w:after="0" w:line="258" w:lineRule="auto"/>
        <w:rPr>
          <w:sz w:val="20"/>
          <w:szCs w:val="20"/>
          <w:color w:val="auto"/>
        </w:rPr>
      </w:pPr>
      <w:r>
        <w:rPr>
          <w:rFonts w:ascii="Times New Roman" w:cs="Times New Roman" w:eastAsia="Times New Roman" w:hAnsi="Times New Roman"/>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72" w:lineRule="exact"/>
        <w:rPr>
          <w:sz w:val="20"/>
          <w:szCs w:val="20"/>
          <w:color w:val="auto"/>
        </w:rPr>
      </w:pPr>
    </w:p>
    <w:p>
      <w:pPr>
        <w:jc w:val="both"/>
        <w:ind w:left="308"/>
        <w:spacing w:after="0" w:line="258" w:lineRule="auto"/>
        <w:rPr>
          <w:sz w:val="20"/>
          <w:szCs w:val="20"/>
          <w:color w:val="auto"/>
        </w:rPr>
      </w:pPr>
      <w:r>
        <w:rPr>
          <w:rFonts w:ascii="Times New Roman" w:cs="Times New Roman" w:eastAsia="Times New Roman" w:hAnsi="Times New Roman"/>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82" w:lineRule="exact"/>
        <w:rPr>
          <w:sz w:val="20"/>
          <w:szCs w:val="20"/>
          <w:color w:val="auto"/>
        </w:rPr>
      </w:pPr>
    </w:p>
    <w:p>
      <w:pPr>
        <w:jc w:val="both"/>
        <w:ind w:left="328" w:hanging="328"/>
        <w:spacing w:after="0" w:line="252" w:lineRule="auto"/>
        <w:tabs>
          <w:tab w:leader="none" w:pos="3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Property</w:t>
      </w:r>
      <w:r>
        <w:rPr>
          <w:rFonts w:ascii="Times New Roman" w:cs="Times New Roman" w:eastAsia="Times New Roman" w:hAnsi="Times New Roman"/>
          <w:sz w:val="20"/>
          <w:szCs w:val="20"/>
          <w:color w:val="auto"/>
        </w:rPr>
        <w:t>. On or before the Date of Termination, Grantee agrees to deliver promptly to the Company all files, customer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86" w:lineRule="exact"/>
        <w:rPr>
          <w:rFonts w:ascii="Times New Roman" w:cs="Times New Roman" w:eastAsia="Times New Roman" w:hAnsi="Times New Roman"/>
          <w:sz w:val="20"/>
          <w:szCs w:val="20"/>
          <w:color w:val="auto"/>
        </w:rPr>
      </w:pPr>
    </w:p>
    <w:p>
      <w:pPr>
        <w:jc w:val="both"/>
        <w:ind w:left="328" w:hanging="328"/>
        <w:spacing w:after="0" w:line="254" w:lineRule="auto"/>
        <w:tabs>
          <w:tab w:leader="none" w:pos="3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does hereby assign to the Company the entire right, title and interest in any Invention which is or was made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86" w:lineRule="exact"/>
        <w:rPr>
          <w:rFonts w:ascii="Times New Roman" w:cs="Times New Roman" w:eastAsia="Times New Roman" w:hAnsi="Times New Roman"/>
          <w:sz w:val="20"/>
          <w:szCs w:val="20"/>
          <w:color w:val="auto"/>
        </w:rPr>
      </w:pPr>
    </w:p>
    <w:p>
      <w:pPr>
        <w:ind w:left="328" w:right="6960" w:hanging="328"/>
        <w:spacing w:after="0" w:line="474" w:lineRule="auto"/>
        <w:tabs>
          <w:tab w:leader="none" w:pos="32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In the event that Grantee,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voluntarily resigns from the Company,</w:t>
      </w:r>
    </w:p>
    <w:p>
      <w:pPr>
        <w:ind w:left="328"/>
        <w:spacing w:after="0"/>
        <w:rPr>
          <w:sz w:val="20"/>
          <w:szCs w:val="20"/>
          <w:color w:val="auto"/>
        </w:rPr>
      </w:pPr>
      <w:r>
        <w:rPr>
          <w:rFonts w:ascii="Times New Roman" w:cs="Times New Roman" w:eastAsia="Times New Roman" w:hAnsi="Times New Roman"/>
          <w:sz w:val="20"/>
          <w:szCs w:val="20"/>
          <w:color w:val="auto"/>
        </w:rPr>
        <w:t>ii.is Terminated for Cause (as defined above), or</w:t>
      </w:r>
    </w:p>
    <w:p>
      <w:pPr>
        <w:spacing w:after="0" w:line="216" w:lineRule="exact"/>
        <w:rPr>
          <w:sz w:val="20"/>
          <w:szCs w:val="20"/>
          <w:color w:val="auto"/>
        </w:rPr>
      </w:pPr>
    </w:p>
    <w:p>
      <w:pPr>
        <w:ind w:left="488" w:right="20" w:hanging="164"/>
        <w:spacing w:after="0" w:line="283" w:lineRule="auto"/>
        <w:tabs>
          <w:tab w:leader="none" w:pos="97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46" w:lineRule="exact"/>
        <w:rPr>
          <w:sz w:val="20"/>
          <w:szCs w:val="20"/>
          <w:color w:val="auto"/>
        </w:rPr>
      </w:pPr>
    </w:p>
    <w:p>
      <w:pPr>
        <w:jc w:val="both"/>
        <w:ind w:left="308" w:right="20"/>
        <w:spacing w:after="0" w:line="268"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908"/>
          </w:cols>
          <w:pgMar w:left="652" w:top="11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191" w:lineRule="exact"/>
        <w:rPr>
          <w:sz w:val="20"/>
          <w:szCs w:val="20"/>
          <w:color w:val="auto"/>
        </w:rPr>
      </w:pPr>
    </w:p>
    <w:p>
      <w:pPr>
        <w:jc w:val="both"/>
        <w:ind w:left="660" w:hanging="328"/>
        <w:spacing w:after="0" w:line="255" w:lineRule="auto"/>
        <w:tabs>
          <w:tab w:leader="none" w:pos="642"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Grantee acknowledges and agrees that during his/her employment, and for twenty-four (24)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83"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5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7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5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Sales Agents. </w:t>
      </w:r>
      <w:r>
        <w:rPr>
          <w:rFonts w:ascii="Times New Roman" w:cs="Times New Roman" w:eastAsia="Times New Roman" w:hAnsi="Times New Roman"/>
          <w:sz w:val="20"/>
          <w:szCs w:val="20"/>
          <w:color w:val="auto"/>
        </w:rPr>
        <w:t>Grantee acknowledges and agrees that during his/her employment, and for a period of 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73"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5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Injunctive Relief. </w:t>
      </w:r>
      <w:r>
        <w:rPr>
          <w:rFonts w:ascii="Times New Roman" w:cs="Times New Roman" w:eastAsia="Times New Roman" w:hAnsi="Times New Roman"/>
          <w:sz w:val="20"/>
          <w:szCs w:val="20"/>
          <w:color w:val="auto"/>
        </w:rPr>
        <w:t>Grantee acknowledges that if he/she breaches or threatens to breach any of the provisions of this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86" w:lineRule="exact"/>
        <w:rPr>
          <w:rFonts w:ascii="Times New Roman" w:cs="Times New Roman" w:eastAsia="Times New Roman" w:hAnsi="Times New Roman"/>
          <w:sz w:val="20"/>
          <w:szCs w:val="20"/>
          <w:color w:val="auto"/>
        </w:rPr>
      </w:pPr>
    </w:p>
    <w:p>
      <w:pPr>
        <w:jc w:val="both"/>
        <w:ind w:left="340" w:right="20" w:hanging="332"/>
        <w:spacing w:after="0" w:line="263" w:lineRule="auto"/>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Non-Assignable by Grantee</w:t>
      </w:r>
      <w:r>
        <w:rPr>
          <w:rFonts w:ascii="Times New Roman" w:cs="Times New Roman" w:eastAsia="Times New Roman" w:hAnsi="Times New Roman"/>
          <w:sz w:val="20"/>
          <w:szCs w:val="20"/>
          <w:color w:val="auto"/>
        </w:rPr>
        <w:t>. The parties acknowledge that the Confidentiality Provisions have been entered into due to, among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things, the special skills and knowledge of Grantee, and agree that the Confidentiality Provisions may not be assigned or transferred by Grantee.</w:t>
      </w:r>
    </w:p>
    <w:p>
      <w:pPr>
        <w:spacing w:after="0" w:line="175"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requests, demands and other communications required or permitted hereunder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delivered or seven days after mailing if mailed first class, certified mail, postage prepaid, addressed as follows:</w:t>
      </w:r>
    </w:p>
    <w:p>
      <w:pPr>
        <w:spacing w:after="0" w:line="166"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20"/>
          <w:szCs w:val="20"/>
          <w:color w:val="auto"/>
        </w:rPr>
        <w:t>If to the Company:</w:t>
      </w:r>
      <w:r>
        <w:rPr>
          <w:sz w:val="20"/>
          <w:szCs w:val="20"/>
          <w:color w:val="auto"/>
        </w:rPr>
        <w:tab/>
      </w:r>
      <w:r>
        <w:rPr>
          <w:rFonts w:ascii="Times New Roman" w:cs="Times New Roman" w:eastAsia="Times New Roman" w:hAnsi="Times New Roman"/>
          <w:sz w:val="19"/>
          <w:szCs w:val="19"/>
          <w:color w:val="auto"/>
        </w:rPr>
        <w:t>Acuity Inc.</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Attention: Corporate Secretary</w:t>
      </w:r>
    </w:p>
    <w:p>
      <w:pPr>
        <w:spacing w:after="0" w:line="1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1170 Peachtree Street, NE, Suite 1200</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Atlanta, Georgia 30309-7676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1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20"/>
          <w:szCs w:val="20"/>
          <w:color w:val="auto"/>
        </w:rPr>
        <w:t>If to Grantee:</w:t>
      </w:r>
      <w:r>
        <w:rPr>
          <w:sz w:val="20"/>
          <w:szCs w:val="20"/>
          <w:color w:val="auto"/>
        </w:rPr>
        <w:tab/>
      </w:r>
      <w:r>
        <w:rPr>
          <w:rFonts w:ascii="Times New Roman" w:cs="Times New Roman" w:eastAsia="Times New Roman" w:hAnsi="Times New Roman"/>
          <w:sz w:val="19"/>
          <w:szCs w:val="19"/>
          <w:color w:val="auto"/>
        </w:rPr>
        <w:t>To his or her last known address on file with the Company.</w:t>
      </w:r>
    </w:p>
    <w:p>
      <w:pPr>
        <w:spacing w:after="0" w:line="216" w:lineRule="exact"/>
        <w:rPr>
          <w:sz w:val="20"/>
          <w:szCs w:val="20"/>
          <w:color w:val="auto"/>
        </w:rPr>
      </w:pPr>
    </w:p>
    <w:p>
      <w:pPr>
        <w:ind w:left="340"/>
        <w:spacing w:after="0" w:line="283" w:lineRule="auto"/>
        <w:rPr>
          <w:sz w:val="20"/>
          <w:szCs w:val="20"/>
          <w:color w:val="auto"/>
        </w:rPr>
      </w:pPr>
      <w:r>
        <w:rPr>
          <w:rFonts w:ascii="Times New Roman" w:cs="Times New Roman" w:eastAsia="Times New Roman" w:hAnsi="Times New Roman"/>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56" w:lineRule="exact"/>
        <w:rPr>
          <w:sz w:val="20"/>
          <w:szCs w:val="20"/>
          <w:color w:val="auto"/>
        </w:rPr>
      </w:pPr>
    </w:p>
    <w:p>
      <w:pPr>
        <w:jc w:val="both"/>
        <w:ind w:left="340" w:hanging="332"/>
        <w:spacing w:after="0" w:line="252" w:lineRule="auto"/>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Provisions Severabl</w:t>
      </w:r>
      <w:r>
        <w:rPr>
          <w:rFonts w:ascii="Times New Roman" w:cs="Times New Roman" w:eastAsia="Times New Roman" w:hAnsi="Times New Roman"/>
          <w:sz w:val="20"/>
          <w:szCs w:val="20"/>
          <w:color w:val="auto"/>
        </w:rPr>
        <w:t>e. If any provision or covenant, or any part thereof, contained in the Confidentiality Provisions is held by any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agency, arbitrator or other competent authority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 To the extent a court, agency, arbitrator or other competent authority finds that a provision is unenforceable because it is overbroad, the court may modify or reform the provision to the minimum extent necessary for the provision to remain in force and effect for the maximum duration, subject matter scope and geographic area as to which it may be enforceable.</w:t>
      </w:r>
    </w:p>
    <w:p>
      <w:pPr>
        <w:spacing w:after="0" w:line="178" w:lineRule="exact"/>
        <w:rPr>
          <w:rFonts w:ascii="Times New Roman" w:cs="Times New Roman" w:eastAsia="Times New Roman" w:hAnsi="Times New Roman"/>
          <w:sz w:val="20"/>
          <w:szCs w:val="20"/>
          <w:color w:val="auto"/>
        </w:rPr>
      </w:pPr>
    </w:p>
    <w:p>
      <w:pPr>
        <w:jc w:val="both"/>
        <w:ind w:left="34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55" w:lineRule="auto"/>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Failure of either party to insist, in one or more instances, on performance by the other in strict accordance with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83"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1" w:lineRule="auto"/>
        <w:tabs>
          <w:tab w:leader="none" w:pos="3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The validity and effect of the Confidentiality Provisions shall be governed by and construed and enforced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1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2"/>
        <w:spacing w:after="0" w:line="273" w:lineRule="auto"/>
        <w:tabs>
          <w:tab w:leader="none" w:pos="3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Legal Fees. </w:t>
      </w:r>
      <w:r>
        <w:rPr>
          <w:rFonts w:ascii="Times New Roman" w:cs="Times New Roman" w:eastAsia="Times New Roman" w:hAnsi="Times New Roman"/>
          <w:sz w:val="20"/>
          <w:szCs w:val="20"/>
          <w:color w:val="auto"/>
        </w:rPr>
        <w:t>Each party shall pay its own legal fees and other expenses associated with any dispute under the Confidentiality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Exhibit hereto.</w:t>
      </w:r>
    </w:p>
    <w:p>
      <w:pPr>
        <w:spacing w:after="0" w:line="165"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3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Tender Back Provision. </w:t>
      </w:r>
      <w:r>
        <w:rPr>
          <w:rFonts w:ascii="Times New Roman" w:cs="Times New Roman" w:eastAsia="Times New Roman" w:hAnsi="Times New Roman"/>
          <w:sz w:val="20"/>
          <w:szCs w:val="20"/>
          <w:color w:val="auto"/>
        </w:rPr>
        <w:t>If, in the context of a lawsuit involving Grantee or any other person or entity arguing on Grantee’s behalf,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court determines that any provisions of Section 2 are void, invalid, illegal, or otherwise unenforceable, Grantee shall be required to immediately return to the Company 70% of all monies paid out under the Performance Unit Award Agreement, or to return 70% of any unsold shares Grantee still owns of such Performance Units awarded under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86"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2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Tolling Period. </w:t>
      </w:r>
      <w:r>
        <w:rPr>
          <w:rFonts w:ascii="Times New Roman" w:cs="Times New Roman" w:eastAsia="Times New Roman" w:hAnsi="Times New Roman"/>
          <w:sz w:val="20"/>
          <w:szCs w:val="20"/>
          <w:color w:val="auto"/>
        </w:rPr>
        <w:t>If Grantee is found by a court to have violated any restriction in Section 2 of the Confidentiality Provisions, he/she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time period for such restriction shall be extended by one day for each day that he/she is found to have violated the restriction, up to a maximum of 18 months.</w:t>
      </w:r>
    </w:p>
    <w:p>
      <w:pPr>
        <w:spacing w:after="0" w:line="161" w:lineRule="exact"/>
        <w:rPr>
          <w:rFonts w:ascii="Times New Roman" w:cs="Times New Roman" w:eastAsia="Times New Roman" w:hAnsi="Times New Roman"/>
          <w:sz w:val="20"/>
          <w:szCs w:val="20"/>
          <w:color w:val="auto"/>
        </w:rPr>
      </w:pPr>
    </w:p>
    <w:p>
      <w:pPr>
        <w:ind w:left="340" w:hanging="332"/>
        <w:spacing w:after="0" w:line="287" w:lineRule="auto"/>
        <w:tabs>
          <w:tab w:leader="none" w:pos="33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The parties acknowledge that they have requested and are satisfied that the Confidentiality Provisions and all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1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OUTSIDE THE U.S.</w:t>
      </w:r>
    </w:p>
    <w:p>
      <w:pPr>
        <w:spacing w:after="0" w:line="1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080"/>
          </w:cols>
          <w:pgMar w:left="480" w:top="11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IN THE U.S.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Appendix includes additional state-specific terms and conditions that apply to Grantees in states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 ALL GRANTEES IN THE US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 respect to Grantees who are not supervisors for the purposes of the National Labor Relations Act, nothing contained in the Confidentiality Provisions, in any way, restricts or impedes Grantee from exercising Grantee’s rights under Section 7 of the National Labor Relations Act (such protected rights include assisting coworkers or former coworkers with workplace issues concerning their employer, communicating with others including a union and the NLRB, about their employment, or discussing the terms and conditions of employment, including, but not limited to, wages or salary, benefits, severance, the terms of this Agreement, job responsibilities and vacation, with coworkers or union representatives).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Nothing in this Agreement limits any Grantee from testifying truthfully in any legal proceeding, including, but not limited to responding to any inquiries made by the EEOC or any government agency; from discussing or disclosing information about unlawful acts in the workplace, such as harassment or discrimination or any other conduct that Grantee has reason to believe is unlawful; or from disclosing factual information related to an administrative claim or civil action concerning sexual assault, sexual harassment, workplace harassment or discrimination, failure to prevent an act of workplace harassment or discrimination, or an act of retaliation against a person for reporting or opposing harassment or discrimination. Grantee may respond accurately and fully to any question or request for information when required to do so by law.</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Further, nothing in this Agreement limits any Grantee’s rights to: (i) file a charge (including a challenge to the validity of this Agreement) with, communicate with, or participate in an investigation or proceeding conducted by the U.S. Equal Employment Opportunity Commission (“EEOC”), the National Labor Relations Board (“NLRB”), or any other similar federal, state, or local government office, official, or agency;</w:t>
      </w:r>
    </w:p>
    <w:p>
      <w:pPr>
        <w:jc w:val="both"/>
        <w:ind w:firstLine="8"/>
        <w:spacing w:after="0" w:line="251" w:lineRule="auto"/>
        <w:tabs>
          <w:tab w:leader="none" w:pos="30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testify in an administrative, legislative, or judicial proceeding concerning alleged criminal conduct or alleged sexual harassment on the part of any other party, or on the part of the agents or employees of another party, when the person testifying has been required or requested to attend the proceeding pursuant to a court order, subpoena, or written request from an administrative agency or legislature; or (iii) provide information to the U.S. Securities and Exchange Commission, EEOC, or any other regulatory or enforcement agency or collect rewards under a whistleblower program.</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Further, to the extent that any Grantee does not meet the compensation threshold required for a post-termination covenant to be enforceable under applicable state law,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to the extent required by applicable state law, Section 2(E)(Non-Competition), Section 2(F)(Non-Solicitation of Customers), Section 2(G) Non-Solicitation of Employees and Agents, or Section 2(H)(Non-Solicitation of Sales Agents) of the Confidentiality Provisions shall not apply to any such Grantee.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 is advised to consult with an attorney of Grantee’s own choosing and at Grantee’s own cost before signing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1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Section 2(E)(Non-Competition) and Section 2(F)(Non-Solicitation of Customers) of the Confidentiality Provisions are deleted. However, any conduct relating to the solicitation of Company’s customers or employees that involves the misappropriation of the Company’s trade secret information, such as its protected customer information, will remain prohibited conduct at all times.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 twelve</w:t>
      </w:r>
    </w:p>
    <w:p>
      <w:pPr>
        <w:spacing w:after="0" w:line="32" w:lineRule="exact"/>
        <w:rPr>
          <w:sz w:val="20"/>
          <w:szCs w:val="20"/>
          <w:color w:val="auto"/>
        </w:rPr>
      </w:pPr>
    </w:p>
    <w:p>
      <w:pPr>
        <w:jc w:val="both"/>
        <w:ind w:firstLine="8"/>
        <w:spacing w:after="0" w:line="253" w:lineRule="auto"/>
        <w:tabs>
          <w:tab w:leader="none" w:pos="38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2(H) of the Confidentiality Provisions:</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Non-Solicitation of Sales Agents.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a period of twelve (12) months after the Date of Termination, Grantee has not and will not,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Grantee: (i) is not an officer, executive or management employee, or an employee who constitutes professional staff to executive and management personnel or (ii) does not meet the “highly compensated worker” threshold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Section 2(E)(Non-Competition) shall not apply. The highly compensated worker threshold is $127,091 for 2025 and is adjusted annually for inflation.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Grantee: (i) is not an officer, executive or management employee, or an employee who constitutes professional staff to executive and management personnel or (ii) does not meet 60% of the “highly compensated worker” (“Non-Solicitation Compensation Threshold”) threshold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Section 2(F)(Non-Solicitation of Customers), Section 2(G) Non-Solicitation of Employees and Agents, and Section 2(H)(Non-Solicitation of Sales Agents) of the Confidentiality Provisions shall not apply. For 2025, the Non-Solicitation Compensation Threshold is $76,254.60. If Grantee: (i) is an officer, executive or management employee, or an employee who constitutes professional staff to executive and management personnel and (ii) meets the Non-Solicitation Compensation Threshold, both at the time the Agreement is entered into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at the time of enforcement then: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Grantee acknowledges and agrees that during his/her employment, and for twelve (12) months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1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21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Grantee stipulates that the obligations in Section 2(E)(Non-Competition), Section 2(F)(Non-Solicitation of Customers), Section 2(G) Non-Solicitation of Employees and Agents, and Section 2(H)(Non-Solicitation of Sales Agents) of the Confidentiality Provisions are reasonable and necessary for the protection of trade secrets within the meaning § 8-2-113(2)(b) (the “Colorado Noncompete Act”) and that the Company has provided the Grantee separate notice of this Agreement at least 14 days before the effective date of this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Nothing in the Agreement prohibits disclosure of information that arises from the Grantee’s general training, knowledge, skill, or experience, whether gained on the job or otherwise, information that is readily ascertainable to the public, or information that employee otherwise has a right to disclose as legally protected conduct.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LOUISIANA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1(G) of the Confidentiality Provisions:</w:t>
      </w:r>
    </w:p>
    <w:p>
      <w:pPr>
        <w:spacing w:after="0" w:line="22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parishes (and equivalents) in the following list so long as the Company continues to carry on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therein: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if Louisiana law requires counties (or their equivalents) in my Restricted Territory located outside of Louisiana to also be specified by name, Grantee acknowledges that the names at issue are the remaining counties in the United States listed by the U. S. Census Bureau found at </w:t>
      </w:r>
      <w:r>
        <w:rPr>
          <w:rFonts w:ascii="Times New Roman" w:cs="Times New Roman" w:eastAsia="Times New Roman" w:hAnsi="Times New Roman"/>
          <w:sz w:val="20"/>
          <w:szCs w:val="20"/>
          <w:u w:val="single" w:color="auto"/>
          <w:color w:val="0000FF"/>
        </w:rPr>
        <w:t>https://en.wikipedia.org/wiki/List_of_counties_by_U.S._state_and_territory#Louisiana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list is incorporated here by reference).</w:t>
      </w:r>
    </w:p>
    <w:p>
      <w:pPr>
        <w:spacing w:after="0" w:line="191"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Accordingly, Grantee agrees that the foregoing provides Grantee with adequate notice of the geographic scope of the restrictions contained in the Agreement by name of specific parishes (and equivalents), municipalities, and/or their parts.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MASSACHUSETTS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Grantee acknowledges and agrees that: (a) Section 2(E)(Non-Competition) will not apply if Grantee’s employment is terminated without Cause (as defined above) or if Grantee is terminated as part of a reduction in force; (b) Grantee received a copy of this Agreement prior to receiving a formal offer of employment from the Company or at least ten (10) business days before commencement of his or her employment, whichever came first; and if Grantee was already employed by the Company at the time of signing this Agreement, Grantee confirms that he or she was provided a copy of this Agreement at least ten (10) business days before it takes effect, (c) Grantee has been advised that he or she has a right to consult with an attorney about this Agreement and have been given an opportunity to do so; and (d) if Grantee breaches Section 2(E)(Non-Competition) of this Agreement, and also breaches his or her fiduciary duty to the Company and/or has unlawfully taken, physically or electronically, any Company Records, then the applicable time period in Section 2(E) shall be extended to 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1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period of twelve (12) additional months, i.e., for a total of twenty-four (24) months from the cessation of employment. Grantee also acknowledges and agrees that Grantee has received Performance Units, which Grantee agrees to be fair and reasonable consideration in exchange for the post-employment non-competition covenant.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Grantee further acknowledges and agrees that all civil actions relating to Section 2(E)(Non-Competition), Section 2(F)(Non-Solicitation of Customers), Section 2(G) Non-Solicitation of Employees and Agents, and Section 2(H)(Non-Solicitation of Sales Agents) of the Confidentiality Provisions shall be brought in Suffolk County, Massachusetts. Grantee further agree that the parties consent to the use of electronic signatures to sign and acknowledge acceptance of the terms of this Agreement, including the provision above. Acuity Inc., hereby enters its electronic signature as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ACUITY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MONTANA &amp; NORTH DAKOTA</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Section 2(E)(Non-Competition), Section 2(F)(Non-Solicitation of Customers), and Section 2(H)(Non-Solicitation of Sales Agents) of the Confidentiality Provisions are deleted.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OKLAHOMA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2(E)(Non-Competition) and Section 2(H)(Non-Solicitation of Sales Agents) of the Confidentiality Provisions are deleted.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(Non-Solicitation of Customers) of the Confidentiality Provisions:</w:t>
      </w:r>
    </w:p>
    <w:p>
      <w:pPr>
        <w:spacing w:after="0" w:line="216" w:lineRule="exact"/>
        <w:rPr>
          <w:sz w:val="20"/>
          <w:szCs w:val="20"/>
          <w:color w:val="auto"/>
        </w:rPr>
      </w:pPr>
    </w:p>
    <w:p>
      <w:pPr>
        <w:jc w:val="both"/>
        <w:ind w:left="660" w:hanging="328"/>
        <w:spacing w:after="0" w:line="258" w:lineRule="auto"/>
        <w:tabs>
          <w:tab w:leader="none" w:pos="6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 Non-Solicitation of Customers</w:t>
      </w:r>
      <w:r>
        <w:rPr>
          <w:rFonts w:ascii="Times New Roman" w:cs="Times New Roman" w:eastAsia="Times New Roman" w:hAnsi="Times New Roman"/>
          <w:sz w:val="20"/>
          <w:szCs w:val="20"/>
          <w:color w:val="auto"/>
        </w:rPr>
        <w:t xml:space="preserve"> — “Grantee agrees that that during his/her employment, and for twenty-four (24) months after the Date of Termination, the Grantee shall not, on the Grantee’s own behalf or on behalf of any other person or entity (other than the Company), directly solicit the sale of goods, services, or a combination of goods and services from the established customers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OREGON</w:t>
      </w:r>
    </w:p>
    <w:p>
      <w:pPr>
        <w:spacing w:after="0" w:line="220"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If Grantee is being initially hired by the Company, Grantee confirms that he or she has received a written employment offer at least two (2) weeks before the first day of employment in which Grantee was informed that a noncompetition agreement is required as a condition of employment; and if Grantee was already employed by the Company at the time of signing this Agreement, Grantee confirms that he or she was aware in exchange for a bona fide advancement that execution of an agreement with non-compete and non-solicit restrictions was a requirement of employment when accepted the Company’s offer. For purposes of the foregoing test only, “bona fide advancement” means a genuine promotion in rank after initial employment.</w:t>
      </w:r>
    </w:p>
    <w:p>
      <w:pPr>
        <w:spacing w:after="0" w:line="192"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Furthermore, Section 2(E)(Non-Competition) shall only apply to Grantee if both of the following conditions apply: (1) Grantee engages in administrative, executive, or professional work as described in ORS 653.020(3); and (2) Grantee’s total annual compensation including commissions, if any, at termination exceeds the salary threshold under ORS 653.295(e), which is $113,241 in 2024, and is adjusted annually for inflation. For purposes of the foregoing test only, “administrative, executive, or professional work” means that Grantee: (1) performs predominantly intellectual, managerial or creative tasks; (2) exercises discretion and independent judgment; and (3) earns a salary paid on a salary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Grantee may contact his or her local human resources representative with any questions regarding his or her rate of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1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8"/>
        <w:spacing w:after="0" w:line="269" w:lineRule="auto"/>
        <w:tabs>
          <w:tab w:leader="none" w:pos="319"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2(E)(Non-Competition) and Section 2(H)(Non-Solicitation of Sales Agents) of the Confidentiality Provisions will not be enforceable against Grantee unless Grantee’s earnings from Company exceed the threshold established under RCW 49.62.020(b), which is $123,394.17 in Box 1 W-2 annual compensation for 2025, and is adjusted annually for inflation by the Washington State Department of Labor &amp; Industries (“Earnings Threshold”). Grantee further agrees that if, at the time Grantee signs the Agreement, his or her earnings do not meet the Earnings Threshold, Section 2(E)(Non-Competition), and Section 2(H)(Non-Solicitation of Sales Agents) of the Confidentiality Provisions, will automatically become enforceable against Grantee if and when his or her salary meets the Earnings Threshold.</w:t>
      </w:r>
    </w:p>
    <w:p>
      <w:pPr>
        <w:spacing w:after="0" w:line="164" w:lineRule="exact"/>
        <w:rPr>
          <w:rFonts w:ascii="Times New Roman" w:cs="Times New Roman" w:eastAsia="Times New Roman" w:hAnsi="Times New Roman"/>
          <w:sz w:val="19"/>
          <w:szCs w:val="19"/>
          <w:color w:val="auto"/>
        </w:rPr>
      </w:pPr>
    </w:p>
    <w:p>
      <w:pPr>
        <w:jc w:val="both"/>
        <w:ind w:firstLine="8"/>
        <w:spacing w:after="0" w:line="253" w:lineRule="auto"/>
        <w:tabs>
          <w:tab w:leader="none" w:pos="28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further agrees that if Grantee’s employment with the Company is terminated as the result of a layoff, the Company will not enforce Section 2(E)(Non-Competition) and Section 2(H)(Non-Solicitation of Sales Agents) of the Confidentiality Provisions against the Grantee unless, during the period of enforcement, the Company pays the Grantee compensation equivalent to Grantee’s final base pay at the time of the termination of his or her employment, minus the amount of any compensation Grantee earns through employment after the end of his or her employment with the Company, which Grantee agrees to promptly and fully disclose. For purposes of this section, “layoff” means termination of Grantee’s employment by the Company for reasons of the Company’s insolvency or other purely economic factors, and specifically excludes termination of Grantee’s employment for any other reason, either with or without cause.</w:t>
      </w:r>
    </w:p>
    <w:p>
      <w:pPr>
        <w:spacing w:after="0" w:line="192"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21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Grantee acknowledges and agrees that during his/her employment, and for eighteen (18)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to cease or reduce the extent to which it is doing business with the Company</w:t>
      </w:r>
      <w:r>
        <w:rPr>
          <w:rFonts w:ascii="Times New Roman" w:cs="Times New Roman" w:eastAsia="Times New Roman" w:hAnsi="Times New Roman"/>
          <w:sz w:val="20"/>
          <w:szCs w:val="20"/>
          <w:i w:val="1"/>
          <w:i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The following provision replaces Section(G) of the Confidentiality Provisions:</w:t>
      </w:r>
    </w:p>
    <w:p>
      <w:pPr>
        <w:spacing w:after="0" w:line="225" w:lineRule="exact"/>
        <w:rPr>
          <w:sz w:val="20"/>
          <w:szCs w:val="20"/>
          <w:color w:val="auto"/>
        </w:rPr>
      </w:pPr>
    </w:p>
    <w:p>
      <w:pPr>
        <w:jc w:val="both"/>
        <w:ind w:left="640" w:right="1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eighteen (18) months after the Date of Termination, Grantee has not and will not, directly or indirectly, whether on behalf of Grantee or others, solicit, lure or attempt to solicit or lure any of the Company’s employees or agents to leave the Company.</w:t>
      </w:r>
    </w:p>
    <w:p>
      <w:pPr>
        <w:spacing w:after="0" w:line="166" w:lineRule="exact"/>
        <w:rPr>
          <w:sz w:val="20"/>
          <w:szCs w:val="20"/>
          <w:color w:val="auto"/>
        </w:rPr>
      </w:pPr>
    </w:p>
    <w:p>
      <w:pPr>
        <w:ind w:right="360" w:firstLine="8"/>
        <w:spacing w:after="0" w:line="257" w:lineRule="auto"/>
        <w:tabs>
          <w:tab w:leader="none" w:pos="26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and agrees if he or she is a newly hired employee, Grantee was given advance notice of Section 2(E)(Non-Competition) and Section 2(H)(Non-Solicitation of Sales Agents) of the Confidentiality Provisions in writing prior to accepting the Company’s offer of employment. If this Agreement is entered into after the commencement of Grantee’s employment with the Company, Grantee confirms that he / she has received Performance Units, which Grantee agrees to be independent consideration that involves new promises or obligations previously not required of the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employer operating in the District of Columbia may request or require any employee working in the District of Columbia to agree to a non-compete policy or agreement, in accordance with the Ban on Non-Compete Agreements Amendment Act of 2020, as amended (“Act”), unless Grantee’s compensation (including wages, bonus, commissions, vested stock and any other payments in connection with employment) is reasonably expected to equal or exceed in a consecutive twelve (12) month period, or does equal or exceed in the consecutive twelve (12) month period preceding Grantee’s Date of Termination, the threshold for a “highly compensated employee” under the Act, which is $154,200 for 2024 and is adjusted annually for inflation. As such, for all other Grantees who primarily reside and work for the Company in Washington D.C., then Section 2(E)(Non-Competition), Section 2(F)(Non-Solicitation of Customers), and Section 2(H)(Non-Solicitation of Sales Agents) of the Confidentiality Provisions are deleted and do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1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060" w:type="dxa"/>
            <w:vAlign w:val="bottom"/>
          </w:tcPr>
          <w:p>
            <w:pPr>
              <w:spacing w:after="0"/>
              <w:rPr>
                <w:sz w:val="22"/>
                <w:szCs w:val="22"/>
                <w:color w:val="auto"/>
              </w:rPr>
            </w:pPr>
          </w:p>
        </w:tc>
        <w:tc>
          <w:tcPr>
            <w:tcW w:w="8380" w:type="dxa"/>
            <w:vAlign w:val="bottom"/>
            <w:gridSpan w:val="3"/>
          </w:tcPr>
          <w:p>
            <w:pPr>
              <w:jc w:val="center"/>
              <w:ind w:right="1260"/>
              <w:spacing w:after="0"/>
              <w:rPr>
                <w:sz w:val="20"/>
                <w:szCs w:val="20"/>
                <w:color w:val="auto"/>
              </w:rPr>
            </w:pPr>
            <w:r>
              <w:rPr>
                <w:rFonts w:ascii="Times New Roman" w:cs="Times New Roman" w:eastAsia="Times New Roman" w:hAnsi="Times New Roman"/>
                <w:sz w:val="22"/>
                <w:szCs w:val="22"/>
                <w:b w:val="1"/>
                <w:bCs w:val="1"/>
                <w:color w:val="auto"/>
                <w:w w:val="97"/>
              </w:rPr>
              <w:t>ACUITY INC. (previously known as Acuity Brands, Inc.)</w:t>
            </w:r>
          </w:p>
        </w:tc>
      </w:tr>
      <w:tr>
        <w:trPr>
          <w:trHeight w:val="286"/>
        </w:trPr>
        <w:tc>
          <w:tcPr>
            <w:tcW w:w="2060" w:type="dxa"/>
            <w:vAlign w:val="bottom"/>
          </w:tcPr>
          <w:p>
            <w:pPr>
              <w:spacing w:after="0"/>
              <w:rPr>
                <w:sz w:val="24"/>
                <w:szCs w:val="24"/>
                <w:color w:val="auto"/>
              </w:rPr>
            </w:pPr>
          </w:p>
        </w:tc>
        <w:tc>
          <w:tcPr>
            <w:tcW w:w="8380" w:type="dxa"/>
            <w:vAlign w:val="bottom"/>
            <w:gridSpan w:val="3"/>
          </w:tcPr>
          <w:p>
            <w:pPr>
              <w:jc w:val="center"/>
              <w:ind w:right="1260"/>
              <w:spacing w:after="0"/>
              <w:rPr>
                <w:sz w:val="20"/>
                <w:szCs w:val="20"/>
                <w:color w:val="auto"/>
              </w:rPr>
            </w:pPr>
            <w:r>
              <w:rPr>
                <w:rFonts w:ascii="Times New Roman" w:cs="Times New Roman" w:eastAsia="Times New Roman" w:hAnsi="Times New Roman"/>
                <w:sz w:val="22"/>
                <w:szCs w:val="22"/>
                <w:b w:val="1"/>
                <w:bCs w:val="1"/>
                <w:color w:val="auto"/>
                <w:w w:val="98"/>
              </w:rPr>
              <w:t>Amended and Restated 2012 Omnibus Stock Incentive Compensation Plan</w:t>
            </w:r>
          </w:p>
        </w:tc>
      </w:tr>
      <w:tr>
        <w:trPr>
          <w:trHeight w:val="473"/>
        </w:trPr>
        <w:tc>
          <w:tcPr>
            <w:tcW w:w="2060" w:type="dxa"/>
            <w:vAlign w:val="bottom"/>
          </w:tcPr>
          <w:p>
            <w:pPr>
              <w:spacing w:after="0"/>
              <w:rPr>
                <w:sz w:val="24"/>
                <w:szCs w:val="24"/>
                <w:color w:val="auto"/>
              </w:rPr>
            </w:pPr>
          </w:p>
        </w:tc>
        <w:tc>
          <w:tcPr>
            <w:tcW w:w="8380" w:type="dxa"/>
            <w:vAlign w:val="bottom"/>
            <w:gridSpan w:val="3"/>
          </w:tcPr>
          <w:p>
            <w:pPr>
              <w:jc w:val="center"/>
              <w:ind w:right="1260"/>
              <w:spacing w:after="0"/>
              <w:rPr>
                <w:sz w:val="20"/>
                <w:szCs w:val="20"/>
                <w:color w:val="auto"/>
              </w:rPr>
            </w:pPr>
            <w:r>
              <w:rPr>
                <w:rFonts w:ascii="Times New Roman" w:cs="Times New Roman" w:eastAsia="Times New Roman" w:hAnsi="Times New Roman"/>
                <w:sz w:val="22"/>
                <w:szCs w:val="22"/>
                <w:b w:val="1"/>
                <w:bCs w:val="1"/>
                <w:color w:val="auto"/>
                <w:w w:val="98"/>
              </w:rPr>
              <w:t>Global Restricted Stock Unit Notification and Award Agreement</w:t>
            </w:r>
          </w:p>
        </w:tc>
      </w:tr>
      <w:tr>
        <w:trPr>
          <w:trHeight w:val="245"/>
        </w:trPr>
        <w:tc>
          <w:tcPr>
            <w:tcW w:w="206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spacing w:after="0"/>
              <w:rPr>
                <w:sz w:val="21"/>
                <w:szCs w:val="21"/>
                <w:color w:val="auto"/>
              </w:rPr>
            </w:pPr>
          </w:p>
        </w:tc>
      </w:tr>
      <w:tr>
        <w:trPr>
          <w:trHeight w:val="227"/>
        </w:trPr>
        <w:tc>
          <w:tcPr>
            <w:tcW w:w="2060" w:type="dxa"/>
            <w:vAlign w:val="bottom"/>
            <w:tcBorders>
              <w:left w:val="single" w:sz="8" w:color="auto"/>
            </w:tcBorders>
          </w:tcPr>
          <w:p>
            <w:pPr>
              <w:jc w:val="right"/>
              <w:ind w:right="21"/>
              <w:spacing w:after="0" w:line="228" w:lineRule="exact"/>
              <w:rPr>
                <w:sz w:val="20"/>
                <w:szCs w:val="20"/>
                <w:color w:val="auto"/>
              </w:rPr>
            </w:pPr>
            <w:r>
              <w:rPr>
                <w:rFonts w:ascii="Times New Roman" w:cs="Times New Roman" w:eastAsia="Times New Roman" w:hAnsi="Times New Roman"/>
                <w:sz w:val="20"/>
                <w:szCs w:val="20"/>
                <w:color w:val="auto"/>
              </w:rPr>
              <w:t>Grantee:</w:t>
            </w:r>
          </w:p>
        </w:tc>
        <w:tc>
          <w:tcPr>
            <w:tcW w:w="8380" w:type="dxa"/>
            <w:vAlign w:val="bottom"/>
            <w:tcBorders>
              <w:right w:val="single" w:sz="8" w:color="auto"/>
            </w:tcBorders>
            <w:gridSpan w:val="3"/>
          </w:tcPr>
          <w:p>
            <w:pPr>
              <w:ind w:left="240"/>
              <w:spacing w:after="0" w:line="228" w:lineRule="exact"/>
              <w:rPr>
                <w:sz w:val="20"/>
                <w:szCs w:val="20"/>
                <w:color w:val="auto"/>
              </w:rPr>
            </w:pPr>
            <w:r>
              <w:rPr>
                <w:rFonts w:ascii="Times New Roman" w:cs="Times New Roman" w:eastAsia="Times New Roman" w:hAnsi="Times New Roman"/>
                <w:sz w:val="20"/>
                <w:szCs w:val="20"/>
                <w:color w:val="auto"/>
              </w:rPr>
              <w:t>/$ParticipantName$/</w:t>
            </w:r>
          </w:p>
        </w:tc>
      </w:tr>
      <w:tr>
        <w:trPr>
          <w:trHeight w:val="243"/>
        </w:trPr>
        <w:tc>
          <w:tcPr>
            <w:tcW w:w="2060" w:type="dxa"/>
            <w:vAlign w:val="bottom"/>
            <w:tcBorders>
              <w:lef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Grant Type:</w:t>
            </w:r>
          </w:p>
        </w:tc>
        <w:tc>
          <w:tcPr>
            <w:tcW w:w="83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/$GrantType$/</w:t>
            </w:r>
          </w:p>
        </w:tc>
      </w:tr>
      <w:tr>
        <w:trPr>
          <w:trHeight w:val="229"/>
        </w:trPr>
        <w:tc>
          <w:tcPr>
            <w:tcW w:w="2060" w:type="dxa"/>
            <w:vAlign w:val="bottom"/>
            <w:tcBorders>
              <w:lef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Grant ID:</w:t>
            </w:r>
          </w:p>
        </w:tc>
        <w:tc>
          <w:tcPr>
            <w:tcW w:w="83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/$GrantID$/</w:t>
            </w:r>
          </w:p>
        </w:tc>
      </w:tr>
      <w:tr>
        <w:trPr>
          <w:trHeight w:val="243"/>
        </w:trPr>
        <w:tc>
          <w:tcPr>
            <w:tcW w:w="2060" w:type="dxa"/>
            <w:vAlign w:val="bottom"/>
            <w:tcBorders>
              <w:lef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Grant Date:</w:t>
            </w:r>
          </w:p>
        </w:tc>
        <w:tc>
          <w:tcPr>
            <w:tcW w:w="83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/$GrantDate$/</w:t>
            </w:r>
          </w:p>
        </w:tc>
      </w:tr>
      <w:tr>
        <w:trPr>
          <w:trHeight w:val="243"/>
        </w:trPr>
        <w:tc>
          <w:tcPr>
            <w:tcW w:w="2060" w:type="dxa"/>
            <w:vAlign w:val="bottom"/>
            <w:tcBorders>
              <w:lef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Award Amount:</w:t>
            </w:r>
          </w:p>
        </w:tc>
        <w:tc>
          <w:tcPr>
            <w:tcW w:w="83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/$AwardsGranted$/</w:t>
            </w:r>
          </w:p>
        </w:tc>
      </w:tr>
      <w:tr>
        <w:trPr>
          <w:trHeight w:val="230"/>
        </w:trPr>
        <w:tc>
          <w:tcPr>
            <w:tcW w:w="2060" w:type="dxa"/>
            <w:vAlign w:val="bottom"/>
            <w:tcBorders>
              <w:lef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Vest Schedule:</w:t>
            </w:r>
          </w:p>
        </w:tc>
        <w:tc>
          <w:tcPr>
            <w:tcW w:w="83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/$VestingDescription$/</w:t>
            </w:r>
          </w:p>
        </w:tc>
      </w:tr>
      <w:tr>
        <w:trPr>
          <w:trHeight w:val="212"/>
        </w:trPr>
        <w:tc>
          <w:tcPr>
            <w:tcW w:w="2060" w:type="dxa"/>
            <w:vAlign w:val="bottom"/>
            <w:tcBorders>
              <w:left w:val="single" w:sz="8" w:color="auto"/>
            </w:tcBorders>
          </w:tcPr>
          <w:p>
            <w:pPr>
              <w:jc w:val="right"/>
              <w:ind w:right="21"/>
              <w:spacing w:after="0" w:line="212" w:lineRule="exact"/>
              <w:rPr>
                <w:sz w:val="20"/>
                <w:szCs w:val="20"/>
                <w:color w:val="auto"/>
              </w:rPr>
            </w:pPr>
            <w:r>
              <w:rPr>
                <w:rFonts w:ascii="Times New Roman" w:cs="Times New Roman" w:eastAsia="Times New Roman" w:hAnsi="Times New Roman"/>
                <w:sz w:val="20"/>
                <w:szCs w:val="20"/>
                <w:color w:val="auto"/>
              </w:rPr>
              <w:t>Grantee Level:</w:t>
            </w:r>
          </w:p>
        </w:tc>
        <w:tc>
          <w:tcPr>
            <w:tcW w:w="8380" w:type="dxa"/>
            <w:vAlign w:val="bottom"/>
            <w:tcBorders>
              <w:right w:val="single" w:sz="8" w:color="auto"/>
            </w:tcBorders>
            <w:gridSpan w:val="3"/>
          </w:tcPr>
          <w:p>
            <w:pPr>
              <w:ind w:left="240"/>
              <w:spacing w:after="0" w:line="212" w:lineRule="exact"/>
              <w:rPr>
                <w:sz w:val="20"/>
                <w:szCs w:val="20"/>
                <w:color w:val="auto"/>
              </w:rPr>
            </w:pPr>
            <w:r>
              <w:rPr>
                <w:rFonts w:ascii="Times New Roman" w:cs="Times New Roman" w:eastAsia="Times New Roman" w:hAnsi="Times New Roman"/>
                <w:sz w:val="20"/>
                <w:szCs w:val="20"/>
                <w:color w:val="auto"/>
              </w:rPr>
              <w:t>/$UserCode2$/ for Stock Ownership Guidelines (Exhibit A)</w:t>
            </w:r>
          </w:p>
        </w:tc>
      </w:tr>
      <w:tr>
        <w:trPr>
          <w:trHeight w:val="269"/>
        </w:trPr>
        <w:tc>
          <w:tcPr>
            <w:tcW w:w="2060" w:type="dxa"/>
            <w:vAlign w:val="bottom"/>
            <w:tcBorders>
              <w:lef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Accept by Date:</w:t>
            </w:r>
          </w:p>
        </w:tc>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/$AcceptByDate$/</w:t>
            </w:r>
          </w:p>
        </w:tc>
        <w:tc>
          <w:tcPr>
            <w:tcW w:w="780" w:type="dxa"/>
            <w:vAlign w:val="bottom"/>
            <w:tcBorders>
              <w:top w:val="single" w:sz="8" w:color="auto"/>
            </w:tcBorders>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r>
      <w:tr>
        <w:trPr>
          <w:trHeight w:val="35"/>
        </w:trPr>
        <w:tc>
          <w:tcPr>
            <w:tcW w:w="2060" w:type="dxa"/>
            <w:vAlign w:val="bottom"/>
            <w:tcBorders>
              <w:left w:val="single" w:sz="8" w:color="auto"/>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13" w:lineRule="exact"/>
        <w:rPr>
          <w:sz w:val="20"/>
          <w:szCs w:val="20"/>
          <w:color w:val="auto"/>
        </w:rPr>
      </w:pPr>
    </w:p>
    <w:p>
      <w:pPr>
        <w:jc w:val="both"/>
        <w:ind w:firstLine="441"/>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Acuity Inc. (the “Company”) maintains the Amended and Restated Acuity Inc. 2012 Omnibus Stock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Plan (the “Plan”) under which the Compensation Committee of the Company’s Board of Directors (the “Committee”) has authority to grant Restricted Stock Units (the “RSUs”); and</w:t>
      </w:r>
    </w:p>
    <w:p>
      <w:pPr>
        <w:spacing w:after="0" w:line="175" w:lineRule="exact"/>
        <w:rPr>
          <w:sz w:val="20"/>
          <w:szCs w:val="20"/>
          <w:color w:val="auto"/>
        </w:rPr>
      </w:pPr>
    </w:p>
    <w:p>
      <w:pPr>
        <w:jc w:val="both"/>
        <w:ind w:firstLine="252"/>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has determined that it is in the best interest of the Company and its stockholders to grant this RSU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Grantee identified above, subject to the terms and conditions set forth in the Plan and this Global Restricted Stock Unit Notification and Award Agreement, together with its exhibits (the “Agreement”).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hereinafter set forth, the parties agree as follows:</w:t>
      </w:r>
    </w:p>
    <w:p>
      <w:pPr>
        <w:spacing w:after="0" w:line="216" w:lineRule="exact"/>
        <w:rPr>
          <w:sz w:val="20"/>
          <w:szCs w:val="20"/>
          <w:color w:val="auto"/>
        </w:rPr>
      </w:pPr>
    </w:p>
    <w:p>
      <w:pPr>
        <w:jc w:val="both"/>
        <w:ind w:firstLine="656"/>
        <w:spacing w:after="0" w:line="254" w:lineRule="auto"/>
        <w:tabs>
          <w:tab w:leader="none" w:pos="1296"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Incorporation of the Plan</w:t>
      </w:r>
      <w:r>
        <w:rPr>
          <w:rFonts w:ascii="Times New Roman" w:cs="Times New Roman" w:eastAsia="Times New Roman" w:hAnsi="Times New Roman"/>
          <w:sz w:val="20"/>
          <w:szCs w:val="20"/>
          <w:color w:val="auto"/>
        </w:rPr>
        <w:t>. The provisions of the Plan are hereby incorporated by reference. Except as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96"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Restricted Stock Unit Award</w:t>
      </w:r>
      <w:r>
        <w:rPr>
          <w:rFonts w:ascii="Times New Roman" w:cs="Times New Roman" w:eastAsia="Times New Roman" w:hAnsi="Times New Roman"/>
          <w:sz w:val="20"/>
          <w:szCs w:val="20"/>
          <w:color w:val="auto"/>
        </w:rPr>
        <w:t>. The Committee, on behalf of the Company, hereby grants to Grantee, effective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Grant Date, RSUs equal to the Award Amount set forth above, on the terms and conditions set forth in this Agreement, including the specific vesting requirements set forth above under the Vest Schedule, and as otherwise provided in the Plan.</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96"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Acceptance of Restricted Stock Unit Award</w:t>
      </w:r>
      <w:r>
        <w:rPr>
          <w:rFonts w:ascii="Times New Roman" w:cs="Times New Roman" w:eastAsia="Times New Roman" w:hAnsi="Times New Roman"/>
          <w:sz w:val="20"/>
          <w:szCs w:val="20"/>
          <w:color w:val="auto"/>
        </w:rPr>
        <w:t>. This award of RSUs is conditioned upon Grantee’s acceptance of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RSUs may be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Restricted Stock Unit Award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980"/>
        <w:spacing w:after="0" w:line="268" w:lineRule="auto"/>
        <w:tabs>
          <w:tab w:leader="none" w:pos="128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Provided that Grantee provides continuous service to the Company, a Subsidiary or Affiliate as an Employee, Consultant, or member of the Board, subject to the other terms of this Agreement, the RSUs shall vest pursuant to the Vest Schedule set forth above.</w:t>
      </w:r>
    </w:p>
    <w:p>
      <w:pPr>
        <w:spacing w:after="0" w:line="161" w:lineRule="exact"/>
        <w:rPr>
          <w:rFonts w:ascii="Times New Roman" w:cs="Times New Roman" w:eastAsia="Times New Roman" w:hAnsi="Times New Roman"/>
          <w:sz w:val="20"/>
          <w:szCs w:val="20"/>
          <w:color w:val="auto"/>
        </w:rPr>
      </w:pPr>
    </w:p>
    <w:p>
      <w:pPr>
        <w:jc w:val="both"/>
        <w:ind w:firstLine="980"/>
        <w:spacing w:after="0" w:line="257" w:lineRule="auto"/>
        <w:tabs>
          <w:tab w:leader="none" w:pos="128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 Upon Termination due to Death or Disability</w:t>
      </w:r>
      <w:r>
        <w:rPr>
          <w:rFonts w:ascii="Times New Roman" w:cs="Times New Roman" w:eastAsia="Times New Roman" w:hAnsi="Times New Roman"/>
          <w:sz w:val="20"/>
          <w:szCs w:val="20"/>
          <w:color w:val="auto"/>
        </w:rPr>
        <w:t>. Notwithstanding Section 4(a) above, if prior to the date on which the RSUs (or a portion thereof) vest and the restrictions with respect to the RSUs lapse (the “Vesting Date”), (i) Grantee dies while actively employed by or providing services to the Company or a Subsidiary or an Affiliate, or (ii) Grantee’s employment or service terminates by reason of Grantee’s Disability, any unvested RSUs shall become fully vested and non-forfeitable as of the date of Grantee’s death or Disability.</w:t>
      </w:r>
    </w:p>
    <w:p>
      <w:pPr>
        <w:spacing w:after="0" w:line="172" w:lineRule="exact"/>
        <w:rPr>
          <w:rFonts w:ascii="Times New Roman" w:cs="Times New Roman" w:eastAsia="Times New Roman" w:hAnsi="Times New Roman"/>
          <w:sz w:val="20"/>
          <w:szCs w:val="20"/>
          <w:color w:val="auto"/>
        </w:rPr>
      </w:pPr>
    </w:p>
    <w:p>
      <w:pPr>
        <w:jc w:val="both"/>
        <w:ind w:firstLine="980"/>
        <w:spacing w:after="0" w:line="250" w:lineRule="auto"/>
        <w:tabs>
          <w:tab w:leader="none" w:pos="128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 for Any Other Reason</w:t>
      </w:r>
      <w:r>
        <w:rPr>
          <w:rFonts w:ascii="Times New Roman" w:cs="Times New Roman" w:eastAsia="Times New Roman" w:hAnsi="Times New Roman"/>
          <w:sz w:val="20"/>
          <w:szCs w:val="20"/>
          <w:color w:val="auto"/>
        </w:rPr>
        <w:t>. Except for death or Termination due to Disability, as provided in Section 4(b) above, or except as otherwise provided in a duly approved severance agreement with Grantee, if Grantee terminates his or her employment or service, or if the Company or, if different, the Subsidiary or an Affiliate employing or otherwise engaging Grantee (the “Service Recipient”) terminates Grantee’s employment or service prior to the Vesting Date (even in the case of unfair dismissal and whether or not later to be found invalid or in breach of applicable laws in the jurisdiction where Grantee is employed or providing service or the terms of Grantee’s employment or service agreement, if any) Grantee expressly acknowledges that the RSUs shall cease to vest further, the unvested RSUs shall be immediately forfeited, and Grantee shall be entitled only to the Shares issued as a result of RSUs that had vested prior to the Date of Termination. “Date of Termination” means the last day of Grantee’s active employment or service with the Service Recipient. For greater certainty, Grantee’s Date of Termination shall be deemed to be the date on which the notice of termination of employment or service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Company shall have the exclusive discretion to determine when Grantee is no longer actively employed or providing services for purposes of the RSU grant (including whether Grantee may still be considered to be providing services while on a leave of absence). Further, for greater certainty, a change in the capacity in which Grantee renders service to the Company or a Subsidiary or Affiliate as an Employee, Consultant or member of the Board will not be deemed a Termination for purposes of the RSU grant, provided that there is no interruption of Grantee's service.</w:t>
      </w:r>
    </w:p>
    <w:p>
      <w:pPr>
        <w:spacing w:after="0" w:line="179" w:lineRule="exact"/>
        <w:rPr>
          <w:rFonts w:ascii="Times New Roman" w:cs="Times New Roman" w:eastAsia="Times New Roman" w:hAnsi="Times New Roman"/>
          <w:sz w:val="20"/>
          <w:szCs w:val="20"/>
          <w:color w:val="auto"/>
        </w:rPr>
      </w:pPr>
    </w:p>
    <w:p>
      <w:pPr>
        <w:ind w:firstLine="980"/>
        <w:spacing w:after="0" w:line="283" w:lineRule="auto"/>
        <w:tabs>
          <w:tab w:leader="none" w:pos="128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 Upon a Change in Control</w:t>
      </w:r>
      <w:r>
        <w:rPr>
          <w:rFonts w:ascii="Times New Roman" w:cs="Times New Roman" w:eastAsia="Times New Roman" w:hAnsi="Times New Roman"/>
          <w:sz w:val="20"/>
          <w:szCs w:val="20"/>
          <w:color w:val="auto"/>
        </w:rPr>
        <w:t>. Notwithstanding the other provisions of this Agreement, in the event of a Change in Control prior to the Vesting Date, all RSUs shall become fully vested and non-forfeitable as of the date of the Change in Control.</w:t>
      </w:r>
    </w:p>
    <w:p>
      <w:pPr>
        <w:spacing w:after="0" w:line="15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During the period that Grantee holds RSUs granted pursuant to this Agreement, on each date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pays a cash dividend to holders of its Common Stock, the Company shall credit to a non-interest bearing account on its books for Grantee an amount equal to the United States (“U.S.”) Dollar amount paid per share of Common Stock for each unvested RSU held by Grantee under this Agreement (the “Dividend Equivalents”). The Dividend Equivalents credited to Grantee’s non-interest bearing account shall vest only to the extent that the RSUs vest and shall be paid in accordance with Section 6 below. The Dividend Equivalents shall be forfeited in the event that the RSUs are forfeited.</w:t>
      </w:r>
    </w:p>
    <w:p>
      <w:pPr>
        <w:spacing w:after="0" w:line="190"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6"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Issuance of Shares upon Vesting</w:t>
      </w:r>
      <w:r>
        <w:rPr>
          <w:rFonts w:ascii="Times New Roman" w:cs="Times New Roman" w:eastAsia="Times New Roman" w:hAnsi="Times New Roman"/>
          <w:sz w:val="20"/>
          <w:szCs w:val="20"/>
          <w:color w:val="auto"/>
        </w:rPr>
        <w:t>. No Shares shall be issued to Grantee prior to the date that the RSUs vest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As soon as practical and in any event within sixty (60) days after the date that the RSUs vest pursuant to Section 4 (or within such longer period as may be permitted under Section 409A upon Grantee’s death), and subject to the Company’s Incentive-Based Compensation Recoupment Policy (described in Section 10 below) and the applicable terms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the Company will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Shares to be issued to an unrestricted account in Grantee’s name in payment of such vested RSUs and will cause any Dividend Equivalents attributed to such vested RSUs to be paid in cash to Grantee or, in the event of death, to Grantee’s heirs, subject to the applicable laws of descent and distribution. Notwithstanding the foregoing, (a) in the event of vesting of the RSUs upon a Change in Control, the RSUs and any Dividend Equivalents shall be paid in accordance with Section 14.2 of the Plan, and (b) to the extent that (i) the RSUs constitute “nonqualified deferred compensation” subject to Section 409A, (ii) Grantee is subject to U.S. federal taxation and (iii) the aforementioned sixty (60) day period spans two calendar years, the RSUs and any Dividend Equivalents will be paid in the second of such calendar years.</w:t>
      </w:r>
    </w:p>
    <w:p>
      <w:pPr>
        <w:spacing w:after="0" w:line="175" w:lineRule="exact"/>
        <w:rPr>
          <w:sz w:val="20"/>
          <w:szCs w:val="20"/>
          <w:color w:val="auto"/>
        </w:rPr>
      </w:pPr>
    </w:p>
    <w:p>
      <w:pPr>
        <w:jc w:val="both"/>
        <w:ind w:firstLine="656"/>
        <w:spacing w:after="0" w:line="270" w:lineRule="auto"/>
        <w:tabs>
          <w:tab w:leader="none" w:pos="1296"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 Restrictions</w:t>
      </w:r>
      <w:r>
        <w:rPr>
          <w:rFonts w:ascii="Times New Roman" w:cs="Times New Roman" w:eastAsia="Times New Roman" w:hAnsi="Times New Roman"/>
          <w:sz w:val="20"/>
          <w:szCs w:val="20"/>
          <w:color w:val="auto"/>
        </w:rPr>
        <w:t>. The RSUs may not be sold, assigned, transferred, pledged, or otherwise encumbered in any manner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by will or the laws of descent and distribution, unless and until the shares of Common Stock underlying the vested RSUs have been issued.</w:t>
      </w:r>
    </w:p>
    <w:p>
      <w:pPr>
        <w:spacing w:after="0" w:line="15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96"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Rights</w:t>
      </w:r>
      <w:r>
        <w:rPr>
          <w:rFonts w:ascii="Times New Roman" w:cs="Times New Roman" w:eastAsia="Times New Roman" w:hAnsi="Times New Roman"/>
          <w:sz w:val="20"/>
          <w:szCs w:val="20"/>
          <w:color w:val="auto"/>
        </w:rPr>
        <w:t>. The RSUs granted pursuant to this Agreement do not and shall not entitle Grantee to any rights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of the Company’s Common Stock. Grantee’s rights with respect to the RSUs shall remain forfeitable at all times prior to the Vesting Date or such other date on which the RSUs vest pursuant to Section 4.</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96"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Upon Specified Events</w:t>
      </w:r>
      <w:r>
        <w:rPr>
          <w:rFonts w:ascii="Times New Roman" w:cs="Times New Roman" w:eastAsia="Times New Roman" w:hAnsi="Times New Roman"/>
          <w:sz w:val="20"/>
          <w:szCs w:val="20"/>
          <w:color w:val="auto"/>
        </w:rPr>
        <w:t>. In the event of a Share Change (as defined in the Plan), the number and class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87"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r>
        <w:rPr>
          <w:rFonts w:ascii="Times New Roman" w:cs="Times New Roman" w:eastAsia="Times New Roman" w:hAnsi="Times New Roman"/>
          <w:sz w:val="20"/>
          <w:szCs w:val="20"/>
          <w:color w:val="auto"/>
        </w:rPr>
        <w:t>. All Awards of RSUs, whether unvested or vested, and any Shares issued or Dividend Equivalents paid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the RSUs, shall be subject to the Company’s Incentive-Based Compensation Recoupment Policy, as it may be amended from time to time (the “Recoupment Policy”), such that any Award that was made to a Grantee who is subject to the Recoupment Policy, and any Shares or Dividend Equivalents acquired pursuant to such Award, shall be subject to deduction, clawback or forfeiture, as provided under the Recoupment Policy. Further, the RSUs, whether unvested or vested, and any Shares issued or Dividend Equivalents paid on vesting of the RSUs, shall be subject to deduction, clawback or forfeiture to the extent required to comply with any recoupment requirement imposed under applicable laws, rules, regulations or stock exchange listing standards. In order to satisfy any recoupment obligation arising under the Recoupment Policy or otherwise under applicable laws, rules, regulations or stock exchange listing standards, among other things, Grantee expressly and explicitly authorizes the Company to issue instructions, on Grantee’s behalf, to any brokerage firm or stock plan service provider engaged by the Company to hold any Shares, Dividend Equivalents or other amounts acquired pursuant to the RSUs to re-convey, transfer or otherwise return such Shares, Dividend Equivalents and/or other amounts to the Company upon the Company’s enforcement of the Recoupment Policy.</w:t>
      </w:r>
    </w:p>
    <w:p>
      <w:pPr>
        <w:spacing w:after="0" w:line="191"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276"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Section 409A of the Code for U.S. Taxpayers</w:t>
      </w:r>
      <w:r>
        <w:rPr>
          <w:rFonts w:ascii="Times New Roman" w:cs="Times New Roman" w:eastAsia="Times New Roman" w:hAnsi="Times New Roman"/>
          <w:sz w:val="20"/>
          <w:szCs w:val="20"/>
          <w:color w:val="auto"/>
        </w:rPr>
        <w:t>. The parties intend that this Agreement and the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hereunder be exempt from the requirements of Section 409A of the Code (together with any U.S.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appropriate either for the RSUs to be exempt from the application of Section 409A or to comply with the requirements of Section 409A. Nothing in this Agreement or the Plan shall provide a basis for any person to take action against the Company or any Subsidiary or Affiliate based on matters covered by Section 409A of the Code, including the tax treatment of any amount paid or RSUs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175" w:lineRule="exact"/>
        <w:rPr>
          <w:sz w:val="20"/>
          <w:szCs w:val="20"/>
          <w:color w:val="auto"/>
        </w:rPr>
      </w:pPr>
    </w:p>
    <w:p>
      <w:pPr>
        <w:jc w:val="both"/>
        <w:ind w:firstLine="656"/>
        <w:spacing w:after="0" w:line="267" w:lineRule="auto"/>
        <w:tabs>
          <w:tab w:leader="none" w:pos="1287"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Securities Law and other Legal Compliance</w:t>
      </w:r>
      <w:r>
        <w:rPr>
          <w:rFonts w:ascii="Times New Roman" w:cs="Times New Roman" w:eastAsia="Times New Roman" w:hAnsi="Times New Roman"/>
          <w:sz w:val="19"/>
          <w:szCs w:val="19"/>
          <w:color w:val="auto"/>
        </w:rPr>
        <w:t>. Notwithstanding any other provision of the Plan or this Agreement, unless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 is an available exemption from any registration, qualification or other legal requirement applicable to the Common Stock, the Company shall not be required to deliver any Common Stock issuable upon settlement of the RSUs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61" w:lineRule="exact"/>
        <w:rPr>
          <w:rFonts w:ascii="Times New Roman" w:cs="Times New Roman" w:eastAsia="Times New Roman" w:hAnsi="Times New Roman"/>
          <w:sz w:val="19"/>
          <w:szCs w:val="19"/>
          <w:b w:val="1"/>
          <w:bCs w:val="1"/>
          <w:color w:val="auto"/>
        </w:rPr>
      </w:pPr>
    </w:p>
    <w:p>
      <w:pPr>
        <w:ind w:firstLine="656"/>
        <w:spacing w:after="0" w:line="287" w:lineRule="auto"/>
        <w:tabs>
          <w:tab w:leader="none" w:pos="1287"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Grantee’s Representation</w:t>
      </w:r>
      <w:r>
        <w:rPr>
          <w:rFonts w:ascii="Times New Roman" w:cs="Times New Roman" w:eastAsia="Times New Roman" w:hAnsi="Times New Roman"/>
          <w:sz w:val="20"/>
          <w:szCs w:val="20"/>
          <w:color w:val="auto"/>
        </w:rPr>
        <w:t>. Grantee represents and warrants that he or she is acquiring the RSUs and any Shares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purposes only, and not with a view to distribution thereof.</w:t>
      </w:r>
    </w:p>
    <w:p>
      <w:pPr>
        <w:spacing w:after="0" w:line="151"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 Stock Ownership Guidelines</w:t>
      </w:r>
      <w:r>
        <w:rPr>
          <w:rFonts w:ascii="Times New Roman" w:cs="Times New Roman" w:eastAsia="Times New Roman" w:hAnsi="Times New Roman"/>
          <w:sz w:val="20"/>
          <w:szCs w:val="20"/>
          <w:color w:val="auto"/>
        </w:rPr>
        <w:t>. In exchange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consideration in the form of the RSU award pursuant to this Agreement and other good and valuable consideration, Grantee agrees that he/she shall comply with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Grantee acknowledges its obligations, if and as applicable to Grantee’s position, described in the Company’s Stock Ownership Guidelines in effect from time to time, as summarized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Grant</w:t>
      </w:r>
      <w:r>
        <w:rPr>
          <w:rFonts w:ascii="Times New Roman" w:cs="Times New Roman" w:eastAsia="Times New Roman" w:hAnsi="Times New Roman"/>
          <w:sz w:val="20"/>
          <w:szCs w:val="20"/>
          <w:color w:val="auto"/>
        </w:rPr>
        <w:t>. In accepting the grant, Grantee acknowledges, understands and agrees that:</w:t>
      </w:r>
    </w:p>
    <w:p>
      <w:pPr>
        <w:spacing w:after="0" w:line="219" w:lineRule="exact"/>
        <w:rPr>
          <w:rFonts w:ascii="Times New Roman" w:cs="Times New Roman" w:eastAsia="Times New Roman" w:hAnsi="Times New Roman"/>
          <w:sz w:val="20"/>
          <w:szCs w:val="20"/>
          <w:b w:val="1"/>
          <w:bCs w:val="1"/>
          <w:color w:val="auto"/>
        </w:rPr>
      </w:pPr>
    </w:p>
    <w:p>
      <w:pPr>
        <w:ind w:firstLine="980"/>
        <w:spacing w:after="0" w:line="283" w:lineRule="auto"/>
        <w:tabs>
          <w:tab w:leader="none" w:pos="128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46" w:lineRule="exact"/>
        <w:rPr>
          <w:rFonts w:ascii="Times New Roman" w:cs="Times New Roman" w:eastAsia="Times New Roman" w:hAnsi="Times New Roman"/>
          <w:sz w:val="20"/>
          <w:szCs w:val="20"/>
          <w:color w:val="auto"/>
        </w:rPr>
      </w:pPr>
    </w:p>
    <w:p>
      <w:pPr>
        <w:ind w:firstLine="980"/>
        <w:spacing w:after="0" w:line="283" w:lineRule="auto"/>
        <w:tabs>
          <w:tab w:leader="none" w:pos="128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RSUs is exceptional, voluntary and occasional and does not create any contractual or other right to receive future grants of RSUs, or benefits in lieu of RSUs, even if RSUs have been granted in the past;</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RSUs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grant and Grantee’s participation in the Plan shall not create a right to employment or service or be interpreted as forming or amending an employment or services contract with the Company and shall not interfere with the ability of the Service Recipient to terminate Grantee’s employment or service relationship (if any);</w:t>
      </w:r>
    </w:p>
    <w:p>
      <w:pPr>
        <w:spacing w:after="0" w:line="18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980"/>
        <w:spacing w:after="0" w:line="269" w:lineRule="auto"/>
        <w:tabs>
          <w:tab w:leader="none" w:pos="1293"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is an Employee, the RSUs and the Shares subject to the RSUs, and any related income and value,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980"/>
        <w:spacing w:after="0" w:line="258" w:lineRule="auto"/>
        <w:tabs>
          <w:tab w:leader="none" w:pos="1285"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is an Employee, the RSUs and the Shares subject to the RSUs,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7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229" w:lineRule="exact"/>
        <w:rPr>
          <w:rFonts w:ascii="Times New Roman" w:cs="Times New Roman" w:eastAsia="Times New Roman" w:hAnsi="Times New Roman"/>
          <w:sz w:val="20"/>
          <w:szCs w:val="20"/>
          <w:color w:val="auto"/>
        </w:rPr>
      </w:pPr>
    </w:p>
    <w:p>
      <w:pPr>
        <w:jc w:val="both"/>
        <w:ind w:firstLine="980"/>
        <w:spacing w:after="0" w:line="253" w:lineRule="auto"/>
        <w:tabs>
          <w:tab w:leader="none" w:pos="1295"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any loss of any right or benefit, or prospective right or benefit, including the forfeiture of RSUs resulting from the termination of Grantee’s employment or other service relationship (for any reason whatsoever whether or not later found to be invalid or in breach of applicable laws in the jurisdiction where Grantee is employed or providing service or the terms of Grantee’s employment or service agreement, if any) and any forfeiture of RSUs or recoupment of Shares resulting from the application of the Recoupment Policy or any other forfeiture or recoupment pursuant to Section 10 of this Agreement;</w:t>
      </w:r>
    </w:p>
    <w:p>
      <w:pPr>
        <w:spacing w:after="0" w:line="191" w:lineRule="exact"/>
        <w:rPr>
          <w:rFonts w:ascii="Times New Roman" w:cs="Times New Roman" w:eastAsia="Times New Roman" w:hAnsi="Times New Roman"/>
          <w:sz w:val="20"/>
          <w:szCs w:val="20"/>
          <w:color w:val="auto"/>
        </w:rPr>
      </w:pPr>
    </w:p>
    <w:p>
      <w:pPr>
        <w:ind w:firstLine="980"/>
        <w:spacing w:after="0" w:line="283" w:lineRule="auto"/>
        <w:tabs>
          <w:tab w:leader="none" w:pos="1295"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RSUs and Shares subject to the RSUs, and any related income and value, are not granted as consideration for, or in connection with, the service Grantee may provide as a director of a Subsidiary; and</w:t>
      </w:r>
    </w:p>
    <w:p>
      <w:pPr>
        <w:spacing w:after="0" w:line="146"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5"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for any foreign exchange rate fluctuation between Grantee’s local currency and the U.S. Dollar that may affect the value of the RSUs or of any amounts due to Grantee pursuant to the settlement of the RSUs or the subsequent sale of any Shares acquired upon settlement.</w:t>
      </w:r>
    </w:p>
    <w:p>
      <w:pPr>
        <w:spacing w:after="0" w:line="17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for Taxes.</w:t>
      </w:r>
    </w:p>
    <w:p>
      <w:pPr>
        <w:spacing w:after="0" w:line="233" w:lineRule="exact"/>
        <w:rPr>
          <w:rFonts w:ascii="Times New Roman" w:cs="Times New Roman" w:eastAsia="Times New Roman" w:hAnsi="Times New Roman"/>
          <w:sz w:val="20"/>
          <w:szCs w:val="20"/>
          <w:b w:val="1"/>
          <w:bCs w:val="1"/>
          <w:color w:val="auto"/>
        </w:rPr>
      </w:pPr>
    </w:p>
    <w:p>
      <w:pPr>
        <w:jc w:val="both"/>
        <w:ind w:firstLine="980"/>
        <w:spacing w:after="0" w:line="250" w:lineRule="auto"/>
        <w:tabs>
          <w:tab w:leader="none" w:pos="128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that, regardless of any action taken by the Company or the Service Recipient,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if any, actually withheld by the Company or the Service Recipient. Grantee further acknowledges that the Company and/or the Service Recipient (1) make no representations or undertakings regarding the treatment of any Tax-Related Items in connection with any aspect of the RSUs or the Dividend Equivalents, including, but not limited to, the grant, vesting or settlement of the RSUs, the subsequent sale of Shares acquired pursuant to such settlement and the receipt or payment of any dividends or any Dividend Equivalents and (2) do not commit to and are under no obligation to structure the terms of the grant or any aspect of the RSUs or the Dividend Equivalents to reduce or eliminate Grantee’s liability for Tax-Related Items or achieve any particular tax result. Further, if Grantee is subject to Tax-Related Items in more than one jurisdiction, Grantee acknowledges that the Company and/or the Service Recipient (or former service recipient, as applicable) may be required to withhold or account for Tax-Related Items in more than one jurisdiction.</w:t>
      </w:r>
    </w:p>
    <w:p>
      <w:pPr>
        <w:spacing w:after="0" w:line="186" w:lineRule="exact"/>
        <w:rPr>
          <w:rFonts w:ascii="Times New Roman" w:cs="Times New Roman" w:eastAsia="Times New Roman" w:hAnsi="Times New Roman"/>
          <w:sz w:val="20"/>
          <w:szCs w:val="20"/>
          <w:color w:val="auto"/>
        </w:rPr>
      </w:pPr>
    </w:p>
    <w:p>
      <w:pPr>
        <w:jc w:val="both"/>
        <w:ind w:firstLine="980"/>
        <w:spacing w:after="0" w:line="258" w:lineRule="auto"/>
        <w:tabs>
          <w:tab w:leader="none" w:pos="128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Grantee agrees to make adequate arrangements satisfactory to the Company and/or the Service Recipient to satisfy all Tax-Related Items. In this regard, Grantee authorizes the Company and/or the Service Recipient, or their respective agents, at their discretion, to satisfy any applicable withholding obligations, if any, with regard to all Tax-Related Items by one or a combination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00" w:hanging="396"/>
        <w:spacing w:after="0" w:line="269" w:lineRule="auto"/>
        <w:tabs>
          <w:tab w:leader="none" w:pos="1698"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Grantee’s wages or other cash compensation payable to Grantee by the Company and/or the Service Recipient; or</w:t>
      </w:r>
    </w:p>
    <w:p>
      <w:pPr>
        <w:spacing w:after="0" w:line="172" w:lineRule="exact"/>
        <w:rPr>
          <w:rFonts w:ascii="Times New Roman" w:cs="Times New Roman" w:eastAsia="Times New Roman" w:hAnsi="Times New Roman"/>
          <w:sz w:val="20"/>
          <w:szCs w:val="20"/>
          <w:color w:val="auto"/>
        </w:rPr>
      </w:pPr>
    </w:p>
    <w:p>
      <w:pPr>
        <w:ind w:left="1700" w:hanging="396"/>
        <w:spacing w:after="0" w:line="310" w:lineRule="auto"/>
        <w:tabs>
          <w:tab w:leader="none" w:pos="1699"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acquired upon vesting/settlement of the RSU either through a voluntary sale or through a mandatory sale arranged by the Company (on Grantee’s behalf pursuant to this authorization);</w:t>
      </w:r>
    </w:p>
    <w:p>
      <w:pPr>
        <w:spacing w:after="0" w:line="124" w:lineRule="exact"/>
        <w:rPr>
          <w:rFonts w:ascii="Times New Roman" w:cs="Times New Roman" w:eastAsia="Times New Roman" w:hAnsi="Times New Roman"/>
          <w:sz w:val="19"/>
          <w:szCs w:val="19"/>
          <w:color w:val="auto"/>
        </w:rPr>
      </w:pPr>
    </w:p>
    <w:p>
      <w:pPr>
        <w:ind w:left="1700" w:hanging="396"/>
        <w:spacing w:after="0"/>
        <w:tabs>
          <w:tab w:leader="none" w:pos="170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pursuant to the RSUs; or</w:t>
      </w:r>
    </w:p>
    <w:p>
      <w:pPr>
        <w:spacing w:after="0" w:line="22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of withholding determined by the Company to comply with applicable laws and the Plan.</w:t>
      </w:r>
    </w:p>
    <w:p>
      <w:pPr>
        <w:spacing w:after="0" w:line="215" w:lineRule="exact"/>
        <w:rPr>
          <w:rFonts w:ascii="Times New Roman" w:cs="Times New Roman" w:eastAsia="Times New Roman" w:hAnsi="Times New Roman"/>
          <w:sz w:val="20"/>
          <w:szCs w:val="20"/>
          <w:color w:val="auto"/>
        </w:rPr>
      </w:pPr>
    </w:p>
    <w:p>
      <w:pPr>
        <w:jc w:val="both"/>
        <w:ind w:firstLine="980"/>
        <w:spacing w:after="0" w:line="258" w:lineRule="auto"/>
        <w:tabs>
          <w:tab w:leader="none" w:pos="128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16(b) above or Section 16(g) below, if Grantee is subject to the reporting requirements of Section 16(a) of the Exchange Act, then any applicable withholding obligations will be satisfied by withholding in Shares to be issued pursuant to the RSUs, unless such withholding is not feasible under applicable tax or securities law or has materially adverse accounting consequences, in which case, the Company may satisfy any withholding obligations for Tax-Related Items in accordance with Section 16(b)(i) or (ii).</w:t>
      </w:r>
    </w:p>
    <w:p>
      <w:pPr>
        <w:spacing w:after="0" w:line="185" w:lineRule="exact"/>
        <w:rPr>
          <w:rFonts w:ascii="Times New Roman" w:cs="Times New Roman" w:eastAsia="Times New Roman" w:hAnsi="Times New Roman"/>
          <w:sz w:val="20"/>
          <w:szCs w:val="20"/>
          <w:color w:val="auto"/>
        </w:rPr>
      </w:pPr>
    </w:p>
    <w:p>
      <w:pPr>
        <w:jc w:val="both"/>
        <w:ind w:firstLine="980"/>
        <w:spacing w:after="0" w:line="253" w:lineRule="auto"/>
        <w:tabs>
          <w:tab w:leader="none" w:pos="128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16.2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 or the Service Recipient.</w:t>
      </w:r>
    </w:p>
    <w:p>
      <w:pPr>
        <w:spacing w:after="0" w:line="19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obligation for Tax-Related Items is satisfied by withholding in Shares, for tax purposes, Grantee is deemed to have been issued the full number of Shares subject to the vested RSUs, notwithstanding that a number of the Shares is held back solely for the purpose of paying the Tax-Related Items.</w:t>
      </w:r>
    </w:p>
    <w:p>
      <w:pPr>
        <w:spacing w:after="0" w:line="181" w:lineRule="exact"/>
        <w:rPr>
          <w:rFonts w:ascii="Times New Roman" w:cs="Times New Roman" w:eastAsia="Times New Roman" w:hAnsi="Times New Roman"/>
          <w:sz w:val="20"/>
          <w:szCs w:val="20"/>
          <w:color w:val="auto"/>
        </w:rPr>
      </w:pPr>
    </w:p>
    <w:p>
      <w:pPr>
        <w:ind w:firstLine="980"/>
        <w:spacing w:after="0" w:line="269" w:lineRule="auto"/>
        <w:tabs>
          <w:tab w:leader="none" w:pos="1293"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refuse to issue or deliver the Shares or the proceeds of the sale of Shares, if Grantee fails to comply with Grantee’s obligations in connection with the Tax-Related Items.</w:t>
      </w:r>
    </w:p>
    <w:p>
      <w:pPr>
        <w:spacing w:after="0" w:line="172" w:lineRule="exact"/>
        <w:rPr>
          <w:rFonts w:ascii="Times New Roman" w:cs="Times New Roman" w:eastAsia="Times New Roman" w:hAnsi="Times New Roman"/>
          <w:sz w:val="20"/>
          <w:szCs w:val="20"/>
          <w:color w:val="auto"/>
        </w:rPr>
      </w:pPr>
    </w:p>
    <w:p>
      <w:pPr>
        <w:jc w:val="both"/>
        <w:ind w:firstLine="980"/>
        <w:spacing w:after="0" w:line="251" w:lineRule="auto"/>
        <w:tabs>
          <w:tab w:leader="none" w:pos="128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 withholding obligation for Tax-Related Items arises prior to the scheduled Vesting Date or such other vesting event hereunder, the Company may accelerate the vesting of RSUs to the extent necessary to satisfy such Tax-Related Items in the manner set forth in Section 16(b)(ii) or (iii). However, notwithstanding anything in this Section 16 to the contrary, to the extent that the RSUs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RSUs effected to cover Tax-Related Items pursuant to this Section 16(g) shall apply only to the applicable number of RSUs and not to any associated Dividend Equivalents thereon, which shall remain subject to vesting on the dates or events set forth in Section 4 and payable pursuant to Section 6 of this Agreement.</w:t>
      </w:r>
    </w:p>
    <w:p>
      <w:pPr>
        <w:spacing w:after="0" w:line="191" w:lineRule="exact"/>
        <w:rPr>
          <w:rFonts w:ascii="Times New Roman" w:cs="Times New Roman" w:eastAsia="Times New Roman" w:hAnsi="Times New Roman"/>
          <w:sz w:val="20"/>
          <w:szCs w:val="20"/>
          <w:color w:val="auto"/>
        </w:rPr>
      </w:pPr>
    </w:p>
    <w:p>
      <w:pPr>
        <w:jc w:val="both"/>
        <w:ind w:firstLine="656"/>
        <w:spacing w:after="0" w:line="255" w:lineRule="auto"/>
        <w:tabs>
          <w:tab w:leader="none" w:pos="128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Grantee hereby explicitly and unambiguously consents to the collection, use and transfer, in electronic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other form, of Grantee’s personal data as described in this Agreement and any other RSU grant materials by and among, as applicable, the Company and its other Subsidiaries and Affiliates for the exclusive purpose of implementing, administering and managing Grantee’s participation in the Plan.</w:t>
      </w:r>
    </w:p>
    <w:p>
      <w:pPr>
        <w:spacing w:after="0" w:line="18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the Company holds certain personal information about Grantee, including, but not limited to, Grantee’s name, home address, email address, telephone number, date of birth, social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number, passport or other identification number, salary, nationality, job title, any Shares of stock or directorships held in the Company, details of all RSUs or any other entitlement to Shares awarded, canceled, exercised, vested, unvested or outstanding in Grantee’s favor (“Data”), for the exclusive purpose of implementing, administering and managing the Plan.</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 management of the Plan. Grantee understands that the recipients of the Data may be located in the U.S. or elsewhere, and that the recipients’ country (e.g., the U.S.) may have different data privacy laws and protections than Grantee’s country. Grantee understands that he or she may request a list with the names and addresses of any potential recipients of the Data by contacting his or her local human resources representative. Grantee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or service status will not be adversely affected; the only consequence of refusing or withdrawing Grantee’s consent is that the Company would not be able to grant RSUs or other equity awards to Grantee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87" w:lineRule="exact"/>
        <w:rPr>
          <w:sz w:val="20"/>
          <w:szCs w:val="20"/>
          <w:color w:val="auto"/>
        </w:rPr>
      </w:pPr>
    </w:p>
    <w:p>
      <w:pPr>
        <w:jc w:val="both"/>
        <w:ind w:firstLine="332"/>
        <w:spacing w:after="0" w:line="260" w:lineRule="auto"/>
        <w:tabs>
          <w:tab w:leader="none" w:pos="639"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77" w:lineRule="exact"/>
        <w:rPr>
          <w:rFonts w:ascii="Times New Roman" w:cs="Times New Roman" w:eastAsia="Times New Roman" w:hAnsi="Times New Roman"/>
          <w:sz w:val="20"/>
          <w:szCs w:val="20"/>
          <w:b w:val="1"/>
          <w:bCs w:val="1"/>
          <w:color w:val="auto"/>
        </w:rPr>
      </w:pPr>
    </w:p>
    <w:p>
      <w:pPr>
        <w:jc w:val="both"/>
        <w:ind w:firstLine="332"/>
        <w:spacing w:after="0" w:line="252" w:lineRule="auto"/>
        <w:tabs>
          <w:tab w:leader="none" w:pos="639"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Trading/Market Abuse Restrictions</w:t>
      </w:r>
      <w:r>
        <w:rPr>
          <w:rFonts w:ascii="Times New Roman" w:cs="Times New Roman" w:eastAsia="Times New Roman" w:hAnsi="Times New Roman"/>
          <w:sz w:val="20"/>
          <w:szCs w:val="20"/>
          <w:color w:val="auto"/>
        </w:rPr>
        <w:t>. Grantee may be subject to insider trading restriction and/or market abuse laws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jurisdictions including, but not limited to, the U.S. and Grantee’s country of residence, which may affect Grantee’s ability to accept, acquire sell or otherwise dispose of Shares or rights to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RSUs)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86" w:lineRule="exact"/>
        <w:rPr>
          <w:rFonts w:ascii="Times New Roman" w:cs="Times New Roman" w:eastAsia="Times New Roman" w:hAnsi="Times New Roman"/>
          <w:sz w:val="20"/>
          <w:szCs w:val="20"/>
          <w:b w:val="1"/>
          <w:bCs w:val="1"/>
          <w:color w:val="auto"/>
        </w:rPr>
      </w:pPr>
    </w:p>
    <w:p>
      <w:pPr>
        <w:jc w:val="both"/>
        <w:ind w:firstLine="332"/>
        <w:spacing w:after="0" w:line="252" w:lineRule="auto"/>
        <w:tabs>
          <w:tab w:leader="none" w:pos="639"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Foreign Asset / Account or Tax Reporting; Exchange Control</w:t>
      </w:r>
      <w:r>
        <w:rPr>
          <w:rFonts w:ascii="Times New Roman" w:cs="Times New Roman" w:eastAsia="Times New Roman" w:hAnsi="Times New Roman"/>
          <w:sz w:val="20"/>
          <w:szCs w:val="20"/>
          <w:color w:val="auto"/>
        </w:rPr>
        <w:t>. Grantee acknowledges that there may be certain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332"/>
        <w:spacing w:after="0" w:line="254"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 current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RSU is granted under and governed by the terms and conditions of the Plan and this Agreement.</w:t>
      </w:r>
    </w:p>
    <w:p>
      <w:pPr>
        <w:spacing w:after="0" w:line="173" w:lineRule="exact"/>
        <w:rPr>
          <w:rFonts w:ascii="Times New Roman" w:cs="Times New Roman" w:eastAsia="Times New Roman" w:hAnsi="Times New Roman"/>
          <w:sz w:val="20"/>
          <w:szCs w:val="20"/>
          <w:b w:val="1"/>
          <w:bCs w:val="1"/>
          <w:color w:val="auto"/>
        </w:rPr>
      </w:pPr>
    </w:p>
    <w:p>
      <w:pPr>
        <w:jc w:val="both"/>
        <w:ind w:firstLine="332"/>
        <w:spacing w:after="0" w:line="258"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Country-Specific Terms and Conditions</w:t>
      </w:r>
      <w:r>
        <w:rPr>
          <w:rFonts w:ascii="Times New Roman" w:cs="Times New Roman" w:eastAsia="Times New Roman" w:hAnsi="Times New Roman"/>
          <w:sz w:val="20"/>
          <w:szCs w:val="20"/>
          <w:color w:val="auto"/>
        </w:rPr>
        <w:t>. Notwithstanding any provisions in this Agreement, the RSU grant shall be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additional terms and conditions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for Grantee’s country. Moreover, if Grantee relocates to one of the countries included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constitutes part of this Agreement.</w:t>
      </w:r>
    </w:p>
    <w:p>
      <w:pPr>
        <w:spacing w:after="0" w:line="167" w:lineRule="exact"/>
        <w:rPr>
          <w:rFonts w:ascii="Times New Roman" w:cs="Times New Roman" w:eastAsia="Times New Roman" w:hAnsi="Times New Roman"/>
          <w:sz w:val="20"/>
          <w:szCs w:val="20"/>
          <w:b w:val="1"/>
          <w:bCs w:val="1"/>
          <w:color w:val="auto"/>
        </w:rPr>
      </w:pPr>
    </w:p>
    <w:p>
      <w:pPr>
        <w:jc w:val="both"/>
        <w:ind w:firstLine="332"/>
        <w:spacing w:after="0" w:line="260"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Grantee acknowledges that he or she is sufficiently proficient in English, or has consulted with an advisor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77" w:lineRule="exact"/>
        <w:rPr>
          <w:rFonts w:ascii="Times New Roman" w:cs="Times New Roman" w:eastAsia="Times New Roman" w:hAnsi="Times New Roman"/>
          <w:sz w:val="20"/>
          <w:szCs w:val="20"/>
          <w:b w:val="1"/>
          <w:bCs w:val="1"/>
          <w:color w:val="auto"/>
        </w:rPr>
      </w:pPr>
    </w:p>
    <w:p>
      <w:pPr>
        <w:jc w:val="both"/>
        <w:ind w:firstLine="332"/>
        <w:spacing w:after="0" w:line="260"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Imposition of Other Requirements</w:t>
      </w:r>
      <w:r>
        <w:rPr>
          <w:rFonts w:ascii="Times New Roman" w:cs="Times New Roman" w:eastAsia="Times New Roman" w:hAnsi="Times New Roman"/>
          <w:sz w:val="20"/>
          <w:szCs w:val="20"/>
          <w:color w:val="auto"/>
        </w:rPr>
        <w:t>. The Company reserves the right to impose other requirements on Grantee’s participation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on the RSUs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64" w:lineRule="exact"/>
        <w:rPr>
          <w:rFonts w:ascii="Times New Roman" w:cs="Times New Roman" w:eastAsia="Times New Roman" w:hAnsi="Times New Roman"/>
          <w:sz w:val="20"/>
          <w:szCs w:val="20"/>
          <w:b w:val="1"/>
          <w:bCs w:val="1"/>
          <w:color w:val="auto"/>
        </w:rPr>
      </w:pPr>
    </w:p>
    <w:p>
      <w:pPr>
        <w:jc w:val="both"/>
        <w:ind w:firstLine="332"/>
        <w:spacing w:after="0" w:line="252"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Except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the RSU grant and the provisions of this Agreement and the validity,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RSUs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7" w:lineRule="exact"/>
        <w:rPr>
          <w:rFonts w:ascii="Times New Roman" w:cs="Times New Roman" w:eastAsia="Times New Roman" w:hAnsi="Times New Roman"/>
          <w:sz w:val="20"/>
          <w:szCs w:val="20"/>
          <w:b w:val="1"/>
          <w:bCs w:val="1"/>
          <w:color w:val="auto"/>
        </w:rPr>
      </w:pPr>
    </w:p>
    <w:p>
      <w:pPr>
        <w:ind w:firstLine="332"/>
        <w:spacing w:after="0" w:line="287"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unenforceable, in whole or in part, the remaining provisions shall nevertheless be binding and enforceable.</w:t>
      </w:r>
    </w:p>
    <w:p>
      <w:pPr>
        <w:spacing w:after="0" w:line="138" w:lineRule="exact"/>
        <w:rPr>
          <w:rFonts w:ascii="Times New Roman" w:cs="Times New Roman" w:eastAsia="Times New Roman" w:hAnsi="Times New Roman"/>
          <w:sz w:val="20"/>
          <w:szCs w:val="20"/>
          <w:b w:val="1"/>
          <w:bCs w:val="1"/>
          <w:color w:val="auto"/>
        </w:rPr>
      </w:pPr>
    </w:p>
    <w:p>
      <w:pPr>
        <w:jc w:val="both"/>
        <w:ind w:firstLine="332"/>
        <w:spacing w:after="0" w:line="263"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Grantee acknowledges that a waiver by the Company of any provision, or breach thereof, of this Agreement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75" w:lineRule="exact"/>
        <w:rPr>
          <w:rFonts w:ascii="Times New Roman" w:cs="Times New Roman" w:eastAsia="Times New Roman" w:hAnsi="Times New Roman"/>
          <w:sz w:val="20"/>
          <w:szCs w:val="20"/>
          <w:b w:val="1"/>
          <w:bCs w:val="1"/>
          <w:color w:val="auto"/>
        </w:rPr>
      </w:pPr>
    </w:p>
    <w:p>
      <w:pPr>
        <w:ind w:firstLine="332"/>
        <w:spacing w:after="0" w:line="287" w:lineRule="auto"/>
        <w:tabs>
          <w:tab w:leader="none" w:pos="639"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Pronouns; Including</w:t>
      </w:r>
      <w:r>
        <w:rPr>
          <w:rFonts w:ascii="Times New Roman" w:cs="Times New Roman" w:eastAsia="Times New Roman" w:hAnsi="Times New Roman"/>
          <w:sz w:val="20"/>
          <w:szCs w:val="20"/>
          <w:color w:val="auto"/>
        </w:rPr>
        <w:t>. Wherever appropriate in this Agreement, personal pronouns shall be deemed to include the other genders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singular to include the plural. Wherever used in this Agreement, the term “including” means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4" w:right="339" w:bottom="1440" w:gutter="0" w:footer="0" w:header="0"/>
        </w:sectPr>
      </w:pPr>
    </w:p>
    <w:bookmarkStart w:id="98" w:name="page99"/>
    <w:bookmarkEnd w:id="98"/>
    <w:p>
      <w:pPr>
        <w:ind w:left="10140"/>
        <w:spacing w:after="0"/>
        <w:rPr>
          <w:sz w:val="20"/>
          <w:szCs w:val="20"/>
          <w:color w:val="auto"/>
        </w:rPr>
      </w:pPr>
      <w:r>
        <w:rPr>
          <w:rFonts w:ascii="Times New Roman" w:cs="Times New Roman" w:eastAsia="Times New Roman" w:hAnsi="Times New Roman"/>
          <w:sz w:val="19"/>
          <w:szCs w:val="19"/>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332"/>
        <w:spacing w:after="0" w:line="260" w:lineRule="auto"/>
        <w:tabs>
          <w:tab w:leader="none" w:pos="639"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in Interest</w:t>
      </w:r>
      <w:r>
        <w:rPr>
          <w:rFonts w:ascii="Times New Roman" w:cs="Times New Roman" w:eastAsia="Times New Roman" w:hAnsi="Times New Roman"/>
          <w:sz w:val="20"/>
          <w:szCs w:val="20"/>
          <w:color w:val="auto"/>
        </w:rPr>
        <w:t>. This Agreement shall inure to the benefit of, and be binding upon, the Company and its successors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64" w:lineRule="exact"/>
        <w:rPr>
          <w:rFonts w:ascii="Times New Roman" w:cs="Times New Roman" w:eastAsia="Times New Roman" w:hAnsi="Times New Roman"/>
          <w:sz w:val="20"/>
          <w:szCs w:val="20"/>
          <w:b w:val="1"/>
          <w:bCs w:val="1"/>
          <w:color w:val="auto"/>
        </w:rPr>
      </w:pPr>
    </w:p>
    <w:p>
      <w:pPr>
        <w:jc w:val="both"/>
        <w:ind w:firstLine="332"/>
        <w:spacing w:after="0" w:line="258" w:lineRule="auto"/>
        <w:tabs>
          <w:tab w:leader="none" w:pos="639"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This Agreement, along with any Exhibit hereto, encompasses the entire agreement of the parties related to the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matter of this Agreement, and supersedes all previous understandings and agreements between them, whether oral or written, except as otherwise described specifically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67" w:lineRule="exact"/>
        <w:rPr>
          <w:rFonts w:ascii="Times New Roman" w:cs="Times New Roman" w:eastAsia="Times New Roman" w:hAnsi="Times New Roman"/>
          <w:sz w:val="20"/>
          <w:szCs w:val="20"/>
          <w:b w:val="1"/>
          <w:bCs w:val="1"/>
          <w:color w:val="auto"/>
        </w:rPr>
      </w:pPr>
    </w:p>
    <w:p>
      <w:pPr>
        <w:jc w:val="both"/>
        <w:ind w:right="20" w:firstLine="332"/>
        <w:spacing w:after="0" w:line="263" w:lineRule="auto"/>
        <w:tabs>
          <w:tab w:leader="none" w:pos="639"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Committee shall have the sole and absolute authority to interpret, construe and apply the terms of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to make any and all determinations under them. Any determination or decision by the Committee shall be final, binding and conclusive upon Grantee, Grantee’s legal representative and the Company for all purposes.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By completing the online acceptance process, Grantee accepts the grant of RSUs and agrees to all the terms and conditions described in this Agreement and in the Plan.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635"/>
        <w:spacing w:after="0" w:line="283" w:lineRule="auto"/>
        <w:rPr>
          <w:sz w:val="20"/>
          <w:szCs w:val="20"/>
          <w:color w:val="auto"/>
        </w:rPr>
      </w:pPr>
      <w:r>
        <w:rPr>
          <w:rFonts w:ascii="Times New Roman" w:cs="Times New Roman" w:eastAsia="Times New Roman" w:hAnsi="Times New Roman"/>
          <w:sz w:val="20"/>
          <w:szCs w:val="20"/>
          <w:color w:val="auto"/>
        </w:rPr>
        <w:t>You acknowledge that you have read the Company’s Stock Ownership Guidelines (“Guidelines”) posted on the Company’s website and you agree to comply with those Guidelines.</w:t>
      </w:r>
    </w:p>
    <w:p>
      <w:pPr>
        <w:spacing w:after="0" w:line="146" w:lineRule="exact"/>
        <w:rPr>
          <w:sz w:val="20"/>
          <w:szCs w:val="20"/>
          <w:color w:val="auto"/>
        </w:rPr>
      </w:pPr>
    </w:p>
    <w:p>
      <w:pPr>
        <w:ind w:firstLine="635"/>
        <w:spacing w:after="0" w:line="283" w:lineRule="auto"/>
        <w:rPr>
          <w:sz w:val="20"/>
          <w:szCs w:val="20"/>
          <w:color w:val="auto"/>
        </w:rPr>
      </w:pPr>
      <w:r>
        <w:rPr>
          <w:rFonts w:ascii="Times New Roman" w:cs="Times New Roman" w:eastAsia="Times New Roman" w:hAnsi="Times New Roman"/>
          <w:sz w:val="20"/>
          <w:szCs w:val="20"/>
          <w:color w:val="auto"/>
        </w:rPr>
        <w:t>Your minimum stock ownership level and retention requirements, based on the Grantee Level stated on the first page of this Agreement, are set forth below. In the event of a conflict between this Exhibit A and the Guidelines, the Guidelines will prevail.</w:t>
      </w:r>
    </w:p>
    <w:p>
      <w:pPr>
        <w:spacing w:after="0" w:line="176"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1460" w:type="dxa"/>
            <w:vAlign w:val="bottom"/>
            <w:tcBorders>
              <w:top w:val="single" w:sz="8" w:color="auto"/>
              <w:left w:val="single" w:sz="8" w:color="auto"/>
              <w:right w:val="single" w:sz="8" w:color="auto"/>
            </w:tcBorders>
          </w:tcPr>
          <w:p>
            <w:pPr>
              <w:spacing w:after="0"/>
              <w:rPr>
                <w:sz w:val="21"/>
                <w:szCs w:val="21"/>
                <w:color w:val="auto"/>
              </w:rPr>
            </w:pPr>
          </w:p>
        </w:tc>
        <w:tc>
          <w:tcPr>
            <w:tcW w:w="5540" w:type="dxa"/>
            <w:vAlign w:val="bottom"/>
            <w:tcBorders>
              <w:top w:val="single" w:sz="8" w:color="auto"/>
              <w:right w:val="single" w:sz="8" w:color="auto"/>
            </w:tcBorders>
          </w:tcPr>
          <w:p>
            <w:pPr>
              <w:spacing w:after="0"/>
              <w:rPr>
                <w:sz w:val="21"/>
                <w:szCs w:val="21"/>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Ownership</w:t>
            </w:r>
          </w:p>
        </w:tc>
        <w:tc>
          <w:tcPr>
            <w:tcW w:w="1720" w:type="dxa"/>
            <w:vAlign w:val="bottom"/>
            <w:tcBorders>
              <w:top w:val="single" w:sz="8" w:color="auto"/>
              <w:right w:val="single" w:sz="8" w:color="auto"/>
            </w:tcBorders>
          </w:tcPr>
          <w:p>
            <w:pPr>
              <w:spacing w:after="0"/>
              <w:rPr>
                <w:sz w:val="21"/>
                <w:szCs w:val="21"/>
                <w:color w:val="auto"/>
              </w:rPr>
            </w:pPr>
          </w:p>
        </w:tc>
      </w:tr>
      <w:tr>
        <w:trPr>
          <w:trHeight w:val="230"/>
        </w:trPr>
        <w:tc>
          <w:tcPr>
            <w:tcW w:w="1460" w:type="dxa"/>
            <w:vAlign w:val="bottom"/>
            <w:tcBorders>
              <w:left w:val="single" w:sz="8" w:color="auto"/>
              <w:right w:val="single" w:sz="8" w:color="auto"/>
            </w:tcBorders>
          </w:tcPr>
          <w:p>
            <w:pPr>
              <w:spacing w:after="0"/>
              <w:rPr>
                <w:sz w:val="19"/>
                <w:szCs w:val="19"/>
                <w:color w:val="auto"/>
              </w:rPr>
            </w:pPr>
          </w:p>
        </w:tc>
        <w:tc>
          <w:tcPr>
            <w:tcW w:w="55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Multiple of</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Retention</w:t>
            </w:r>
          </w:p>
        </w:tc>
      </w:tr>
      <w:tr>
        <w:trPr>
          <w:trHeight w:val="229"/>
        </w:trPr>
        <w:tc>
          <w:tcPr>
            <w:tcW w:w="1460" w:type="dxa"/>
            <w:vAlign w:val="bottom"/>
            <w:tcBorders>
              <w:left w:val="single" w:sz="8" w:color="auto"/>
              <w:right w:val="single" w:sz="8" w:color="auto"/>
            </w:tcBorders>
          </w:tcPr>
          <w:p>
            <w:pPr>
              <w:spacing w:after="0"/>
              <w:rPr>
                <w:sz w:val="19"/>
                <w:szCs w:val="19"/>
                <w:color w:val="auto"/>
              </w:rPr>
            </w:pPr>
          </w:p>
        </w:tc>
        <w:tc>
          <w:tcPr>
            <w:tcW w:w="55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Annual Base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Requirement</w:t>
            </w:r>
          </w:p>
        </w:tc>
      </w:tr>
      <w:tr>
        <w:trPr>
          <w:trHeight w:val="262"/>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Grantee Level</w:t>
            </w:r>
          </w:p>
        </w:tc>
        <w:tc>
          <w:tcPr>
            <w:tcW w:w="5540" w:type="dxa"/>
            <w:vAlign w:val="bottom"/>
            <w:tcBorders>
              <w:right w:val="single" w:sz="8" w:color="auto"/>
            </w:tcBorders>
          </w:tcPr>
          <w:p>
            <w:pPr>
              <w:ind w:left="25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Executive Officers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58"/>
        </w:trPr>
        <w:tc>
          <w:tcPr>
            <w:tcW w:w="1460" w:type="dxa"/>
            <w:vAlign w:val="bottom"/>
            <w:tcBorders>
              <w:left w:val="single" w:sz="8" w:color="auto"/>
              <w:right w:val="single" w:sz="8" w:color="auto"/>
            </w:tcBorders>
          </w:tcPr>
          <w:p>
            <w:pPr>
              <w:spacing w:after="0"/>
              <w:rPr>
                <w:sz w:val="22"/>
                <w:szCs w:val="22"/>
                <w:color w:val="auto"/>
              </w:rPr>
            </w:pP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(other than the Chief Executive Officer)</w:t>
            </w:r>
          </w:p>
        </w:tc>
        <w:tc>
          <w:tcPr>
            <w:tcW w:w="164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41"/>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Executive Vice Presidents and Senior Vice Presidents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58"/>
        </w:trPr>
        <w:tc>
          <w:tcPr>
            <w:tcW w:w="1460" w:type="dxa"/>
            <w:vAlign w:val="bottom"/>
            <w:tcBorders>
              <w:left w:val="single" w:sz="8" w:color="auto"/>
              <w:right w:val="single" w:sz="8" w:color="auto"/>
            </w:tcBorders>
          </w:tcPr>
          <w:p>
            <w:pPr>
              <w:spacing w:after="0"/>
              <w:rPr>
                <w:sz w:val="22"/>
                <w:szCs w:val="22"/>
                <w:color w:val="auto"/>
              </w:rPr>
            </w:pP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(other than Executive Officers)</w:t>
            </w:r>
          </w:p>
        </w:tc>
        <w:tc>
          <w:tcPr>
            <w:tcW w:w="164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5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All Other Associates/Participants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21"/>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ADDITIONAL TERMS AND CONDITIONS FOR GRANTEES OUTSIDE THE U.S.</w:t>
      </w:r>
    </w:p>
    <w:p>
      <w:pPr>
        <w:spacing w:after="0" w:line="2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120"/>
          </w:cols>
          <w:pgMar w:left="1440" w:top="11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CONFIDENTIALITY, INVENTIONS, NON-SOLICITATION AND NON-COMPETITION PROVISIONS</w:t>
      </w:r>
    </w:p>
    <w:p>
      <w:pPr>
        <w:spacing w:after="0" w:line="216"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9"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“Confidential Information” means the following:</w:t>
      </w:r>
    </w:p>
    <w:p>
      <w:pPr>
        <w:spacing w:after="0" w:line="233" w:lineRule="exact"/>
        <w:rPr>
          <w:rFonts w:ascii="Times New Roman" w:cs="Times New Roman" w:eastAsia="Times New Roman" w:hAnsi="Times New Roman"/>
          <w:sz w:val="20"/>
          <w:szCs w:val="20"/>
          <w:b w:val="1"/>
          <w:bCs w:val="1"/>
          <w:color w:val="auto"/>
        </w:rPr>
      </w:pPr>
    </w:p>
    <w:p>
      <w:pPr>
        <w:jc w:val="both"/>
        <w:ind w:left="820" w:hanging="164"/>
        <w:spacing w:after="0" w:line="262" w:lineRule="auto"/>
        <w:tabs>
          <w:tab w:leader="none" w:pos="816" w:val="left"/>
        </w:tabs>
        <w:numPr>
          <w:ilvl w:val="2"/>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Times New Roman" w:cs="Times New Roman" w:eastAsia="Times New Roman" w:hAnsi="Times New Roman"/>
          <w:sz w:val="19"/>
          <w:szCs w:val="19"/>
          <w:u w:val="single" w:color="auto"/>
          <w:color w:val="auto"/>
        </w:rPr>
        <w:t>and</w:t>
      </w:r>
      <w:r>
        <w:rPr>
          <w:rFonts w:ascii="Times New Roman" w:cs="Times New Roman" w:eastAsia="Times New Roman" w:hAnsi="Times New Roman"/>
          <w:sz w:val="19"/>
          <w:szCs w:val="19"/>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w:t>
      </w:r>
    </w:p>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compilations of information about, and communications and agreements with, customers and potential customers of the Company;</w:t>
      </w:r>
    </w:p>
    <w:p>
      <w:pPr>
        <w:spacing w:after="0" w:line="18" w:lineRule="exact"/>
        <w:rPr>
          <w:sz w:val="20"/>
          <w:szCs w:val="20"/>
          <w:color w:val="auto"/>
        </w:rPr>
      </w:pPr>
    </w:p>
    <w:p>
      <w:pPr>
        <w:jc w:val="both"/>
        <w:ind w:left="820" w:hanging="2"/>
        <w:spacing w:after="0" w:line="262" w:lineRule="auto"/>
        <w:tabs>
          <w:tab w:leader="none" w:pos="111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ii.Confidential Information shall not include:</w:t>
      </w:r>
    </w:p>
    <w:p>
      <w:pPr>
        <w:spacing w:after="0" w:line="229" w:lineRule="exact"/>
        <w:rPr>
          <w:sz w:val="20"/>
          <w:szCs w:val="20"/>
          <w:color w:val="auto"/>
        </w:rPr>
      </w:pPr>
    </w:p>
    <w:p>
      <w:pPr>
        <w:ind w:left="1220" w:hanging="321"/>
        <w:spacing w:after="0"/>
        <w:tabs>
          <w:tab w:leader="none" w:pos="12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generally available to the public other than as a result of improper disclosure by Grantee;</w:t>
      </w:r>
    </w:p>
    <w:p>
      <w:pPr>
        <w:spacing w:after="0" w:line="215" w:lineRule="exact"/>
        <w:rPr>
          <w:rFonts w:ascii="Times New Roman" w:cs="Times New Roman" w:eastAsia="Times New Roman" w:hAnsi="Times New Roman"/>
          <w:sz w:val="20"/>
          <w:szCs w:val="20"/>
          <w:color w:val="auto"/>
        </w:rPr>
      </w:pPr>
    </w:p>
    <w:p>
      <w:pPr>
        <w:ind w:left="1220" w:hanging="321"/>
        <w:spacing w:after="0" w:line="283" w:lineRule="auto"/>
        <w:tabs>
          <w:tab w:leader="none" w:pos="120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46" w:lineRule="exact"/>
        <w:rPr>
          <w:rFonts w:ascii="Times New Roman" w:cs="Times New Roman" w:eastAsia="Times New Roman" w:hAnsi="Times New Roman"/>
          <w:sz w:val="20"/>
          <w:szCs w:val="20"/>
          <w:color w:val="auto"/>
        </w:rPr>
      </w:pPr>
    </w:p>
    <w:p>
      <w:pPr>
        <w:ind w:left="1220" w:hanging="321"/>
        <w:spacing w:after="0"/>
        <w:tabs>
          <w:tab w:leader="none" w:pos="12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disclosed pursuant to law, regulations or pursuant to a subpoena, court order or legal process; and/or</w:t>
      </w:r>
    </w:p>
    <w:p>
      <w:pPr>
        <w:spacing w:after="0" w:line="229" w:lineRule="exact"/>
        <w:rPr>
          <w:rFonts w:ascii="Times New Roman" w:cs="Times New Roman" w:eastAsia="Times New Roman" w:hAnsi="Times New Roman"/>
          <w:sz w:val="20"/>
          <w:szCs w:val="20"/>
          <w:color w:val="auto"/>
        </w:rPr>
      </w:pPr>
    </w:p>
    <w:p>
      <w:pPr>
        <w:ind w:left="1220" w:hanging="321"/>
        <w:spacing w:after="0"/>
        <w:tabs>
          <w:tab w:leader="none" w:pos="12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obtained in filings with the Securities and Exchange Commission.</w:t>
      </w:r>
    </w:p>
    <w:p>
      <w:pPr>
        <w:spacing w:after="0" w:line="225"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b w:val="1"/>
          <w:bCs w:val="1"/>
          <w:color w:val="auto"/>
        </w:rPr>
        <w:t>“Trade Secrets”</w:t>
      </w:r>
      <w:r>
        <w:rPr>
          <w:rFonts w:ascii="Times New Roman" w:cs="Times New Roman" w:eastAsia="Times New Roman" w:hAnsi="Times New Roman"/>
          <w:sz w:val="20"/>
          <w:szCs w:val="20"/>
          <w:color w:val="auto"/>
        </w:rPr>
        <w:t xml:space="preserve"> has the meaning set forth under Georgia law, O.C.G.A. §§ 10-1-760,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28" w:hanging="328"/>
        <w:spacing w:after="0" w:line="270" w:lineRule="auto"/>
        <w:tabs>
          <w:tab w:leader="none" w:pos="32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“Customers” </w:t>
      </w:r>
      <w:r>
        <w:rPr>
          <w:rFonts w:ascii="Times New Roman" w:cs="Times New Roman" w:eastAsia="Times New Roman" w:hAnsi="Times New Roman"/>
          <w:sz w:val="19"/>
          <w:szCs w:val="19"/>
          <w:color w:val="auto"/>
        </w:rPr>
        <w:t>means those entities and/or individuals which, within the two-year period preceding the Date of Termination (as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58"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means Acuity Inc. (previously known as Acuity Brands, Inc.), along with its Subsidiaries or other Affiliates.</w:t>
      </w:r>
    </w:p>
    <w:p>
      <w:pPr>
        <w:spacing w:after="0" w:line="229" w:lineRule="exact"/>
        <w:rPr>
          <w:rFonts w:ascii="Times New Roman" w:cs="Times New Roman" w:eastAsia="Times New Roman" w:hAnsi="Times New Roman"/>
          <w:sz w:val="20"/>
          <w:szCs w:val="20"/>
          <w:color w:val="auto"/>
        </w:rPr>
      </w:pPr>
    </w:p>
    <w:p>
      <w:pPr>
        <w:jc w:val="both"/>
        <w:ind w:left="328" w:hanging="328"/>
        <w:spacing w:after="0" w:line="250" w:lineRule="auto"/>
        <w:tabs>
          <w:tab w:leader="none" w:pos="32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“Company’s Business” </w:t>
      </w:r>
      <w:r>
        <w:rPr>
          <w:rFonts w:ascii="Times New Roman" w:cs="Times New Roman" w:eastAsia="Times New Roman" w:hAnsi="Times New Roman"/>
          <w:sz w:val="20"/>
          <w:szCs w:val="20"/>
          <w:color w:val="auto"/>
        </w:rPr>
        <w:t>means the design, manufacture, installation, servicing, and/or sale of one or more of the following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79" w:lineRule="exact"/>
        <w:rPr>
          <w:rFonts w:ascii="Times New Roman" w:cs="Times New Roman" w:eastAsia="Times New Roman" w:hAnsi="Times New Roman"/>
          <w:sz w:val="20"/>
          <w:szCs w:val="20"/>
          <w:color w:val="auto"/>
        </w:rPr>
      </w:pPr>
    </w:p>
    <w:p>
      <w:pPr>
        <w:ind w:left="328" w:hanging="328"/>
        <w:spacing w:after="0" w:line="287" w:lineRule="auto"/>
        <w:tabs>
          <w:tab w:leader="none" w:pos="31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Services” </w:t>
      </w:r>
      <w:r>
        <w:rPr>
          <w:rFonts w:ascii="Times New Roman" w:cs="Times New Roman" w:eastAsia="Times New Roman" w:hAnsi="Times New Roman"/>
          <w:sz w:val="20"/>
          <w:szCs w:val="20"/>
          <w:color w:val="auto"/>
        </w:rPr>
        <w:t>shall mean the duties and services of the type conducted, authorized, offered, or provided by Grantee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capacity as an Employee on behalf of the Company within twelve (12) months prior to the Date of Termination.</w:t>
      </w:r>
    </w:p>
    <w:p>
      <w:pPr>
        <w:spacing w:after="0" w:line="138" w:lineRule="exact"/>
        <w:rPr>
          <w:rFonts w:ascii="Times New Roman" w:cs="Times New Roman" w:eastAsia="Times New Roman" w:hAnsi="Times New Roman"/>
          <w:sz w:val="20"/>
          <w:szCs w:val="20"/>
          <w:color w:val="auto"/>
        </w:rPr>
      </w:pPr>
    </w:p>
    <w:p>
      <w:pPr>
        <w:jc w:val="both"/>
        <w:ind w:left="328" w:hanging="328"/>
        <w:spacing w:after="0" w:line="252" w:lineRule="auto"/>
        <w:tabs>
          <w:tab w:leader="none" w:pos="3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country in which Grantee is employed by the Company (the “Country”). Grantee acknowledges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87"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“Material Contact” </w:t>
      </w:r>
      <w:r>
        <w:rPr>
          <w:rFonts w:ascii="Times New Roman" w:cs="Times New Roman" w:eastAsia="Times New Roman" w:hAnsi="Times New Roman"/>
          <w:sz w:val="20"/>
          <w:szCs w:val="20"/>
          <w:color w:val="auto"/>
        </w:rPr>
        <w:t>shall have the meaning set forth in O.C.G.A. § 13-8-51(10), which includes contact between an employee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Customer or potential Customer: with whom or which Grantee dealt on behalf of the Company; whose dealings with the Company were coordinated or supervised by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908"/>
          </w:cols>
          <w:pgMar w:left="652"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77" w:lineRule="exact"/>
        <w:rPr>
          <w:sz w:val="20"/>
          <w:szCs w:val="20"/>
          <w:color w:val="auto"/>
        </w:rPr>
      </w:pPr>
    </w:p>
    <w:p>
      <w:pPr>
        <w:ind w:left="660" w:hanging="328"/>
        <w:spacing w:after="0" w:line="273" w:lineRule="auto"/>
        <w:tabs>
          <w:tab w:leader="none" w:pos="65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“Terminated for Cause” </w:t>
      </w:r>
      <w:r>
        <w:rPr>
          <w:rFonts w:ascii="Times New Roman" w:cs="Times New Roman" w:eastAsia="Times New Roman" w:hAnsi="Times New Roman"/>
          <w:sz w:val="20"/>
          <w:szCs w:val="20"/>
          <w:color w:val="auto"/>
        </w:rPr>
        <w:t>shall mean the involuntary termination of Grantee by the Company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reasons:</w:t>
      </w:r>
    </w:p>
    <w:p>
      <w:pPr>
        <w:spacing w:after="0" w:line="169" w:lineRule="exact"/>
        <w:rPr>
          <w:sz w:val="20"/>
          <w:szCs w:val="20"/>
          <w:color w:val="auto"/>
        </w:rPr>
      </w:pPr>
    </w:p>
    <w:p>
      <w:pPr>
        <w:ind w:left="820" w:hanging="161"/>
        <w:spacing w:after="0" w:line="269" w:lineRule="auto"/>
        <w:rPr>
          <w:sz w:val="20"/>
          <w:szCs w:val="20"/>
          <w:color w:val="auto"/>
        </w:rPr>
      </w:pPr>
      <w:r>
        <w:rPr>
          <w:rFonts w:ascii="Times New Roman" w:cs="Times New Roman" w:eastAsia="Times New Roman" w:hAnsi="Times New Roman"/>
          <w:sz w:val="20"/>
          <w:szCs w:val="20"/>
          <w:color w:val="auto"/>
        </w:rPr>
        <w:t>i. If termination shall have been the result of an act or acts by Grantee which constitute an indictable offense, a felony or any crime involving dishonesty, theft, fraud or moral turpitude;</w:t>
      </w:r>
    </w:p>
    <w:p>
      <w:pPr>
        <w:spacing w:after="0" w:line="173" w:lineRule="exact"/>
        <w:rPr>
          <w:sz w:val="20"/>
          <w:szCs w:val="20"/>
          <w:color w:val="auto"/>
        </w:rPr>
      </w:pPr>
    </w:p>
    <w:p>
      <w:pPr>
        <w:ind w:left="820" w:hanging="161"/>
        <w:spacing w:after="0" w:line="283" w:lineRule="auto"/>
        <w:rPr>
          <w:sz w:val="20"/>
          <w:szCs w:val="20"/>
          <w:color w:val="auto"/>
        </w:rPr>
      </w:pPr>
      <w:r>
        <w:rPr>
          <w:rFonts w:ascii="Times New Roman" w:cs="Times New Roman" w:eastAsia="Times New Roman" w:hAnsi="Times New Roman"/>
          <w:sz w:val="20"/>
          <w:szCs w:val="20"/>
          <w:color w:val="auto"/>
        </w:rPr>
        <w:t>ii.If termination shall have been the result of an act or acts by Grantee which are determined, in the good faith judgment of the Company, to be in violation of written policies of the Company;</w:t>
      </w:r>
    </w:p>
    <w:p>
      <w:pPr>
        <w:spacing w:after="0" w:line="146" w:lineRule="exact"/>
        <w:rPr>
          <w:sz w:val="20"/>
          <w:szCs w:val="20"/>
          <w:color w:val="auto"/>
        </w:rPr>
      </w:pPr>
    </w:p>
    <w:p>
      <w:pPr>
        <w:ind w:left="820" w:right="20" w:hanging="164"/>
        <w:spacing w:after="0" w:line="283" w:lineRule="auto"/>
        <w:tabs>
          <w:tab w:leader="none" w:pos="130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46" w:lineRule="exact"/>
        <w:rPr>
          <w:rFonts w:ascii="Times New Roman" w:cs="Times New Roman" w:eastAsia="Times New Roman" w:hAnsi="Times New Roman"/>
          <w:sz w:val="20"/>
          <w:szCs w:val="20"/>
          <w:color w:val="auto"/>
        </w:rPr>
      </w:pPr>
    </w:p>
    <w:p>
      <w:pPr>
        <w:jc w:val="both"/>
        <w:ind w:left="820" w:hanging="164"/>
        <w:spacing w:after="0" w:line="258" w:lineRule="auto"/>
        <w:tabs>
          <w:tab w:leader="none" w:pos="1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86" w:lineRule="exact"/>
        <w:rPr>
          <w:sz w:val="20"/>
          <w:szCs w:val="20"/>
          <w:color w:val="auto"/>
        </w:rPr>
      </w:pPr>
    </w:p>
    <w:p>
      <w:pPr>
        <w:ind w:left="820" w:right="20" w:hanging="161"/>
        <w:spacing w:after="0" w:line="269" w:lineRule="auto"/>
        <w:rPr>
          <w:sz w:val="20"/>
          <w:szCs w:val="20"/>
          <w:color w:val="auto"/>
        </w:rPr>
      </w:pPr>
      <w:r>
        <w:rPr>
          <w:rFonts w:ascii="Times New Roman" w:cs="Times New Roman" w:eastAsia="Times New Roman" w:hAnsi="Times New Roman"/>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69" w:lineRule="exact"/>
        <w:rPr>
          <w:sz w:val="20"/>
          <w:szCs w:val="20"/>
          <w:color w:val="auto"/>
        </w:rPr>
      </w:pPr>
    </w:p>
    <w:p>
      <w:pPr>
        <w:jc w:val="both"/>
        <w:ind w:left="660" w:hanging="328"/>
        <w:spacing w:after="0" w:line="254" w:lineRule="auto"/>
        <w:tabs>
          <w:tab w:leader="none" w:pos="651"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“Works For Hire.” </w:t>
      </w:r>
      <w:r>
        <w:rPr>
          <w:rFonts w:ascii="Times New Roman" w:cs="Times New Roman" w:eastAsia="Times New Roman" w:hAnsi="Times New Roman"/>
          <w:sz w:val="20"/>
          <w:szCs w:val="20"/>
          <w:color w:val="auto"/>
        </w:rPr>
        <w:t>The term “Invention” means contributions, discoveries, improvements and ideas and works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7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w:t>
      </w:r>
    </w:p>
    <w:p>
      <w:pPr>
        <w:spacing w:after="0" w:line="229" w:lineRule="exact"/>
        <w:rPr>
          <w:rFonts w:ascii="Times New Roman" w:cs="Times New Roman" w:eastAsia="Times New Roman" w:hAnsi="Times New Roman"/>
          <w:sz w:val="20"/>
          <w:szCs w:val="20"/>
          <w:b w:val="1"/>
          <w:bCs w:val="1"/>
          <w:color w:val="auto"/>
        </w:rPr>
      </w:pPr>
    </w:p>
    <w:p>
      <w:pPr>
        <w:jc w:val="both"/>
        <w:ind w:left="660" w:hanging="328"/>
        <w:spacing w:after="0" w:line="252" w:lineRule="auto"/>
        <w:tabs>
          <w:tab w:leader="none" w:pos="65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Purpose and Reasonableness of Provisions. </w:t>
      </w:r>
      <w:r>
        <w:rPr>
          <w:rFonts w:ascii="Times New Roman" w:cs="Times New Roman" w:eastAsia="Times New Roman" w:hAnsi="Times New Roman"/>
          <w:sz w:val="20"/>
          <w:szCs w:val="20"/>
          <w:color w:val="auto"/>
        </w:rPr>
        <w:t>Grantee acknowledges that, during the term of his/her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74"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52"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Trade Secrets and Confidential Information. </w:t>
      </w:r>
      <w:r>
        <w:rPr>
          <w:rFonts w:ascii="Times New Roman" w:cs="Times New Roman" w:eastAsia="Times New Roman" w:hAnsi="Times New Roman"/>
          <w:sz w:val="20"/>
          <w:szCs w:val="20"/>
          <w:color w:val="auto"/>
        </w:rPr>
        <w:t>Grantee agrees that he/she shall protect the Company’s Trade Secrets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1(b) above) and Confidential Information (as defined in Section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328"/>
        <w:spacing w:after="0" w:line="251" w:lineRule="auto"/>
        <w:rPr>
          <w:sz w:val="20"/>
          <w:szCs w:val="20"/>
          <w:color w:val="auto"/>
        </w:rPr>
      </w:pPr>
      <w:r>
        <w:rPr>
          <w:rFonts w:ascii="Times New Roman" w:cs="Times New Roman" w:eastAsia="Times New Roman" w:hAnsi="Times New Roman"/>
          <w:sz w:val="20"/>
          <w:szCs w:val="20"/>
          <w:color w:val="auto"/>
        </w:rPr>
        <w:t>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93" w:lineRule="exact"/>
        <w:rPr>
          <w:sz w:val="20"/>
          <w:szCs w:val="20"/>
          <w:color w:val="auto"/>
        </w:rPr>
      </w:pPr>
    </w:p>
    <w:p>
      <w:pPr>
        <w:jc w:val="both"/>
        <w:ind w:left="308"/>
        <w:spacing w:after="0" w:line="258" w:lineRule="auto"/>
        <w:rPr>
          <w:sz w:val="20"/>
          <w:szCs w:val="20"/>
          <w:color w:val="auto"/>
        </w:rPr>
      </w:pPr>
      <w:r>
        <w:rPr>
          <w:rFonts w:ascii="Times New Roman" w:cs="Times New Roman" w:eastAsia="Times New Roman" w:hAnsi="Times New Roman"/>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72" w:lineRule="exact"/>
        <w:rPr>
          <w:sz w:val="20"/>
          <w:szCs w:val="20"/>
          <w:color w:val="auto"/>
        </w:rPr>
      </w:pPr>
    </w:p>
    <w:p>
      <w:pPr>
        <w:jc w:val="both"/>
        <w:ind w:left="308"/>
        <w:spacing w:after="0" w:line="258" w:lineRule="auto"/>
        <w:rPr>
          <w:sz w:val="20"/>
          <w:szCs w:val="20"/>
          <w:color w:val="auto"/>
        </w:rPr>
      </w:pPr>
      <w:r>
        <w:rPr>
          <w:rFonts w:ascii="Times New Roman" w:cs="Times New Roman" w:eastAsia="Times New Roman" w:hAnsi="Times New Roman"/>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82" w:lineRule="exact"/>
        <w:rPr>
          <w:sz w:val="20"/>
          <w:szCs w:val="20"/>
          <w:color w:val="auto"/>
        </w:rPr>
      </w:pPr>
    </w:p>
    <w:p>
      <w:pPr>
        <w:jc w:val="both"/>
        <w:ind w:left="328" w:hanging="328"/>
        <w:spacing w:after="0" w:line="252" w:lineRule="auto"/>
        <w:tabs>
          <w:tab w:leader="none" w:pos="3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Property</w:t>
      </w:r>
      <w:r>
        <w:rPr>
          <w:rFonts w:ascii="Times New Roman" w:cs="Times New Roman" w:eastAsia="Times New Roman" w:hAnsi="Times New Roman"/>
          <w:sz w:val="20"/>
          <w:szCs w:val="20"/>
          <w:color w:val="auto"/>
        </w:rPr>
        <w:t>. On or before the Date of Termination, Grantee agrees to deliver promptly to the Company all files, customer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86" w:lineRule="exact"/>
        <w:rPr>
          <w:rFonts w:ascii="Times New Roman" w:cs="Times New Roman" w:eastAsia="Times New Roman" w:hAnsi="Times New Roman"/>
          <w:sz w:val="20"/>
          <w:szCs w:val="20"/>
          <w:color w:val="auto"/>
        </w:rPr>
      </w:pPr>
    </w:p>
    <w:p>
      <w:pPr>
        <w:jc w:val="both"/>
        <w:ind w:left="328" w:hanging="328"/>
        <w:spacing w:after="0" w:line="254" w:lineRule="auto"/>
        <w:tabs>
          <w:tab w:leader="none" w:pos="31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does hereby assign to the Company the entire right, title and interest in any Invention which is or was made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86" w:lineRule="exact"/>
        <w:rPr>
          <w:rFonts w:ascii="Times New Roman" w:cs="Times New Roman" w:eastAsia="Times New Roman" w:hAnsi="Times New Roman"/>
          <w:sz w:val="20"/>
          <w:szCs w:val="20"/>
          <w:color w:val="auto"/>
        </w:rPr>
      </w:pPr>
    </w:p>
    <w:p>
      <w:pPr>
        <w:ind w:left="328" w:right="7020" w:hanging="328"/>
        <w:spacing w:after="0" w:line="499" w:lineRule="auto"/>
        <w:tabs>
          <w:tab w:leader="none" w:pos="32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Non-Competition. </w:t>
      </w:r>
      <w:r>
        <w:rPr>
          <w:rFonts w:ascii="Times New Roman" w:cs="Times New Roman" w:eastAsia="Times New Roman" w:hAnsi="Times New Roman"/>
          <w:sz w:val="19"/>
          <w:szCs w:val="19"/>
          <w:color w:val="auto"/>
        </w:rPr>
        <w:t>In the event that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 voluntarily resigns from the Company,</w:t>
      </w:r>
    </w:p>
    <w:p>
      <w:pPr>
        <w:ind w:left="328"/>
        <w:spacing w:after="0"/>
        <w:rPr>
          <w:sz w:val="20"/>
          <w:szCs w:val="20"/>
          <w:color w:val="auto"/>
        </w:rPr>
      </w:pPr>
      <w:r>
        <w:rPr>
          <w:rFonts w:ascii="Times New Roman" w:cs="Times New Roman" w:eastAsia="Times New Roman" w:hAnsi="Times New Roman"/>
          <w:sz w:val="20"/>
          <w:szCs w:val="20"/>
          <w:color w:val="auto"/>
        </w:rPr>
        <w:t>ii.is Terminated for Cause (as defined above), or</w:t>
      </w:r>
    </w:p>
    <w:p>
      <w:pPr>
        <w:spacing w:after="0" w:line="216" w:lineRule="exact"/>
        <w:rPr>
          <w:sz w:val="20"/>
          <w:szCs w:val="20"/>
          <w:color w:val="auto"/>
        </w:rPr>
      </w:pPr>
    </w:p>
    <w:p>
      <w:pPr>
        <w:ind w:left="488" w:right="20" w:hanging="164"/>
        <w:spacing w:after="0" w:line="283" w:lineRule="auto"/>
        <w:tabs>
          <w:tab w:leader="none" w:pos="97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46" w:lineRule="exact"/>
        <w:rPr>
          <w:sz w:val="20"/>
          <w:szCs w:val="20"/>
          <w:color w:val="auto"/>
        </w:rPr>
      </w:pPr>
    </w:p>
    <w:p>
      <w:pPr>
        <w:jc w:val="both"/>
        <w:ind w:left="308" w:right="20"/>
        <w:spacing w:after="0" w:line="268"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908"/>
          </w:cols>
          <w:pgMar w:left="652" w:top="11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191" w:lineRule="exact"/>
        <w:rPr>
          <w:sz w:val="20"/>
          <w:szCs w:val="20"/>
          <w:color w:val="auto"/>
        </w:rPr>
      </w:pPr>
    </w:p>
    <w:p>
      <w:pPr>
        <w:jc w:val="both"/>
        <w:ind w:left="660" w:hanging="328"/>
        <w:spacing w:after="0" w:line="255" w:lineRule="auto"/>
        <w:tabs>
          <w:tab w:leader="none" w:pos="64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Grantee acknowledges and agrees that during his/her employment, and for twenty-four (24)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83"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5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Non-Solicitation of Sales Agents. </w:t>
      </w:r>
      <w:r>
        <w:rPr>
          <w:rFonts w:ascii="Times New Roman" w:cs="Times New Roman" w:eastAsia="Times New Roman" w:hAnsi="Times New Roman"/>
          <w:sz w:val="19"/>
          <w:szCs w:val="19"/>
          <w:color w:val="auto"/>
        </w:rPr>
        <w:t>Grantee acknowledges and agrees that during his/her employment, and for a period of twenty-four</w:t>
      </w:r>
    </w:p>
    <w:p>
      <w:pPr>
        <w:spacing w:after="0" w:line="37"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after the Date of Termination, Grantee has not and will not, directly or indirectly, whether on behalf of Grantee or others,</w:t>
      </w:r>
    </w:p>
    <w:p>
      <w:pPr>
        <w:spacing w:after="0" w:line="1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72" w:lineRule="exact"/>
        <w:rPr>
          <w:sz w:val="20"/>
          <w:szCs w:val="20"/>
          <w:color w:val="auto"/>
        </w:rPr>
      </w:pPr>
    </w:p>
    <w:p>
      <w:pPr>
        <w:jc w:val="both"/>
        <w:ind w:left="660" w:hanging="328"/>
        <w:spacing w:after="0" w:line="254" w:lineRule="auto"/>
        <w:tabs>
          <w:tab w:leader="none" w:pos="65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Injunctive Relief. </w:t>
      </w:r>
      <w:r>
        <w:rPr>
          <w:rFonts w:ascii="Times New Roman" w:cs="Times New Roman" w:eastAsia="Times New Roman" w:hAnsi="Times New Roman"/>
          <w:sz w:val="20"/>
          <w:szCs w:val="20"/>
          <w:color w:val="auto"/>
        </w:rPr>
        <w:t>Grantee acknowledges that if he/she breaches or threatens to breach any of the provisions of this Section 2, his/her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86"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Non-Assignable by Grantee</w:t>
      </w:r>
      <w:r>
        <w:rPr>
          <w:rFonts w:ascii="Times New Roman" w:cs="Times New Roman" w:eastAsia="Times New Roman" w:hAnsi="Times New Roman"/>
          <w:sz w:val="20"/>
          <w:szCs w:val="20"/>
          <w:color w:val="auto"/>
        </w:rPr>
        <w:t>. The parties acknowledge that the Confidentiality Provisions have been entered into due to, among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things, the special skills and knowledge of Grantee, and agree that the Confidentiality Provisions may not be assigned or transferred by Grantee.</w:t>
      </w:r>
    </w:p>
    <w:p>
      <w:pPr>
        <w:spacing w:after="0" w:line="175"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requests, demands and other communications required or permitted hereunder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delivered or seven days after mailing if mailed first class, certified mail, postage prepaid, addressed as follows:</w:t>
      </w:r>
    </w:p>
    <w:p>
      <w:pPr>
        <w:spacing w:after="0" w:line="166"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20"/>
          <w:szCs w:val="20"/>
          <w:color w:val="auto"/>
        </w:rPr>
        <w:t>If to the Company:</w:t>
      </w:r>
      <w:r>
        <w:rPr>
          <w:sz w:val="20"/>
          <w:szCs w:val="20"/>
          <w:color w:val="auto"/>
        </w:rPr>
        <w:tab/>
      </w:r>
      <w:r>
        <w:rPr>
          <w:rFonts w:ascii="Times New Roman" w:cs="Times New Roman" w:eastAsia="Times New Roman" w:hAnsi="Times New Roman"/>
          <w:sz w:val="19"/>
          <w:szCs w:val="19"/>
          <w:color w:val="auto"/>
        </w:rPr>
        <w:t>Acuity Inc.</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Attention: Corporate Secretary</w:t>
      </w:r>
    </w:p>
    <w:p>
      <w:pPr>
        <w:spacing w:after="0" w:line="1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1170 Peachtree Street, NE, Suite 1200</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Atlanta, Georgia 30309-7676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4" w:right="339" w:bottom="1440" w:gutter="0" w:footer="0" w:header="0"/>
        </w:sectPr>
      </w:pPr>
    </w:p>
    <w:bookmarkStart w:id="106" w:name="page107"/>
    <w:bookmarkEnd w:id="106"/>
    <w:p>
      <w:pPr>
        <w:ind w:left="10140"/>
        <w:spacing w:after="0"/>
        <w:rPr>
          <w:sz w:val="20"/>
          <w:szCs w:val="20"/>
          <w:color w:val="auto"/>
        </w:rPr>
      </w:pPr>
      <w:r>
        <w:rPr>
          <w:rFonts w:ascii="Times New Roman" w:cs="Times New Roman" w:eastAsia="Times New Roman" w:hAnsi="Times New Roman"/>
          <w:sz w:val="19"/>
          <w:szCs w:val="19"/>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20"/>
          <w:szCs w:val="20"/>
          <w:color w:val="auto"/>
        </w:rPr>
        <w:t>If to Grantee:</w:t>
      </w:r>
      <w:r>
        <w:rPr>
          <w:sz w:val="20"/>
          <w:szCs w:val="20"/>
          <w:color w:val="auto"/>
        </w:rPr>
        <w:tab/>
      </w:r>
      <w:r>
        <w:rPr>
          <w:rFonts w:ascii="Times New Roman" w:cs="Times New Roman" w:eastAsia="Times New Roman" w:hAnsi="Times New Roman"/>
          <w:sz w:val="19"/>
          <w:szCs w:val="19"/>
          <w:color w:val="auto"/>
        </w:rPr>
        <w:t>To his or her last known address on file with the Company.</w:t>
      </w:r>
    </w:p>
    <w:p>
      <w:pPr>
        <w:spacing w:after="0" w:line="216" w:lineRule="exact"/>
        <w:rPr>
          <w:sz w:val="20"/>
          <w:szCs w:val="20"/>
          <w:color w:val="auto"/>
        </w:rPr>
      </w:pPr>
    </w:p>
    <w:p>
      <w:pPr>
        <w:ind w:left="340"/>
        <w:spacing w:after="0" w:line="283" w:lineRule="auto"/>
        <w:rPr>
          <w:sz w:val="20"/>
          <w:szCs w:val="20"/>
          <w:color w:val="auto"/>
        </w:rPr>
      </w:pPr>
      <w:r>
        <w:rPr>
          <w:rFonts w:ascii="Times New Roman" w:cs="Times New Roman" w:eastAsia="Times New Roman" w:hAnsi="Times New Roman"/>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56" w:lineRule="exact"/>
        <w:rPr>
          <w:sz w:val="20"/>
          <w:szCs w:val="20"/>
          <w:color w:val="auto"/>
        </w:rPr>
      </w:pPr>
    </w:p>
    <w:p>
      <w:pPr>
        <w:jc w:val="both"/>
        <w:ind w:left="340" w:hanging="332"/>
        <w:spacing w:after="0" w:line="252" w:lineRule="auto"/>
        <w:tabs>
          <w:tab w:leader="none" w:pos="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Provisions Severabl</w:t>
      </w:r>
      <w:r>
        <w:rPr>
          <w:rFonts w:ascii="Times New Roman" w:cs="Times New Roman" w:eastAsia="Times New Roman" w:hAnsi="Times New Roman"/>
          <w:sz w:val="20"/>
          <w:szCs w:val="20"/>
          <w:color w:val="auto"/>
        </w:rPr>
        <w:t>e. If any provision or covenant, or any part thereof, contained in the Confidentiality Provisions is held by any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agency, arbitrator or other competent authority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 To the extent a court, agency, arbitrator or other competent authority finds that a provision is unenforceable because it is overbroad, the court may modify or reform the provision to the minimum extent necessary for the provision to remain in force and effect for the maximum duration, subject matter scope and geographic area as to which it may be enforceable.</w:t>
      </w:r>
    </w:p>
    <w:p>
      <w:pPr>
        <w:spacing w:after="0" w:line="178" w:lineRule="exact"/>
        <w:rPr>
          <w:rFonts w:ascii="Times New Roman" w:cs="Times New Roman" w:eastAsia="Times New Roman" w:hAnsi="Times New Roman"/>
          <w:sz w:val="20"/>
          <w:szCs w:val="20"/>
          <w:color w:val="auto"/>
        </w:rPr>
      </w:pPr>
    </w:p>
    <w:p>
      <w:pPr>
        <w:jc w:val="both"/>
        <w:ind w:left="34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55" w:lineRule="auto"/>
        <w:tabs>
          <w:tab w:leader="none" w:pos="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Failure of either party to insist, in one or more instances, on performance by the other in strict accordance with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83"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1" w:lineRule="auto"/>
        <w:tabs>
          <w:tab w:leader="none" w:pos="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The validity and effect of the Confidentiality Provisions shall be governed by and construed and enforced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1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2"/>
        <w:spacing w:after="0" w:line="273" w:lineRule="auto"/>
        <w:tabs>
          <w:tab w:leader="none" w:pos="3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Legal Fees. </w:t>
      </w:r>
      <w:r>
        <w:rPr>
          <w:rFonts w:ascii="Times New Roman" w:cs="Times New Roman" w:eastAsia="Times New Roman" w:hAnsi="Times New Roman"/>
          <w:sz w:val="20"/>
          <w:szCs w:val="20"/>
          <w:color w:val="auto"/>
        </w:rPr>
        <w:t>Each party shall pay its own legal fees and other expenses associated with any dispute under the Confidentiality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Exhibit hereto.</w:t>
      </w:r>
    </w:p>
    <w:p>
      <w:pPr>
        <w:spacing w:after="0" w:line="165"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3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Tender Back Provision. </w:t>
      </w:r>
      <w:r>
        <w:rPr>
          <w:rFonts w:ascii="Times New Roman" w:cs="Times New Roman" w:eastAsia="Times New Roman" w:hAnsi="Times New Roman"/>
          <w:sz w:val="20"/>
          <w:szCs w:val="20"/>
          <w:color w:val="auto"/>
        </w:rPr>
        <w:t>If, in the context of a lawsuit involving Grantee or any other person or entity arguing on Grantee’s behalf,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court determines that any provisions of Section 2 are void, invalid, illegal, or otherwise unenforceable, Grantee shall be required to immediately return to the Company 70% of all monies paid out under the Restricted Stock Unit Agreement, or to return 70% of any unsold shares Grantee still owns of such RSUs awarded under the Restricted Stock Unit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86" w:lineRule="exact"/>
        <w:rPr>
          <w:rFonts w:ascii="Times New Roman" w:cs="Times New Roman" w:eastAsia="Times New Roman" w:hAnsi="Times New Roman"/>
          <w:sz w:val="20"/>
          <w:szCs w:val="20"/>
          <w:color w:val="auto"/>
        </w:rPr>
      </w:pPr>
    </w:p>
    <w:p>
      <w:pPr>
        <w:jc w:val="both"/>
        <w:ind w:left="340" w:right="20" w:hanging="332"/>
        <w:spacing w:after="0" w:line="263" w:lineRule="auto"/>
        <w:tabs>
          <w:tab w:leader="none" w:pos="32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Tolling Period. </w:t>
      </w:r>
      <w:r>
        <w:rPr>
          <w:rFonts w:ascii="Times New Roman" w:cs="Times New Roman" w:eastAsia="Times New Roman" w:hAnsi="Times New Roman"/>
          <w:sz w:val="20"/>
          <w:szCs w:val="20"/>
          <w:color w:val="auto"/>
        </w:rPr>
        <w:t>If Grantee is found by a court to have violated any restriction in Section 2 of the Confidentiality Provisions, he/she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time period for such restriction shall be extended by one day for each day that he/she is found to have violated the restriction, up to a maximum of 18 months.</w:t>
      </w:r>
    </w:p>
    <w:p>
      <w:pPr>
        <w:spacing w:after="0" w:line="161" w:lineRule="exact"/>
        <w:rPr>
          <w:rFonts w:ascii="Times New Roman" w:cs="Times New Roman" w:eastAsia="Times New Roman" w:hAnsi="Times New Roman"/>
          <w:sz w:val="20"/>
          <w:szCs w:val="20"/>
          <w:color w:val="auto"/>
        </w:rPr>
      </w:pPr>
    </w:p>
    <w:p>
      <w:pPr>
        <w:ind w:left="340" w:hanging="332"/>
        <w:spacing w:after="0" w:line="287" w:lineRule="auto"/>
        <w:tabs>
          <w:tab w:leader="none" w:pos="33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The parties acknowledge that they have requested and are satisfied that the Confidentiality Provisions and all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be in the English language.</w:t>
      </w:r>
    </w:p>
    <w:p>
      <w:pPr>
        <w:spacing w:after="0" w:line="15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Scope. </w:t>
      </w:r>
      <w:r>
        <w:rPr>
          <w:rFonts w:ascii="Times New Roman" w:cs="Times New Roman" w:eastAsia="Times New Roman" w:hAnsi="Times New Roman"/>
          <w:sz w:val="20"/>
          <w:szCs w:val="20"/>
          <w:color w:val="auto"/>
        </w:rPr>
        <w:t>For the avoidance of doubt, Exhibit C applies only to Grantees who are Employees at the time of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1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OUTSIDE THE U.S.</w:t>
      </w:r>
    </w:p>
    <w:p>
      <w:pPr>
        <w:spacing w:after="0" w:line="1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080"/>
          </w:cols>
          <w:pgMar w:left="480" w:top="11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IN THE U.S.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Appendix includes additional state-specific terms and conditions that apply to Grantees in states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 For the avoidance of doubt, this Appendix applies only to Grantees who are Employees at the time of the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 ALL GRANTEES IN THE US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 respect to Grantees who are not supervisors for the purposes of the National Labor Relations Act, nothing contained in the Confidentiality Provisions, in any way, restricts or impedes Grantee from exercising Grantee’s rights under Section 7 of the National Labor Relations Act (such protected rights include assisting coworkers or former coworkers with workplace issues concerning their employer, communicating with others including a union and the NLRB, about their employment, or discussing the terms and conditions of employment, including, but not limited to, wages or salary, benefits, severance, the terms of this Agreement, job responsibilities and vacation, with coworkers or union representatives).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Nothing in this Agreement limits any Grantee from testifying truthfully in any legal proceeding, including, but not limited to responding to any inquiries made by the EEOC or any government agency; from discussing or disclosing information about unlawful acts in the workplace, such as harassment or discrimination or any other conduct that Grantee has reason to believe is unlawful; or from disclosing factual information related to an administrative claim or civil action concerning sexual assault, sexual harassment, workplace harassment or discrimination, failure to prevent an act of workplace harassment or discrimination, or an act of retaliation against a person for reporting or opposing harassment or discrimination. Grantee may respond accurately and fully to any question or request for information when required to do so by law.</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Further, nothing in this Agreement limits any Grantee’s rights to: (i) file a charge (including a challenge to the validity of this Agreement) with, communicate with, or participate in an investigation or proceeding conducted by the U.S. Equal Employment Opportunity Commission (“EEOC”), the National Labor Relations Board (“NLRB”), or any other similar federal, state, or local government office, official, or agency;</w:t>
      </w:r>
    </w:p>
    <w:p>
      <w:pPr>
        <w:spacing w:after="0" w:line="2" w:lineRule="exact"/>
        <w:rPr>
          <w:sz w:val="20"/>
          <w:szCs w:val="20"/>
          <w:color w:val="auto"/>
        </w:rPr>
      </w:pPr>
    </w:p>
    <w:p>
      <w:pPr>
        <w:jc w:val="both"/>
        <w:ind w:firstLine="8"/>
        <w:spacing w:after="0" w:line="249" w:lineRule="auto"/>
        <w:tabs>
          <w:tab w:leader="none" w:pos="30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testify in an administrative, legislative, or judicial proceeding concerning alleged criminal conduct or alleged sexual harassment on the part of any other party, or on the part of the agents or employees of another party, when the person testifying has been required or requested to attend the proceeding pursuant to a court order, subpoena, or written request from an administrative agency or legislature; or (iii) provide information to the U.S. Securities and Exchange Commission, EEOC, or any other regulatory or enforcement agency or collect rewards under a whistleblower program.</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Further, to the extent that any Grantee does not meet the compensation threshold required for a post-termination covenant to be enforceable under applicable state law,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to the extent required by applicable state law, Section 2(E)(Non-Competition), Section 2(F)(Non-Solicitation of Customers), Section 2(G) Non-Solicitation of Employees and Agents, or Section 2(H)(Non-Solicitation of Sales Agents) of the Confidentiality Provisions shall not apply to any such Grantee.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 is advised to consult with an attorney of Grantee’s own choosing and at Grantee’s own cost before signing this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1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Section 2(E)(Non-Competition) and Section 2(F)(Non-Solicitation of Customers) of the Confidentiality Provisions are deleted. However, any conduct relating to the solicitation of Company’s customers or employees that involves the misappropriation of the Company’s trade secret information, such as its protected customer information, will remain prohibited conduct at all times.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 twelve</w:t>
      </w:r>
    </w:p>
    <w:p>
      <w:pPr>
        <w:spacing w:after="0" w:line="32" w:lineRule="exact"/>
        <w:rPr>
          <w:sz w:val="20"/>
          <w:szCs w:val="20"/>
          <w:color w:val="auto"/>
        </w:rPr>
      </w:pPr>
    </w:p>
    <w:p>
      <w:pPr>
        <w:jc w:val="both"/>
        <w:ind w:firstLine="8"/>
        <w:spacing w:after="0" w:line="253" w:lineRule="auto"/>
        <w:tabs>
          <w:tab w:leader="none" w:pos="38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2(H) of the Confidentiality Provisions:</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Non-Solicitation of Sales Agents.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a period of twelve (12) months after the Date of Termination, Grantee has not and will not,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Grantee: (i) is not an officer, executive or management employee, or an employee who constitutes professional staff to executive and management personnel or (ii) does not meet the “highly compensated worker” threshold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Section 2(E)(Non-Competition) shall not apply. The highly compensated worker threshold is $127,091 for 2025 and is adjusted annually for inflation.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Grantee: (i) is not an officer, executive or management employee, or an employee who constitutes professional staff to executive and management personnel or (ii) does not meet 60% of the “highly compensated worker” (“Non-Solicitation Compensation Threshold”) threshold either at the time the Agreement is entered into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xml:space="preserve"> at the time of enforcement, then: Section 2(F)(Non-Solicitation of Customers), Section 2(G) Non-Solicitation of Employees and Agents, and Section 2(H)(Non-Solicitation of Sales Agents) of the Confidentiality Provisions shall not apply. For 2025, the Non-Solicitation Compensation Threshold is $76,254.60. If Grantee: (i) is an officer, executive or management employee, or an employee who constitutes professional staff to executive and management personnel and (ii) meets the Non-Solicitation Compensation Threshold, both at the time the Agreement is entered into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at the time of enforcement then: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Grantee acknowledges and agrees that during his/her employment, and for twelve (12) months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21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Grantee stipulates that the obligations in Section 2(E)(Non-Competition), Section 2(F)(Non-Solicitation of Customers), Section 2(G) Non-Solicitation of Employees and Agents, and Section 2(H)(Non-Solicitation of Sales Agents) of the Confidentiality Provisions are reasonable and necessary for the protection of trade secrets within the meaning § 8-2-113(2)(b) (the “Colorado Noncompete Act”) and that the Company has provided the Grantee separate notice of this Agreement at least 14 days before the effective date of this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Nothing in the Agreement prohibits disclosure of information that arises from the Grantee’s general training, knowledge, skill, or experience, whether gained on the job or otherwise, information that is readily ascertainable to the public, or information that employee otherwise has a right to disclose as legally protected conduct.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LOUISIANA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1(G) of the Confidentiality Provisions:</w:t>
      </w:r>
    </w:p>
    <w:p>
      <w:pPr>
        <w:spacing w:after="0" w:line="22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parishes (and equivalents) in the following list so long as the Company continues to carry on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therein: Acadia, Allen, Ascension, Assumption, Avoyelles, Beauregard, Bienville, Bossier, Caddo, Calcasieu, Caldwell, Cameron, Catahoula, Claiborne, Concordia, Desoto, East Baton Rouge, East Carroll, East Feliciana, Evangeline, Franklin, Grant, Iberia, Iberville, Jackson, Jefferson Davis, Jefferson, Lafayette, Lafourche, LaSalle, Lincoln, Livingston, Madison, Morehouse, Natchitoches, Orleans, Ouachita, Plaquemines, Pointe Coupee, Rapides, Red River, Richland, Sabine, St. Bernard, St. Charles, St. Helena, St. James, St. John the Baptist, St. Landry, St. Martin, St. Mary, St. Tammany, Tangipahoa, Tensas, Terrebonne, Union, Vermillion, Vernon, Washington, Webster, West Baton Rouge, West Carroll, West Feliciana, Winn; and, if Louisiana law requires counties (or their equivalents) in my Restricted Territory located outside of Louisiana to also be specified by name, Grantee acknowledges that the names at issue are the remaining counties in the United States listed by the U. S. Census Bureau found at </w:t>
      </w:r>
      <w:r>
        <w:rPr>
          <w:rFonts w:ascii="Times New Roman" w:cs="Times New Roman" w:eastAsia="Times New Roman" w:hAnsi="Times New Roman"/>
          <w:sz w:val="20"/>
          <w:szCs w:val="20"/>
          <w:u w:val="single" w:color="auto"/>
          <w:color w:val="0000FF"/>
        </w:rPr>
        <w:t>https://en.wikipedia.org/wiki/List_of_counties_by_U.S._state_and_territory#Louisiana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list is incorporated here by reference).</w:t>
      </w:r>
    </w:p>
    <w:p>
      <w:pPr>
        <w:spacing w:after="0" w:line="191"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Accordingly, Grantee agrees that the foregoing provides Grantee with adequate notice of the geographic scope of the restrictions contained in the Agreement by name of specific parishes (and equivalents), municipalities, and/or their parts.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MASSACHUSETTS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Grantee acknowledges and agrees that: (a) Section 2(E)(Non-Competition) will not apply if Grantee’s employment is terminated without Cause (as defined above) or if Grantee is terminated as part of a reduction in force; (b) Grantee received a copy of this Agreement prior to receiving a formal offer of employment from the Company or at least ten (10) business days before commencement of his or her employment, whichever came first; and if Grantee was already employed by the Company at the time of signing this Agreement, Grantee confirms that he or she was provided a copy of this Agreement at least ten (10) business days before it takes effect, (c) Grantee has been advised that he or she has a right to consult with an attorney about this Agreement and have been given an opportunity to do so; and (d) if Grantee breaches Section 2(E)(Non-Competition) of this Agreement, and also breaches his or her fiduciary duty to the Company and/or has unlawfully taken, physically or electronically, any Company Records, then the applicable time period in Section 2(E) shall be extended to 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1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period of twelve (12) additional months, i.e., for a total of twenty-four (24) months, from the cessation of employment. Grantee also acknowledges and agrees that Grantee has received RSUs, which Grantee agrees to be fair and reasonable consideration in exchange for the post-employment non-competition covenant.</w:t>
      </w: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Grantee further acknowledges and agrees that all civil actions relating to Section 2(E)(Non-Competition), Section 2(F)(Non-Solicitation of Customers), Section 2(G) Non-Solicitation of Employees and Agents, and Section 2(H)(Non-Solicitation of Sales Agents) of the Confidentiality Provisions shall be brought in Suffolk County, Massachusetts. Grantee further agree that the parties consent to the use of electronic signatures to sign and acknowledge acceptance of the terms of this Agreement, including the provision above. Acuity Inc., hereby enters its electronic signature as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ACUITY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MONTANA &amp; NORTH DAKOTA</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Section 2(E)(Non-Competition), Section 2(F)(Non-Solicitation of Customers), and Section 2(H)(Non-Solicitation of Sales Agents) of the Confidentiality Provisions are deleted.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OKLAHOMA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2(E)(Non-Competition) and Section 2(H)(Non-Solicitation of Sales Agents) of the Confidentiality Provisions are deleted.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(Non-Solicitation of Customers) of the Confidentiality Provisions:</w:t>
      </w:r>
    </w:p>
    <w:p>
      <w:pPr>
        <w:spacing w:after="0" w:line="216" w:lineRule="exact"/>
        <w:rPr>
          <w:sz w:val="20"/>
          <w:szCs w:val="20"/>
          <w:color w:val="auto"/>
        </w:rPr>
      </w:pPr>
    </w:p>
    <w:p>
      <w:pPr>
        <w:jc w:val="both"/>
        <w:ind w:left="660" w:hanging="328"/>
        <w:spacing w:after="0" w:line="258" w:lineRule="auto"/>
        <w:tabs>
          <w:tab w:leader="none" w:pos="64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 Non-Solicitation of Customers</w:t>
      </w:r>
      <w:r>
        <w:rPr>
          <w:rFonts w:ascii="Times New Roman" w:cs="Times New Roman" w:eastAsia="Times New Roman" w:hAnsi="Times New Roman"/>
          <w:sz w:val="20"/>
          <w:szCs w:val="20"/>
          <w:color w:val="auto"/>
        </w:rPr>
        <w:t xml:space="preserve"> — Grantee agrees that that during his/her employment, and for twenty-four (24) months after the Date of Termination, the Grantee shall not, on the Grantee’s own behalf or on behalf of any other person or entity (other than the Company), directly solicit the sale of goods, services, or a combination of goods and services from the established customers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OREGON</w:t>
      </w:r>
    </w:p>
    <w:p>
      <w:pPr>
        <w:spacing w:after="0" w:line="220"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If Grantee is being initially hired by the Company, Grantee confirms that he or she has received a written employment offer at least two (2) weeks before the first day of employment in which Grantee was informed that a noncompetition agreement is required as a condition of employment; and if Grantee was already employed by the Company at the time of signing this Agreement, Grantee confirms that he or she was aware in exchange for a bona fide advancement that execution of an agreement with non-compete and non-solicit restrictions was a requirement of employment when accepted the Company’s offer. For purposes of the foregoing test only, “bona fide advancement” means a genuine promotion in rank after initial employment.</w:t>
      </w:r>
    </w:p>
    <w:p>
      <w:pPr>
        <w:spacing w:after="0" w:line="219"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Furthermore, Section 2(E)(Non-Competition) shall only apply to Grantee if both of the following conditions apply: (1) Grantee engages in administrative, executive, or professional work as described in ORS 653.020(3); and (2) Grantee’s total annual compensation including commissions, if any, at termination exceeds the salary threshold under ORS 653.295(e), which is $113,241 for 2024 and is adjusted annually for inflation. For purposes of the foregoing test only, “administrative, executive, or professional work” means that Grantee: (1) performs predominantly intellectual, managerial or creative tasks; (2) exercises discretion and independent judgment; and (3) earns a salary paid on a salary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Grantee may contact his or her local human resources representative with any questions regarding his or her rate of earnings.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1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8"/>
        <w:spacing w:after="0" w:line="269" w:lineRule="auto"/>
        <w:tabs>
          <w:tab w:leader="none" w:pos="31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2(E)(Non-Competition) and Section 2(H)(Non-Solicitation of Sales Agents) of the Confidentiality Provisions will not be enforceable against Grantee unless Grantee’s earnings from Company exceed the threshold established under RCW 49.62.020(b), which is $123,394.17 in Box 1 W-2 annual compensation for 2025, and is adjusted annually for inflation by the Washington State Department of Labor &amp; Industries (“Earnings Threshold”). Grantee further agrees that if, at the time Grantee signs the Agreement, his or her earnings do not meet the Earnings Threshold, Section 2(E)(Non-Competition), and Section 2(H)(Non-Solicitation of Sales Agents) of the Confidentiality Provisions, will automatically become enforceable against Grantee if and when his or her salary meets the Earnings Threshold.</w:t>
      </w:r>
    </w:p>
    <w:p>
      <w:pPr>
        <w:spacing w:after="0" w:line="191" w:lineRule="exact"/>
        <w:rPr>
          <w:rFonts w:ascii="Times New Roman" w:cs="Times New Roman" w:eastAsia="Times New Roman" w:hAnsi="Times New Roman"/>
          <w:sz w:val="19"/>
          <w:szCs w:val="19"/>
          <w:color w:val="auto"/>
        </w:rPr>
      </w:pPr>
    </w:p>
    <w:p>
      <w:pPr>
        <w:jc w:val="both"/>
        <w:ind w:firstLine="8"/>
        <w:spacing w:after="0" w:line="253" w:lineRule="auto"/>
        <w:tabs>
          <w:tab w:leader="none" w:pos="28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further agrees that if Grantee’s employment with the Company is terminated as the result of a layoff, the Company will not enforce Section 2(E)(Non-Competition) and Section 2(H)(Non-Solicitation of Sales Agents) of the Confidentiality Provisions against the Grantee unless, during the period of enforcement, the Company pays the Grantee compensation equivalent to Grantee’s final base pay at the time of the termination of his or her employment, minus the amount of any compensation Grantee earns through employment after the end of his or her employment with the Company, which Grantee agrees to promptly and fully disclose. For purposes of this section, “layoff” means termination of Grantee’s employment by the Company for reasons of the Company’s insolvency or other purely economic factors, and specifically excludes termination of Grantee’s employment for any other reason, either with or without cause.</w:t>
      </w:r>
    </w:p>
    <w:p>
      <w:pPr>
        <w:spacing w:after="0" w:line="219"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21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Grantee acknowledges and agrees that during his/her employment, and for eighteen (18)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to cease or reduce the extent to which it is doing business with the Company</w:t>
      </w:r>
      <w:r>
        <w:rPr>
          <w:rFonts w:ascii="Times New Roman" w:cs="Times New Roman" w:eastAsia="Times New Roman" w:hAnsi="Times New Roman"/>
          <w:sz w:val="20"/>
          <w:szCs w:val="20"/>
          <w:i w:val="1"/>
          <w:i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The following provision replaces Section(G) of the Confidentiality Provisions:</w:t>
      </w:r>
    </w:p>
    <w:p>
      <w:pPr>
        <w:spacing w:after="0" w:line="225" w:lineRule="exact"/>
        <w:rPr>
          <w:sz w:val="20"/>
          <w:szCs w:val="20"/>
          <w:color w:val="auto"/>
        </w:rPr>
      </w:pPr>
    </w:p>
    <w:p>
      <w:pPr>
        <w:jc w:val="both"/>
        <w:ind w:left="640" w:right="1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eighteen (18) months after the Date of Termination, Grantee has not and will not, directly or indirectly, whether on behalf of Grantee or others, solicit, lure or attempt to solicit or lure any of the Company’s employees or agents to leave the Company.</w:t>
      </w:r>
    </w:p>
    <w:p>
      <w:pPr>
        <w:spacing w:after="0" w:line="166" w:lineRule="exact"/>
        <w:rPr>
          <w:sz w:val="20"/>
          <w:szCs w:val="20"/>
          <w:color w:val="auto"/>
        </w:rPr>
      </w:pPr>
    </w:p>
    <w:p>
      <w:pPr>
        <w:ind w:right="360" w:firstLine="8"/>
        <w:spacing w:after="0" w:line="257" w:lineRule="auto"/>
        <w:tabs>
          <w:tab w:leader="none" w:pos="26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and agrees if he or she is a newly hired employee, Grantee was given advance notice of Section 2(E)(Non-Competition) and Section 2(H)(Non-Solicitation of Sales Agents) of the Confidentiality Provisions in writing prior to accepting the Company’s offer of employment. If this Agreement is entered into after the commencement of Grantee’s employment with the Company, Grantee confirms that he / she has received RSUs, which Grantee agrees to be independent consideration that involves new promises or obligations previously not required of the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employer operating in the District of Columbia may request or require any employee working in the District of Columbia to agree to a non-compete policy or agreement, in accordance with the Ban on Non-Compete Agreements Amendment Act of 2020, as amended (“Act”), unless Grantee’s compensation (including wages, bonus, commissions, vested stock and any other payments in connection with employment) is reasonably expected to equal or exceed in a consecutive twelve (12) month period, or does equal or exceed in the consecutive twelve (12) month period preceding Grantee’s Date of Termination, the threshold for a “highly compensated employee” under the Act, which is $154,200 for 2024 and is adjusted annually for inflation. As such, for all other Grantees who primarily reside and work for the Company in Washington D.C., then Section 2(E)(Non-Competition), Section 2(F)(Non-Solicitation of Customers), and Section 2(H)(Non-Solicitation of Sales Agents) of the Confidentiality Provisions are deleted and do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1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Acuity Brands Lighting Inc., a Delaware corporation, is the issuer of the 2.150% Notes due 2030, that are fully and unconditionally guaranteed by Acuity Inc. (the “Company”) and the following subsidiary of the Company.</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 Name</w:t>
            </w:r>
          </w:p>
        </w:tc>
        <w:tc>
          <w:tcPr>
            <w:tcW w:w="9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State or Country of Incorporation or Formation</w:t>
            </w:r>
          </w:p>
        </w:tc>
      </w:tr>
      <w:tr>
        <w:trPr>
          <w:trHeight w:val="232"/>
        </w:trPr>
        <w:tc>
          <w:tcPr>
            <w:tcW w:w="1960" w:type="dxa"/>
            <w:vAlign w:val="bottom"/>
          </w:tcPr>
          <w:p>
            <w:pPr>
              <w:ind w:left="20"/>
              <w:spacing w:after="0"/>
              <w:rPr>
                <w:sz w:val="20"/>
                <w:szCs w:val="20"/>
                <w:color w:val="auto"/>
              </w:rPr>
            </w:pPr>
            <w:r>
              <w:rPr>
                <w:rFonts w:ascii="Arial" w:cs="Arial" w:eastAsia="Arial" w:hAnsi="Arial"/>
                <w:sz w:val="18"/>
                <w:szCs w:val="18"/>
                <w:color w:val="auto"/>
              </w:rPr>
              <w:t>ABL IP Holding LLC</w:t>
            </w:r>
          </w:p>
        </w:tc>
        <w:tc>
          <w:tcPr>
            <w:tcW w:w="9240" w:type="dxa"/>
            <w:vAlign w:val="bottom"/>
          </w:tcPr>
          <w:p>
            <w:pPr>
              <w:ind w:left="34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February 28, 2025,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3, 2025</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February 28, 2025,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3, 2025</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decimal"/>
      <w:start w:val="1"/>
    </w:lvl>
  </w:abstractNum>
  <w:abstractNum w:abstractNumId="3">
    <w:nsid w:val="3F6AB60F"/>
    <w:multiLevelType w:val="hybridMultilevel"/>
    <w:lvl w:ilvl="0">
      <w:lvlJc w:val="left"/>
      <w:lvlText w:val="(%1)"/>
      <w:numFmt w:val="decimal"/>
      <w:start w:val="1"/>
    </w:lvl>
  </w:abstractNum>
  <w:abstractNum w:abstractNumId="4">
    <w:nsid w:val="61574095"/>
    <w:multiLevelType w:val="hybridMultilevel"/>
    <w:lvl w:ilvl="0">
      <w:lvlJc w:val="left"/>
      <w:lvlText w:val="(%1)"/>
      <w:numFmt w:val="decimal"/>
      <w:start w:val="1"/>
    </w:lvl>
  </w:abstractNum>
  <w:abstractNum w:abstractNumId="5">
    <w:nsid w:val="7E0C57B1"/>
    <w:multiLevelType w:val="hybridMultilevel"/>
    <w:lvl w:ilvl="0">
      <w:lvlJc w:val="left"/>
      <w:lvlText w:val="(%1)"/>
      <w:numFmt w:val="decimal"/>
      <w:start w:val="1"/>
    </w:lvl>
  </w:abstractNum>
  <w:abstractNum w:abstractNumId="6">
    <w:nsid w:val="77AE35EB"/>
    <w:multiLevelType w:val="hybridMultilevel"/>
    <w:lvl w:ilvl="0">
      <w:lvlJc w:val="left"/>
      <w:lvlText w:val="(%1)"/>
      <w:numFmt w:val="decimal"/>
      <w:start w:val="1"/>
    </w:lvl>
  </w:abstractNum>
  <w:abstractNum w:abstractNumId="7">
    <w:nsid w:val="579BE4F1"/>
    <w:multiLevelType w:val="hybridMultilevel"/>
    <w:lvl w:ilvl="0">
      <w:lvlJc w:val="left"/>
      <w:lvlText w:val="(%1)"/>
      <w:numFmt w:val="decimal"/>
      <w:start w:val="1"/>
    </w:lvl>
  </w:abstractNum>
  <w:abstractNum w:abstractNumId="8">
    <w:nsid w:val="310C50B3"/>
    <w:multiLevelType w:val="hybridMultilevel"/>
    <w:lvl w:ilvl="0">
      <w:lvlJc w:val="left"/>
      <w:lvlText w:val="(%1)"/>
      <w:numFmt w:val="decimal"/>
      <w:start w:val="1"/>
    </w:lvl>
  </w:abstractNum>
  <w:abstractNum w:abstractNumId="9">
    <w:nsid w:val="5FF87E05"/>
    <w:multiLevelType w:val="hybridMultilevel"/>
    <w:lvl w:ilvl="0">
      <w:lvlJc w:val="left"/>
      <w:lvlText w:val="(%1)"/>
      <w:numFmt w:val="decimal"/>
      <w:start w:val="1"/>
    </w:lvl>
  </w:abstractNum>
  <w:abstractNum w:abstractNumId="10">
    <w:nsid w:val="2F305DEF"/>
    <w:multiLevelType w:val="hybridMultilevel"/>
    <w:lvl w:ilvl="0">
      <w:lvlJc w:val="left"/>
      <w:lvlText w:val="(%1)"/>
      <w:numFmt w:val="decimal"/>
      <w:start w:val="1"/>
    </w:lvl>
  </w:abstractNum>
  <w:abstractNum w:abstractNumId="11">
    <w:nsid w:val="25A70BF7"/>
    <w:multiLevelType w:val="hybridMultilevel"/>
    <w:lvl w:ilvl="0">
      <w:lvlJc w:val="left"/>
      <w:lvlText w:val="(%1)"/>
      <w:numFmt w:val="decimal"/>
      <w:start w:val="1"/>
    </w:lvl>
  </w:abstractNum>
  <w:abstractNum w:abstractNumId="12">
    <w:nsid w:val="1DBABF00"/>
    <w:multiLevelType w:val="hybridMultilevel"/>
    <w:lvl w:ilvl="0">
      <w:lvlJc w:val="left"/>
      <w:lvlText w:val="(%1)"/>
      <w:numFmt w:val="decimal"/>
      <w:start w:val="1"/>
    </w:lvl>
  </w:abstractNum>
  <w:abstractNum w:abstractNumId="13">
    <w:nsid w:val="4AD084E9"/>
    <w:multiLevelType w:val="hybridMultilevel"/>
    <w:lvl w:ilvl="0">
      <w:lvlJc w:val="left"/>
      <w:lvlText w:val="(%1)"/>
      <w:numFmt w:val="decimal"/>
      <w:start w:val="1"/>
    </w:lvl>
  </w:abstractNum>
  <w:abstractNum w:abstractNumId="14">
    <w:nsid w:val="1F48EAA1"/>
    <w:multiLevelType w:val="hybridMultilevel"/>
    <w:lvl w:ilvl="0">
      <w:lvlJc w:val="left"/>
      <w:lvlText w:val="(%1)"/>
      <w:numFmt w:val="decimal"/>
      <w:start w:val="1"/>
    </w:lvl>
  </w:abstractNum>
  <w:abstractNum w:abstractNumId="15">
    <w:nsid w:val="1381823A"/>
    <w:multiLevelType w:val="hybridMultilevel"/>
    <w:lvl w:ilvl="0">
      <w:lvlJc w:val="left"/>
      <w:lvlText w:val="(%1)"/>
      <w:numFmt w:val="decimal"/>
      <w:start w:val="1"/>
    </w:lvl>
  </w:abstractNum>
  <w:abstractNum w:abstractNumId="16">
    <w:nsid w:val="5DB70AE5"/>
    <w:multiLevelType w:val="hybridMultilevel"/>
    <w:lvl w:ilvl="0">
      <w:lvlJc w:val="left"/>
      <w:lvlText w:val="(%1)"/>
      <w:numFmt w:val="decimal"/>
      <w:start w:val="1"/>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1."/>
      <w:numFmt w:val="decimal"/>
      <w:start w:val="3"/>
    </w:lvl>
    <w:lvl w:ilvl="1">
      <w:lvlJc w:val="left"/>
      <w:lvlText w:val="%2)"/>
      <w:numFmt w:val="lowerLetter"/>
      <w:start w:val="1"/>
    </w:lvl>
  </w:abstractNum>
  <w:abstractNum w:abstractNumId="19">
    <w:nsid w:val="15014ACB"/>
    <w:multiLevelType w:val="hybridMultilevel"/>
    <w:lvl w:ilvl="0">
      <w:lvlJc w:val="left"/>
      <w:lvlText w:val="%1"/>
      <w:numFmt w:val="decimal"/>
      <w:start w:val="1"/>
    </w:lvl>
    <w:lvl w:ilvl="1">
      <w:lvlJc w:val="left"/>
      <w:lvlText w:val="%2)"/>
      <w:numFmt w:val="lowerLetter"/>
      <w:start w:val="5"/>
    </w:lvl>
  </w:abstractNum>
  <w:abstractNum w:abstractNumId="20">
    <w:nsid w:val="5F5E7FD0"/>
    <w:multiLevelType w:val="hybridMultilevel"/>
    <w:lvl w:ilvl="0">
      <w:lvlJc w:val="left"/>
      <w:lvlText w:val="%1."/>
      <w:numFmt w:val="decimal"/>
      <w:start w:val="6"/>
    </w:lvl>
    <w:lvl w:ilvl="1">
      <w:lvlJc w:val="left"/>
      <w:lvlText w:val="%2"/>
      <w:numFmt w:val="lowerLetter"/>
      <w:start w:val="1"/>
    </w:lvl>
  </w:abstractNum>
  <w:abstractNum w:abstractNumId="21">
    <w:nsid w:val="98A3148"/>
    <w:multiLevelType w:val="hybridMultilevel"/>
    <w:lvl w:ilvl="0">
      <w:lvlJc w:val="left"/>
      <w:lvlText w:val="%1."/>
      <w:numFmt w:val="decimal"/>
      <w:start w:val="9"/>
    </w:lvl>
  </w:abstractNum>
  <w:abstractNum w:abstractNumId="22">
    <w:nsid w:val="799D0247"/>
    <w:multiLevelType w:val="hybridMultilevel"/>
    <w:lvl w:ilvl="0">
      <w:lvlJc w:val="left"/>
      <w:lvlText w:val="%1."/>
      <w:numFmt w:val="decimal"/>
      <w:start w:val="14"/>
    </w:lvl>
    <w:lvl w:ilvl="1">
      <w:lvlJc w:val="left"/>
      <w:lvlText w:val="%2)"/>
      <w:numFmt w:val="lowerLetter"/>
      <w:start w:val="1"/>
    </w:lvl>
  </w:abstractNum>
  <w:abstractNum w:abstractNumId="23">
    <w:nsid w:val="6B9476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4">
    <w:nsid w:val="42C296BD"/>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5">
    <w:nsid w:val="168E121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26">
    <w:nsid w:val="1EBA5D23"/>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4"/>
    </w:lvl>
  </w:abstractNum>
  <w:abstractNum w:abstractNumId="27">
    <w:nsid w:val="661E3F1E"/>
    <w:multiLevelType w:val="hybridMultilevel"/>
    <w:lvl w:ilvl="0">
      <w:lvlJc w:val="left"/>
      <w:lvlText w:val="%1."/>
      <w:numFmt w:val="decimal"/>
      <w:start w:val="19"/>
    </w:lvl>
  </w:abstractNum>
  <w:abstractNum w:abstractNumId="28">
    <w:nsid w:val="5DC79EA8"/>
    <w:multiLevelType w:val="hybridMultilevel"/>
    <w:lvl w:ilvl="0">
      <w:lvlJc w:val="left"/>
      <w:lvlText w:val="%1."/>
      <w:numFmt w:val="decimal"/>
      <w:start w:val="24"/>
    </w:lvl>
  </w:abstractNum>
  <w:abstractNum w:abstractNumId="29">
    <w:nsid w:val="540A471C"/>
    <w:multiLevelType w:val="hybridMultilevel"/>
    <w:lvl w:ilvl="0">
      <w:lvlJc w:val="left"/>
      <w:lvlText w:val="%1."/>
      <w:numFmt w:val="decimal"/>
      <w:start w:val="32"/>
    </w:lvl>
  </w:abstractNum>
  <w:abstractNum w:abstractNumId="30">
    <w:nsid w:val="7BD3EE7B"/>
    <w:multiLevelType w:val="hybridMultilevel"/>
    <w:lvl w:ilvl="0">
      <w:lvlJc w:val="left"/>
      <w:lvlText w:val="(%1)"/>
      <w:numFmt w:val="decimal"/>
      <w:start w:val="1"/>
    </w:lvl>
  </w:abstractNum>
  <w:abstractNum w:abstractNumId="31">
    <w:nsid w:val="51D9C56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2">
    <w:nsid w:val="613EFDC5"/>
    <w:multiLevelType w:val="hybridMultilevel"/>
    <w:lvl w:ilvl="0">
      <w:lvlJc w:val="left"/>
      <w:lvlText w:val="%1)"/>
      <w:numFmt w:val="lowerLetter"/>
      <w:start w:val="1"/>
    </w:lvl>
  </w:abstractNum>
  <w:abstractNum w:abstractNumId="33">
    <w:nsid w:val="BF72B14"/>
    <w:multiLevelType w:val="hybridMultilevel"/>
    <w:lvl w:ilvl="0">
      <w:lvlJc w:val="left"/>
      <w:lvlText w:val="%1"/>
      <w:numFmt w:val="upperLetter"/>
      <w:start w:val="1"/>
    </w:lvl>
    <w:lvl w:ilvl="1">
      <w:lvlJc w:val="left"/>
      <w:lvlText w:val="%2)"/>
      <w:numFmt w:val="lowerLetter"/>
      <w:start w:val="3"/>
    </w:lvl>
  </w:abstractNum>
  <w:abstractNum w:abstractNumId="34">
    <w:nsid w:val="11447B73"/>
    <w:multiLevelType w:val="hybridMultilevel"/>
    <w:lvl w:ilvl="0">
      <w:lvlJc w:val="left"/>
      <w:lvlText w:val="%1."/>
      <w:numFmt w:val="upperLetter"/>
      <w:start w:val="2"/>
    </w:lvl>
    <w:lvl w:ilvl="1">
      <w:lvlJc w:val="left"/>
      <w:lvlText w:val="%2"/>
      <w:numFmt w:val="lowerLetter"/>
      <w:start w:val="1"/>
    </w:lvl>
  </w:abstractNum>
  <w:abstractNum w:abstractNumId="35">
    <w:nsid w:val="42963E5A"/>
    <w:multiLevelType w:val="hybridMultilevel"/>
    <w:lvl w:ilvl="0">
      <w:lvlJc w:val="left"/>
      <w:lvlText w:val="%1."/>
      <w:numFmt w:val="upperLetter"/>
      <w:start w:val="8"/>
    </w:lvl>
    <w:lvl w:ilvl="1">
      <w:lvlJc w:val="left"/>
      <w:lvlText w:val="%2."/>
      <w:numFmt w:val="lowerRoman"/>
      <w:start w:val="1"/>
    </w:lvl>
  </w:abstractNum>
  <w:abstractNum w:abstractNumId="36">
    <w:nsid w:val="A0382C5"/>
    <w:multiLevelType w:val="hybridMultilevel"/>
    <w:lvl w:ilvl="0">
      <w:lvlJc w:val="left"/>
      <w:lvlText w:val="%1."/>
      <w:numFmt w:val="lowerRoman"/>
      <w:start w:val="3"/>
    </w:lvl>
  </w:abstractNum>
  <w:abstractNum w:abstractNumId="37">
    <w:nsid w:val="8F2B15E"/>
    <w:multiLevelType w:val="hybridMultilevel"/>
    <w:lvl w:ilvl="0">
      <w:lvlJc w:val="left"/>
      <w:lvlText w:val="%1"/>
      <w:numFmt w:val="decimal"/>
      <w:start w:val="1"/>
    </w:lvl>
    <w:lvl w:ilvl="1">
      <w:lvlJc w:val="left"/>
      <w:lvlText w:val="%2."/>
      <w:numFmt w:val="upperLetter"/>
      <w:start w:val="10"/>
    </w:lvl>
  </w:abstractNum>
  <w:abstractNum w:abstractNumId="38">
    <w:nsid w:val="1A32234B"/>
    <w:multiLevelType w:val="hybridMultilevel"/>
    <w:lvl w:ilvl="0">
      <w:lvlJc w:val="left"/>
      <w:lvlText w:val="%1."/>
      <w:numFmt w:val="decimal"/>
      <w:start w:val="2"/>
    </w:lvl>
    <w:lvl w:ilvl="1">
      <w:lvlJc w:val="left"/>
      <w:lvlText w:val="%2."/>
      <w:numFmt w:val="upperLetter"/>
      <w:start w:val="1"/>
    </w:lvl>
  </w:abstractNum>
  <w:abstractNum w:abstractNumId="39">
    <w:nsid w:val="3B0FD379"/>
    <w:multiLevelType w:val="hybridMultilevel"/>
    <w:lvl w:ilvl="0">
      <w:lvlJc w:val="left"/>
      <w:lvlText w:val="%1."/>
      <w:numFmt w:val="upperLetter"/>
      <w:start w:val="2"/>
    </w:lvl>
  </w:abstractNum>
  <w:abstractNum w:abstractNumId="40">
    <w:nsid w:val="68EB2F63"/>
    <w:multiLevelType w:val="hybridMultilevel"/>
    <w:lvl w:ilvl="0">
      <w:lvlJc w:val="left"/>
      <w:lvlText w:val="%1."/>
      <w:numFmt w:val="lowerRoman"/>
      <w:start w:val="3"/>
    </w:lvl>
  </w:abstractNum>
  <w:abstractNum w:abstractNumId="41">
    <w:nsid w:val="4962813B"/>
    <w:multiLevelType w:val="hybridMultilevel"/>
    <w:lvl w:ilvl="0">
      <w:lvlJc w:val="left"/>
      <w:lvlText w:val="%1"/>
      <w:numFmt w:val="decimal"/>
      <w:start w:val="1"/>
    </w:lvl>
    <w:lvl w:ilvl="1">
      <w:lvlJc w:val="left"/>
      <w:lvlText w:val="%2."/>
      <w:numFmt w:val="upperLetter"/>
      <w:start w:val="6"/>
    </w:lvl>
  </w:abstractNum>
  <w:abstractNum w:abstractNumId="42">
    <w:nsid w:val="60B6DF70"/>
    <w:multiLevelType w:val="hybridMultilevel"/>
    <w:lvl w:ilvl="0">
      <w:lvlJc w:val="left"/>
      <w:lvlText w:val="%1."/>
      <w:numFmt w:val="decimal"/>
      <w:start w:val="3"/>
    </w:lvl>
    <w:lvl w:ilvl="1">
      <w:lvlJc w:val="left"/>
      <w:lvlText w:val="%2"/>
      <w:numFmt w:val="upperLetter"/>
      <w:start w:val="1"/>
    </w:lvl>
  </w:abstractNum>
  <w:abstractNum w:abstractNumId="43">
    <w:nsid w:val="6A5EE64"/>
    <w:multiLevelType w:val="hybridMultilevel"/>
    <w:lvl w:ilvl="0">
      <w:lvlJc w:val="left"/>
      <w:lvlText w:val="%1."/>
      <w:numFmt w:val="decimal"/>
      <w:start w:val="4"/>
    </w:lvl>
  </w:abstractNum>
  <w:abstractNum w:abstractNumId="44">
    <w:nsid w:val="14330624"/>
    <w:multiLevelType w:val="hybridMultilevel"/>
    <w:lvl w:ilvl="0">
      <w:lvlJc w:val="left"/>
      <w:lvlText w:val="%1."/>
      <w:numFmt w:val="decimal"/>
      <w:start w:val="5"/>
    </w:lvl>
  </w:abstractNum>
  <w:abstractNum w:abstractNumId="45">
    <w:nsid w:val="7FFFCA11"/>
    <w:multiLevelType w:val="hybridMultilevel"/>
    <w:lvl w:ilvl="0">
      <w:lvlJc w:val="left"/>
      <w:lvlText w:val="%1."/>
      <w:numFmt w:val="decimal"/>
      <w:start w:val="9"/>
    </w:lvl>
  </w:abstractNum>
  <w:abstractNum w:abstractNumId="46">
    <w:nsid w:val="1A27709E"/>
    <w:multiLevelType w:val="hybridMultilevel"/>
    <w:lvl w:ilvl="0">
      <w:lvlJc w:val="left"/>
      <w:lvlText w:val="(%1)"/>
      <w:numFmt w:val="lowerRoman"/>
      <w:start w:val="2"/>
    </w:lvl>
  </w:abstractNum>
  <w:abstractNum w:abstractNumId="47">
    <w:nsid w:val="71EA1109"/>
    <w:multiLevelType w:val="hybridMultilevel"/>
    <w:lvl w:ilvl="0">
      <w:lvlJc w:val="left"/>
      <w:lvlText w:val="(%1)"/>
      <w:numFmt w:val="decimal"/>
      <w:start w:val="12"/>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1)"/>
      <w:numFmt w:val="lowerLetter"/>
      <w:start w:val="1"/>
    </w:lvl>
  </w:abstractNum>
  <w:abstractNum w:abstractNumId="50">
    <w:nsid w:val="6EB5BD4"/>
    <w:multiLevelType w:val="hybridMultilevel"/>
    <w:lvl w:ilvl="0">
      <w:lvlJc w:val="left"/>
      <w:lvlText w:val="(%1)"/>
      <w:numFmt w:val="lowerLetter"/>
      <w:start w:val="5"/>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3"/>
    </w:lvl>
    <w:lvl w:ilvl="1">
      <w:lvlJc w:val="left"/>
      <w:lvlText w:val="%2)"/>
      <w:numFmt w:val="lowerLetter"/>
      <w:start w:val="1"/>
    </w:lvl>
  </w:abstractNum>
  <w:abstractNum w:abstractNumId="53">
    <w:nsid w:val="885E1B"/>
    <w:multiLevelType w:val="hybridMultilevel"/>
    <w:lvl w:ilvl="0">
      <w:lvlJc w:val="left"/>
      <w:lvlText w:val="%1"/>
      <w:numFmt w:val="decimal"/>
      <w:start w:val="1"/>
    </w:lvl>
    <w:lvl w:ilvl="1">
      <w:lvlJc w:val="left"/>
      <w:lvlText w:val="%2)"/>
      <w:numFmt w:val="lowerLetter"/>
      <w:start w:val="4"/>
    </w:lvl>
  </w:abstractNum>
  <w:abstractNum w:abstractNumId="54">
    <w:nsid w:val="76272110"/>
    <w:multiLevelType w:val="hybridMultilevel"/>
    <w:lvl w:ilvl="0">
      <w:lvlJc w:val="left"/>
      <w:lvlText w:val="%1."/>
      <w:numFmt w:val="decimal"/>
      <w:start w:val="6"/>
    </w:lvl>
    <w:lvl w:ilvl="1">
      <w:lvlJc w:val="left"/>
      <w:lvlText w:val="%2"/>
      <w:numFmt w:val="lowerLetter"/>
      <w:start w:val="1"/>
    </w:lvl>
  </w:abstractNum>
  <w:abstractNum w:abstractNumId="55">
    <w:nsid w:val="4C04A8AF"/>
    <w:multiLevelType w:val="hybridMultilevel"/>
    <w:lvl w:ilvl="0">
      <w:lvlJc w:val="left"/>
      <w:lvlText w:val="%1."/>
      <w:numFmt w:val="decimal"/>
      <w:start w:val="8"/>
    </w:lvl>
  </w:abstractNum>
  <w:abstractNum w:abstractNumId="56">
    <w:nsid w:val="1716703B"/>
    <w:multiLevelType w:val="hybridMultilevel"/>
    <w:lvl w:ilvl="0">
      <w:lvlJc w:val="left"/>
      <w:lvlText w:val="%1."/>
      <w:numFmt w:val="decimal"/>
      <w:start w:val="13"/>
    </w:lvl>
    <w:lvl w:ilvl="1">
      <w:lvlJc w:val="left"/>
      <w:lvlText w:val="%2)"/>
      <w:numFmt w:val="lowerLetter"/>
      <w:start w:val="1"/>
    </w:lvl>
  </w:abstractNum>
  <w:abstractNum w:abstractNumId="57">
    <w:nsid w:val="14E17E3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8">
    <w:nsid w:val="3222E7CD"/>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59">
    <w:nsid w:val="74DE0EE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60">
    <w:nsid w:val="68EBC55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61">
    <w:nsid w:val="2DF6D648"/>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4"/>
    </w:lvl>
    <w:lvl w:ilvl="3">
      <w:lvlJc w:val="left"/>
      <w:lvlText w:val="%4"/>
      <w:numFmt w:val="lowerRoman"/>
      <w:start w:val="1"/>
    </w:lvl>
  </w:abstractNum>
  <w:abstractNum w:abstractNumId="62">
    <w:nsid w:val="46B7D447"/>
    <w:multiLevelType w:val="hybridMultilevel"/>
    <w:lvl w:ilvl="0">
      <w:lvlJc w:val="left"/>
      <w:lvlText w:val="%1."/>
      <w:numFmt w:val="decimal"/>
      <w:start w:val="19"/>
    </w:lvl>
  </w:abstractNum>
  <w:abstractNum w:abstractNumId="63">
    <w:nsid w:val="4A2AC315"/>
    <w:multiLevelType w:val="hybridMultilevel"/>
    <w:lvl w:ilvl="0">
      <w:lvlJc w:val="left"/>
      <w:lvlText w:val="%1."/>
      <w:numFmt w:val="decimal"/>
      <w:start w:val="23"/>
    </w:lvl>
  </w:abstractNum>
  <w:abstractNum w:abstractNumId="64">
    <w:nsid w:val="39EE015C"/>
    <w:multiLevelType w:val="hybridMultilevel"/>
    <w:lvl w:ilvl="0">
      <w:lvlJc w:val="left"/>
      <w:lvlText w:val="%1."/>
      <w:numFmt w:val="decimal"/>
      <w:start w:val="31"/>
    </w:lvl>
  </w:abstractNum>
  <w:abstractNum w:abstractNumId="65">
    <w:nsid w:val="57FC4FB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6">
    <w:nsid w:val="CC1016F"/>
    <w:multiLevelType w:val="hybridMultilevel"/>
    <w:lvl w:ilvl="0">
      <w:lvlJc w:val="left"/>
      <w:lvlText w:val="%1"/>
      <w:numFmt w:val="upperLetter"/>
      <w:start w:val="1"/>
    </w:lvl>
    <w:lvl w:ilvl="1">
      <w:lvlJc w:val="left"/>
      <w:lvlText w:val="%2)"/>
      <w:numFmt w:val="lowerLetter"/>
      <w:start w:val="1"/>
    </w:lvl>
  </w:abstractNum>
  <w:abstractNum w:abstractNumId="67">
    <w:nsid w:val="43F18422"/>
    <w:multiLevelType w:val="hybridMultilevel"/>
    <w:lvl w:ilvl="0">
      <w:lvlJc w:val="left"/>
      <w:lvlText w:val="%1."/>
      <w:numFmt w:val="upperLetter"/>
      <w:start w:val="3"/>
    </w:lvl>
  </w:abstractNum>
  <w:abstractNum w:abstractNumId="68">
    <w:nsid w:val="60EF0119"/>
    <w:multiLevelType w:val="hybridMultilevel"/>
    <w:lvl w:ilvl="0">
      <w:lvlJc w:val="left"/>
      <w:lvlText w:val="%1."/>
      <w:numFmt w:val="upperLetter"/>
      <w:start w:val="9"/>
    </w:lvl>
  </w:abstractNum>
  <w:abstractNum w:abstractNumId="69">
    <w:nsid w:val="26F324BA"/>
    <w:multiLevelType w:val="hybridMultilevel"/>
    <w:lvl w:ilvl="0">
      <w:lvlJc w:val="left"/>
      <w:lvlText w:val="%1."/>
      <w:numFmt w:val="lowerRoman"/>
      <w:start w:val="3"/>
    </w:lvl>
  </w:abstractNum>
  <w:abstractNum w:abstractNumId="70">
    <w:nsid w:val="7F01579B"/>
    <w:multiLevelType w:val="hybridMultilevel"/>
    <w:lvl w:ilvl="0">
      <w:lvlJc w:val="left"/>
      <w:lvlText w:val="%1"/>
      <w:numFmt w:val="decimal"/>
      <w:start w:val="1"/>
    </w:lvl>
    <w:lvl w:ilvl="1">
      <w:lvlJc w:val="left"/>
      <w:lvlText w:val="%2."/>
      <w:numFmt w:val="upperLetter"/>
      <w:start w:val="10"/>
    </w:lvl>
  </w:abstractNum>
  <w:abstractNum w:abstractNumId="71">
    <w:nsid w:val="49DA307D"/>
    <w:multiLevelType w:val="hybridMultilevel"/>
    <w:lvl w:ilvl="0">
      <w:lvlJc w:val="left"/>
      <w:lvlText w:val="%1."/>
      <w:numFmt w:val="decimal"/>
      <w:start w:val="2"/>
    </w:lvl>
    <w:lvl w:ilvl="1">
      <w:lvlJc w:val="left"/>
      <w:lvlText w:val="%2."/>
      <w:numFmt w:val="upperLetter"/>
      <w:start w:val="1"/>
    </w:lvl>
  </w:abstractNum>
  <w:abstractNum w:abstractNumId="72">
    <w:nsid w:val="7055A5F5"/>
    <w:multiLevelType w:val="hybridMultilevel"/>
    <w:lvl w:ilvl="0">
      <w:lvlJc w:val="left"/>
      <w:lvlText w:val="%1."/>
      <w:numFmt w:val="upperLetter"/>
      <w:start w:val="3"/>
    </w:lvl>
  </w:abstractNum>
  <w:abstractNum w:abstractNumId="73">
    <w:nsid w:val="5FB8370B"/>
    <w:multiLevelType w:val="hybridMultilevel"/>
    <w:lvl w:ilvl="0">
      <w:lvlJc w:val="left"/>
      <w:lvlText w:val="%1."/>
      <w:numFmt w:val="lowerRoman"/>
      <w:start w:val="3"/>
    </w:lvl>
  </w:abstractNum>
  <w:abstractNum w:abstractNumId="74">
    <w:nsid w:val="50801EE1"/>
    <w:multiLevelType w:val="hybridMultilevel"/>
    <w:lvl w:ilvl="0">
      <w:lvlJc w:val="left"/>
      <w:lvlText w:val="%1"/>
      <w:numFmt w:val="decimal"/>
      <w:start w:val="1"/>
    </w:lvl>
    <w:lvl w:ilvl="1">
      <w:lvlJc w:val="left"/>
      <w:lvlText w:val="%2."/>
      <w:numFmt w:val="upperLetter"/>
      <w:start w:val="6"/>
    </w:lvl>
  </w:abstractNum>
  <w:abstractNum w:abstractNumId="75">
    <w:nsid w:val="488AC1A"/>
    <w:multiLevelType w:val="hybridMultilevel"/>
    <w:lvl w:ilvl="0">
      <w:lvlJc w:val="left"/>
      <w:lvlText w:val="%1."/>
      <w:numFmt w:val="decimal"/>
      <w:start w:val="3"/>
    </w:lvl>
    <w:lvl w:ilvl="1">
      <w:lvlJc w:val="left"/>
      <w:lvlText w:val="%2"/>
      <w:numFmt w:val="upperLetter"/>
      <w:start w:val="1"/>
    </w:lvl>
  </w:abstractNum>
  <w:abstractNum w:abstractNumId="76">
    <w:nsid w:val="5FB8011C"/>
    <w:multiLevelType w:val="hybridMultilevel"/>
    <w:lvl w:ilvl="0">
      <w:lvlJc w:val="left"/>
      <w:lvlText w:val="%1."/>
      <w:numFmt w:val="decimal"/>
      <w:start w:val="5"/>
    </w:lvl>
  </w:abstractNum>
  <w:abstractNum w:abstractNumId="77">
    <w:nsid w:val="6AA78F7F"/>
    <w:multiLevelType w:val="hybridMultilevel"/>
    <w:lvl w:ilvl="0">
      <w:lvlJc w:val="left"/>
      <w:lvlText w:val="%1."/>
      <w:numFmt w:val="decimal"/>
      <w:start w:val="9"/>
    </w:lvl>
  </w:abstractNum>
  <w:abstractNum w:abstractNumId="78">
    <w:nsid w:val="7672BD23"/>
    <w:multiLevelType w:val="hybridMultilevel"/>
    <w:lvl w:ilvl="0">
      <w:lvlJc w:val="left"/>
      <w:lvlText w:val="(%1)"/>
      <w:numFmt w:val="lowerRoman"/>
      <w:start w:val="2"/>
    </w:lvl>
  </w:abstractNum>
  <w:abstractNum w:abstractNumId="79">
    <w:nsid w:val="6FC75AF8"/>
    <w:multiLevelType w:val="hybridMultilevel"/>
    <w:lvl w:ilvl="0">
      <w:lvlJc w:val="left"/>
      <w:lvlText w:val="(%1)"/>
      <w:numFmt w:val="decimal"/>
      <w:start w:val="12"/>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1)"/>
      <w:numFmt w:val="lowerLetter"/>
      <w:start w:val="1"/>
    </w:lvl>
  </w:abstractNum>
  <w:abstractNum w:abstractNumId="82">
    <w:nsid w:val="5F3534A4"/>
    <w:multiLevelType w:val="hybridMultilevel"/>
    <w:lvl w:ilvl="0">
      <w:lvlJc w:val="left"/>
      <w:lvlText w:val="(%1)"/>
      <w:numFmt w:val="lowerLetter"/>
      <w:start w:val="5"/>
    </w:lvl>
  </w:abstractNum>
  <w:abstractNum w:abstractNumId="83">
    <w:nsid w:val="73A1821B"/>
    <w:multiLevelType w:val="hybridMultilevel"/>
    <w:lvl w:ilvl="0">
      <w:lvlJc w:val="left"/>
      <w:lvlText w:val="%1."/>
      <w:numFmt w:val="decimal"/>
      <w:start w:val="1"/>
    </w:lvl>
  </w:abstractNum>
  <w:abstractNum w:abstractNumId="84">
    <w:nsid w:val="7DE67713"/>
    <w:multiLevelType w:val="hybridMultilevel"/>
    <w:lvl w:ilvl="0">
      <w:lvlJc w:val="left"/>
      <w:lvlText w:val="%1."/>
      <w:numFmt w:val="decimal"/>
      <w:start w:val="4"/>
    </w:lvl>
    <w:lvl w:ilvl="1">
      <w:lvlJc w:val="left"/>
      <w:lvlText w:val="%2)"/>
      <w:numFmt w:val="lowerLetter"/>
      <w:start w:val="1"/>
    </w:lvl>
  </w:abstractNum>
  <w:abstractNum w:abstractNumId="85">
    <w:nsid w:val="555C55B5"/>
    <w:multiLevelType w:val="hybridMultilevel"/>
    <w:lvl w:ilvl="0">
      <w:lvlJc w:val="left"/>
      <w:lvlText w:val="%1."/>
      <w:numFmt w:val="decimal"/>
      <w:start w:val="7"/>
    </w:lvl>
  </w:abstractNum>
  <w:abstractNum w:abstractNumId="86">
    <w:nsid w:val="3FA62ACA"/>
    <w:multiLevelType w:val="hybridMultilevel"/>
    <w:lvl w:ilvl="0">
      <w:lvlJc w:val="left"/>
      <w:lvlText w:val="%1."/>
      <w:numFmt w:val="decimal"/>
      <w:start w:val="12"/>
    </w:lvl>
    <w:lvl w:ilvl="1">
      <w:lvlJc w:val="left"/>
      <w:lvlText w:val="%2)"/>
      <w:numFmt w:val="lowerLetter"/>
      <w:start w:val="1"/>
    </w:lvl>
  </w:abstractNum>
  <w:abstractNum w:abstractNumId="87">
    <w:nsid w:val="14FCE74E"/>
    <w:multiLevelType w:val="hybridMultilevel"/>
    <w:lvl w:ilvl="0">
      <w:lvlJc w:val="left"/>
      <w:lvlText w:val="%1"/>
      <w:numFmt w:val="decimal"/>
      <w:start w:val="1"/>
    </w:lvl>
    <w:lvl w:ilvl="1">
      <w:lvlJc w:val="left"/>
      <w:lvlText w:val="%2)"/>
      <w:numFmt w:val="lowerLetter"/>
      <w:start w:val="6"/>
    </w:lvl>
  </w:abstractNum>
  <w:abstractNum w:abstractNumId="88">
    <w:nsid w:val="6A3DD3E8"/>
    <w:multiLevelType w:val="hybridMultilevel"/>
    <w:lvl w:ilvl="0">
      <w:lvlJc w:val="left"/>
      <w:lvlText w:val="%1."/>
      <w:numFmt w:val="decimal"/>
      <w:start w:val="16"/>
    </w:lvl>
    <w:lvl w:ilvl="1">
      <w:lvlJc w:val="left"/>
      <w:lvlText w:val="%2)"/>
      <w:numFmt w:val="lowerLetter"/>
      <w:start w:val="1"/>
    </w:lvl>
  </w:abstractNum>
  <w:abstractNum w:abstractNumId="89">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0">
    <w:nsid w:val="9DAF6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1">
    <w:nsid w:val="53299938"/>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92">
    <w:nsid w:val="1FBFE8E0"/>
    <w:multiLevelType w:val="hybridMultilevel"/>
    <w:lvl w:ilvl="0">
      <w:lvlJc w:val="left"/>
      <w:lvlText w:val="%1."/>
      <w:numFmt w:val="decimal"/>
      <w:start w:val="18"/>
    </w:lvl>
  </w:abstractNum>
  <w:abstractNum w:abstractNumId="93">
    <w:nsid w:val="5092CA79"/>
    <w:multiLevelType w:val="hybridMultilevel"/>
    <w:lvl w:ilvl="0">
      <w:lvlJc w:val="left"/>
      <w:lvlText w:val="%1."/>
      <w:numFmt w:val="decimal"/>
      <w:start w:val="21"/>
    </w:lvl>
  </w:abstractNum>
  <w:abstractNum w:abstractNumId="94">
    <w:nsid w:val="1D545C4D"/>
    <w:multiLevelType w:val="hybridMultilevel"/>
    <w:lvl w:ilvl="0">
      <w:lvlJc w:val="left"/>
      <w:lvlText w:val="%1."/>
      <w:numFmt w:val="decimal"/>
      <w:start w:val="29"/>
    </w:lvl>
  </w:abstractNum>
  <w:abstractNum w:abstractNumId="95">
    <w:nsid w:val="59ADEA3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6">
    <w:nsid w:val="288F1A34"/>
    <w:multiLevelType w:val="hybridMultilevel"/>
    <w:lvl w:ilvl="0">
      <w:lvlJc w:val="left"/>
      <w:lvlText w:val="(%1)"/>
      <w:numFmt w:val="decimal"/>
      <w:start w:val="4"/>
    </w:lvl>
  </w:abstractNum>
  <w:abstractNum w:abstractNumId="97">
    <w:nsid w:val="2A155DBC"/>
    <w:multiLevelType w:val="hybridMultilevel"/>
    <w:lvl w:ilvl="0">
      <w:lvlJc w:val="left"/>
      <w:lvlText w:val="%1"/>
      <w:numFmt w:val="upperLetter"/>
      <w:start w:val="1"/>
    </w:lvl>
    <w:lvl w:ilvl="1">
      <w:lvlJc w:val="left"/>
      <w:lvlText w:val="%2)"/>
      <w:numFmt w:val="lowerLetter"/>
      <w:start w:val="1"/>
    </w:lvl>
  </w:abstractNum>
  <w:abstractNum w:abstractNumId="98">
    <w:nsid w:val="1D9F6E5F"/>
    <w:multiLevelType w:val="hybridMultilevel"/>
    <w:lvl w:ilvl="0">
      <w:lvlJc w:val="left"/>
      <w:lvlText w:val="%1."/>
      <w:numFmt w:val="upperLetter"/>
      <w:start w:val="3"/>
    </w:lvl>
  </w:abstractNum>
  <w:abstractNum w:abstractNumId="99">
    <w:nsid w:val="97E1B4E"/>
    <w:multiLevelType w:val="hybridMultilevel"/>
    <w:lvl w:ilvl="0">
      <w:lvlJc w:val="left"/>
      <w:lvlText w:val="%1."/>
      <w:numFmt w:val="upperLetter"/>
      <w:start w:val="9"/>
    </w:lvl>
  </w:abstractNum>
  <w:abstractNum w:abstractNumId="100">
    <w:nsid w:val="51088277"/>
    <w:multiLevelType w:val="hybridMultilevel"/>
    <w:lvl w:ilvl="0">
      <w:lvlJc w:val="left"/>
      <w:lvlText w:val="%1."/>
      <w:numFmt w:val="lowerRoman"/>
      <w:start w:val="3"/>
    </w:lvl>
  </w:abstractNum>
  <w:abstractNum w:abstractNumId="101">
    <w:nsid w:val="1CA0C5FA"/>
    <w:multiLevelType w:val="hybridMultilevel"/>
    <w:lvl w:ilvl="0">
      <w:lvlJc w:val="left"/>
      <w:lvlText w:val="%1"/>
      <w:numFmt w:val="decimal"/>
      <w:start w:val="1"/>
    </w:lvl>
    <w:lvl w:ilvl="1">
      <w:lvlJc w:val="left"/>
      <w:lvlText w:val="%2."/>
      <w:numFmt w:val="upperLetter"/>
      <w:start w:val="10"/>
    </w:lvl>
  </w:abstractNum>
  <w:abstractNum w:abstractNumId="102">
    <w:nsid w:val="53584BCB"/>
    <w:multiLevelType w:val="hybridMultilevel"/>
    <w:lvl w:ilvl="0">
      <w:lvlJc w:val="left"/>
      <w:lvlText w:val="%1."/>
      <w:numFmt w:val="decimal"/>
      <w:start w:val="2"/>
    </w:lvl>
    <w:lvl w:ilvl="1">
      <w:lvlJc w:val="left"/>
      <w:lvlText w:val="%2."/>
      <w:numFmt w:val="upperLetter"/>
      <w:start w:val="1"/>
    </w:lvl>
  </w:abstractNum>
  <w:abstractNum w:abstractNumId="103">
    <w:nsid w:val="415E286C"/>
    <w:multiLevelType w:val="hybridMultilevel"/>
    <w:lvl w:ilvl="0">
      <w:lvlJc w:val="left"/>
      <w:lvlText w:val="%1."/>
      <w:numFmt w:val="upperLetter"/>
      <w:start w:val="3"/>
    </w:lvl>
  </w:abstractNum>
  <w:abstractNum w:abstractNumId="104">
    <w:nsid w:val="7C58FD05"/>
    <w:multiLevelType w:val="hybridMultilevel"/>
    <w:lvl w:ilvl="0">
      <w:lvlJc w:val="left"/>
      <w:lvlText w:val="%1."/>
      <w:numFmt w:val="lowerRoman"/>
      <w:start w:val="3"/>
    </w:lvl>
  </w:abstractNum>
  <w:abstractNum w:abstractNumId="105">
    <w:nsid w:val="23D86AAC"/>
    <w:multiLevelType w:val="hybridMultilevel"/>
    <w:lvl w:ilvl="0">
      <w:lvlJc w:val="left"/>
      <w:lvlText w:val="%1."/>
      <w:numFmt w:val="upperLetter"/>
      <w:start w:val="6"/>
    </w:lvl>
    <w:lvl w:ilvl="1">
      <w:lvlJc w:val="left"/>
      <w:lvlText w:val="(%2)"/>
      <w:numFmt w:val="decimal"/>
      <w:start w:val="24"/>
    </w:lvl>
  </w:abstractNum>
  <w:abstractNum w:abstractNumId="106">
    <w:nsid w:val="45E6D486"/>
    <w:multiLevelType w:val="hybridMultilevel"/>
    <w:lvl w:ilvl="0">
      <w:lvlJc w:val="left"/>
      <w:lvlText w:val="%1"/>
      <w:numFmt w:val="decimal"/>
      <w:start w:val="1"/>
    </w:lvl>
    <w:lvl w:ilvl="1">
      <w:lvlJc w:val="left"/>
      <w:lvlText w:val="%2."/>
      <w:numFmt w:val="upperLetter"/>
      <w:start w:val="9"/>
    </w:lvl>
  </w:abstractNum>
  <w:abstractNum w:abstractNumId="107">
    <w:nsid w:val="5C10FE21"/>
    <w:multiLevelType w:val="hybridMultilevel"/>
    <w:lvl w:ilvl="0">
      <w:lvlJc w:val="left"/>
      <w:lvlText w:val="%1."/>
      <w:numFmt w:val="decimal"/>
      <w:start w:val="3"/>
    </w:lvl>
    <w:lvl w:ilvl="1">
      <w:lvlJc w:val="left"/>
      <w:lvlText w:val="%2"/>
      <w:numFmt w:val="upperLetter"/>
      <w:start w:val="1"/>
    </w:lvl>
  </w:abstractNum>
  <w:abstractNum w:abstractNumId="108">
    <w:nsid w:val="E7FFA2B"/>
    <w:multiLevelType w:val="hybridMultilevel"/>
    <w:lvl w:ilvl="0">
      <w:lvlJc w:val="left"/>
      <w:lvlText w:val="%1."/>
      <w:numFmt w:val="decimal"/>
      <w:start w:val="5"/>
    </w:lvl>
  </w:abstractNum>
  <w:abstractNum w:abstractNumId="109">
    <w:nsid w:val="3C5991AA"/>
    <w:multiLevelType w:val="hybridMultilevel"/>
    <w:lvl w:ilvl="0">
      <w:lvlJc w:val="left"/>
      <w:lvlText w:val="%1."/>
      <w:numFmt w:val="decimal"/>
      <w:start w:val="9"/>
    </w:lvl>
  </w:abstractNum>
  <w:abstractNum w:abstractNumId="110">
    <w:nsid w:val="4BD8591A"/>
    <w:multiLevelType w:val="hybridMultilevel"/>
    <w:lvl w:ilvl="0">
      <w:lvlJc w:val="left"/>
      <w:lvlText w:val="(%1)"/>
      <w:numFmt w:val="lowerRoman"/>
      <w:start w:val="2"/>
    </w:lvl>
  </w:abstractNum>
  <w:abstractNum w:abstractNumId="111">
    <w:nsid w:val="78DF6A55"/>
    <w:multiLevelType w:val="hybridMultilevel"/>
    <w:lvl w:ilvl="0">
      <w:lvlJc w:val="left"/>
      <w:lvlText w:val="(%1)"/>
      <w:numFmt w:val="decimal"/>
      <w:start w:val="12"/>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1)"/>
      <w:numFmt w:val="lowerLetter"/>
      <w:start w:val="1"/>
    </w:lvl>
  </w:abstractNum>
  <w:abstractNum w:abstractNumId="114">
    <w:nsid w:val="6C80EC70"/>
    <w:multiLevelType w:val="hybridMultilevel"/>
    <w:lvl w:ilvl="0">
      <w:lvlJc w:val="left"/>
      <w:lvlText w:val="(%1)"/>
      <w:numFmt w:val="lowerLetter"/>
      <w:start w:val="5"/>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63" Type="http://schemas.openxmlformats.org/officeDocument/2006/relationships/hyperlink" Target="https://www.sec.gov/Archives/edgar/data/1144215/000119312525052542/d931430dex31.htm" TargetMode="External"/><Relationship Id="rId64" Type="http://schemas.openxmlformats.org/officeDocument/2006/relationships/hyperlink" Target="https://www.sec.gov/Archives/edgar/data/1144215/000114421524000015/ayi-20240124xex32xrestated.htm" TargetMode="External"/><Relationship Id="rId65" Type="http://schemas.openxmlformats.org/officeDocument/2006/relationships/hyperlink" Target="https://www.sec.gov/Archives/edgar/data/1144215/000119312525052542/d931430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2025-04-03T06:50:17Z</dcterms:created>
  <dcterms:modified xsi:type="dcterms:W3CDTF">2025-04-03T06:50:17Z</dcterms:modified>
</cp:coreProperties>
</file>