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3880" w:right="1380" w:hanging="2380"/>
        <w:spacing w:after="0" w:line="442" w:lineRule="auto"/>
        <w:tabs>
          <w:tab w:leader="none" w:pos="247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November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380" w:hanging="2987"/>
        <w:spacing w:after="0" w:line="374" w:lineRule="auto"/>
        <w:tabs>
          <w:tab w:leader="none" w:pos="247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196"/>
        </w:trPr>
        <w:tc>
          <w:tcPr>
            <w:tcW w:w="3960" w:type="dxa"/>
            <w:vAlign w:val="bottom"/>
          </w:tcPr>
          <w:p>
            <w:pPr>
              <w:jc w:val="center"/>
              <w:ind w:right="2008"/>
              <w:spacing w:after="0"/>
              <w:rPr>
                <w:sz w:val="20"/>
                <w:szCs w:val="20"/>
                <w:color w:val="auto"/>
              </w:rPr>
            </w:pPr>
            <w:r>
              <w:rPr>
                <w:rFonts w:ascii="Arial" w:cs="Arial" w:eastAsia="Arial" w:hAnsi="Arial"/>
                <w:sz w:val="14"/>
                <w:szCs w:val="14"/>
                <w:b w:val="1"/>
                <w:bCs w:val="1"/>
                <w:color w:val="auto"/>
              </w:rPr>
              <w:t>Delaware</w:t>
            </w:r>
          </w:p>
        </w:tc>
        <w:tc>
          <w:tcPr>
            <w:tcW w:w="3480" w:type="dxa"/>
            <w:vAlign w:val="bottom"/>
          </w:tcPr>
          <w:p>
            <w:pPr>
              <w:jc w:val="center"/>
              <w:ind w:left="1988"/>
              <w:spacing w:after="0"/>
              <w:rPr>
                <w:sz w:val="20"/>
                <w:szCs w:val="20"/>
                <w:color w:val="auto"/>
              </w:rPr>
            </w:pPr>
            <w:r>
              <w:rPr>
                <w:rFonts w:ascii="Arial" w:cs="Arial" w:eastAsia="Arial" w:hAnsi="Arial"/>
                <w:sz w:val="14"/>
                <w:szCs w:val="14"/>
                <w:b w:val="1"/>
                <w:bCs w:val="1"/>
                <w:color w:val="auto"/>
              </w:rPr>
              <w:t>58-2632672</w:t>
            </w:r>
          </w:p>
        </w:tc>
      </w:tr>
      <w:tr>
        <w:trPr>
          <w:trHeight w:val="157"/>
        </w:trPr>
        <w:tc>
          <w:tcPr>
            <w:tcW w:w="3960" w:type="dxa"/>
            <w:vAlign w:val="bottom"/>
          </w:tcPr>
          <w:p>
            <w:pPr>
              <w:jc w:val="center"/>
              <w:ind w:right="200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3480" w:type="dxa"/>
            <w:vAlign w:val="bottom"/>
          </w:tcPr>
          <w:p>
            <w:pPr>
              <w:jc w:val="center"/>
              <w:ind w:left="1988"/>
              <w:spacing w:after="0" w:line="157" w:lineRule="exact"/>
              <w:rPr>
                <w:sz w:val="20"/>
                <w:szCs w:val="20"/>
                <w:color w:val="auto"/>
              </w:rPr>
            </w:pPr>
            <w:r>
              <w:rPr>
                <w:rFonts w:ascii="Arial" w:cs="Arial" w:eastAsia="Arial" w:hAnsi="Arial"/>
                <w:sz w:val="14"/>
                <w:szCs w:val="14"/>
                <w:i w:val="1"/>
                <w:iCs w:val="1"/>
                <w:color w:val="auto"/>
              </w:rPr>
              <w:t>(I.R.S. Employer</w:t>
            </w:r>
          </w:p>
        </w:tc>
      </w:tr>
      <w:tr>
        <w:trPr>
          <w:trHeight w:val="188"/>
        </w:trPr>
        <w:tc>
          <w:tcPr>
            <w:tcW w:w="3960" w:type="dxa"/>
            <w:vAlign w:val="bottom"/>
          </w:tcPr>
          <w:p>
            <w:pPr>
              <w:jc w:val="center"/>
              <w:ind w:right="2008"/>
              <w:spacing w:after="0"/>
              <w:rPr>
                <w:sz w:val="20"/>
                <w:szCs w:val="20"/>
                <w:color w:val="auto"/>
              </w:rPr>
            </w:pPr>
            <w:r>
              <w:rPr>
                <w:rFonts w:ascii="Arial" w:cs="Arial" w:eastAsia="Arial" w:hAnsi="Arial"/>
                <w:sz w:val="14"/>
                <w:szCs w:val="14"/>
                <w:i w:val="1"/>
                <w:iCs w:val="1"/>
                <w:color w:val="auto"/>
              </w:rPr>
              <w:t>incorporation or organization)</w:t>
            </w:r>
          </w:p>
        </w:tc>
        <w:tc>
          <w:tcPr>
            <w:tcW w:w="3480" w:type="dxa"/>
            <w:vAlign w:val="bottom"/>
          </w:tcPr>
          <w:p>
            <w:pPr>
              <w:jc w:val="center"/>
              <w:ind w:left="1988"/>
              <w:spacing w:after="0"/>
              <w:rPr>
                <w:sz w:val="20"/>
                <w:szCs w:val="20"/>
                <w:color w:val="auto"/>
              </w:rPr>
            </w:pPr>
            <w:r>
              <w:rPr>
                <w:rFonts w:ascii="Arial" w:cs="Arial" w:eastAsia="Arial" w:hAnsi="Arial"/>
                <w:sz w:val="14"/>
                <w:szCs w:val="14"/>
                <w:i w:val="1"/>
                <w:iCs w:val="1"/>
                <w:color w:val="auto"/>
              </w:rPr>
              <w:t>Identification Number)</w:t>
            </w: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1200, Atlanta, Georgia 30309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82" w:lineRule="exact"/>
        <w:rPr>
          <w:sz w:val="24"/>
          <w:szCs w:val="24"/>
          <w:color w:val="auto"/>
        </w:rPr>
      </w:pPr>
    </w:p>
    <w:p>
      <w:pPr>
        <w:ind w:left="5440"/>
        <w:spacing w:after="0"/>
        <w:rPr>
          <w:sz w:val="20"/>
          <w:szCs w:val="20"/>
          <w:color w:val="auto"/>
        </w:rPr>
      </w:pPr>
      <w:r>
        <w:rPr>
          <w:rFonts w:ascii="Arial" w:cs="Arial" w:eastAsia="Arial" w:hAnsi="Arial"/>
          <w:sz w:val="14"/>
          <w:szCs w:val="14"/>
          <w:b w:val="1"/>
          <w:bCs w:val="1"/>
          <w:color w:val="auto"/>
        </w:rPr>
        <w:t>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sectPr>
      </w:pPr>
    </w:p>
    <w:p>
      <w:pPr>
        <w:spacing w:after="0" w:line="95" w:lineRule="exact"/>
        <w:rPr>
          <w:sz w:val="24"/>
          <w:szCs w:val="24"/>
          <w:color w:val="auto"/>
        </w:rPr>
      </w:pPr>
    </w:p>
    <w:p>
      <w:pPr>
        <w:ind w:left="20" w:right="8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4"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30,816,757 shares as of January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158"/>
        </w:trPr>
        <w:tc>
          <w:tcPr>
            <w:tcW w:w="20" w:type="dxa"/>
            <w:vAlign w:val="bottom"/>
          </w:tcPr>
          <w:p>
            <w:pPr>
              <w:spacing w:after="0"/>
              <w:rPr>
                <w:sz w:val="13"/>
                <w:szCs w:val="13"/>
                <w:color w:val="auto"/>
              </w:rPr>
            </w:pPr>
          </w:p>
        </w:tc>
        <w:tc>
          <w:tcPr>
            <w:tcW w:w="10120" w:type="dxa"/>
            <w:vAlign w:val="bottom"/>
            <w:gridSpan w:val="9"/>
          </w:tcPr>
          <w:p>
            <w:pPr>
              <w:spacing w:after="0" w:line="158" w:lineRule="exact"/>
              <w:rPr>
                <w:sz w:val="20"/>
                <w:szCs w:val="20"/>
                <w:color w:val="auto"/>
              </w:rPr>
            </w:pPr>
            <w:r>
              <w:rPr>
                <w:rFonts w:ascii="Arial" w:cs="Arial" w:eastAsia="Arial" w:hAnsi="Arial"/>
                <w:sz w:val="16"/>
                <w:szCs w:val="16"/>
                <w:b w:val="1"/>
                <w:bCs w:val="1"/>
                <w:color w:val="0000FF"/>
              </w:rPr>
              <w:t>Part I. FINANCIAL INFORMATION</w:t>
            </w: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Financial Statements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Balance Sheets -- November 30, 2023 (Unaudited) and August 31, 2023</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Comprehensive Income (Unaudited) -- Three months ended November 30, 2023 and 2022</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Cash Flows (Unaudited) -- Three months ended November 30, 2023 and 2022</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Notes to Consolidated Financial Statements (Unaudited)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 — Description of Business and Basis of Presentation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 — Significant Accounting Policies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3 — Acquisitions and Divestitures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4 — New Accounting Pronouncements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5 — Fair Value Measurements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6 — Inventories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7 — Property, Plant, and Equipment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8 — Goodwill and Intangible Assets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9 — Other Current Liabilities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10 — Debt and Lines of Credit</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11 — Commitments and Contingencies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12 — Changes in Stockholders' Equity</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13 — Revenue Recognition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14 — Share-based Payments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15 — Pension Plans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16 — Special Charges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17 — Other Expense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18 — Earnings Per Share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19 — Comprehensive Income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20 — Segment Information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Quantitative and Qualitative Disclosures about Market Risk</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Controls and Procedures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Part II. OTHER INFORMATION</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Legal Proceedings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Risk Factors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Unregistered Sales of Equity Securities and Use of Proceeds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Other Information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INDEX TO 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6"/>
                <w:szCs w:val="16"/>
                <w:b w:val="1"/>
                <w:bCs w:val="1"/>
                <w:color w:val="0000FF"/>
              </w:rPr>
              <w:t>SIGNATURES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November 30, 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2023</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397.9</w:t>
            </w:r>
          </w:p>
        </w:tc>
        <w:tc>
          <w:tcPr>
            <w:tcW w:w="0" w:type="dxa"/>
            <w:vAlign w:val="bottom"/>
          </w:tcPr>
          <w:p>
            <w:pPr>
              <w:spacing w:after="0"/>
              <w:rPr>
                <w:sz w:val="1"/>
                <w:szCs w:val="1"/>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$1.6 and $1.3, respectively</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517.1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555.3</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w:t>
            </w:r>
          </w:p>
        </w:tc>
        <w:tc>
          <w:tcPr>
            <w:tcW w:w="0" w:type="dxa"/>
            <w:vAlign w:val="bottom"/>
          </w:tcPr>
          <w:p>
            <w:pPr>
              <w:spacing w:after="0"/>
              <w:rPr>
                <w:sz w:val="1"/>
                <w:szCs w:val="1"/>
                <w:color w:val="auto"/>
              </w:rPr>
            </w:pPr>
          </w:p>
        </w:tc>
      </w:tr>
      <w:tr>
        <w:trPr>
          <w:trHeight w:val="198"/>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1,395.2</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293.6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297.6</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1,097.5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1,097.9</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00"/>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3,463.9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3,408.5</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w:t>
            </w:r>
          </w:p>
        </w:tc>
        <w:tc>
          <w:tcPr>
            <w:tcW w:w="0" w:type="dxa"/>
            <w:vAlign w:val="bottom"/>
          </w:tcPr>
          <w:p>
            <w:pPr>
              <w:spacing w:after="0"/>
              <w:rPr>
                <w:sz w:val="1"/>
                <w:szCs w:val="1"/>
                <w:color w:val="auto"/>
              </w:rPr>
            </w:pP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595.4</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495.7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495.6</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Accrued pension liabilities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200"/>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1,393.1</w:t>
            </w:r>
          </w:p>
        </w:tc>
        <w:tc>
          <w:tcPr>
            <w:tcW w:w="0" w:type="dxa"/>
            <w:vAlign w:val="bottom"/>
          </w:tcPr>
          <w:p>
            <w:pPr>
              <w:spacing w:after="0"/>
              <w:rPr>
                <w:sz w:val="1"/>
                <w:szCs w:val="1"/>
                <w:color w:val="auto"/>
              </w:rPr>
            </w:pPr>
          </w:p>
        </w:tc>
      </w:tr>
      <w:tr>
        <w:trPr>
          <w:trHeight w:val="178"/>
        </w:trPr>
        <w:tc>
          <w:tcPr>
            <w:tcW w:w="72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00" w:type="dxa"/>
            <w:vAlign w:val="bottom"/>
          </w:tcPr>
          <w:p>
            <w:pPr>
              <w:spacing w:after="0"/>
              <w:rPr>
                <w:sz w:val="17"/>
                <w:szCs w:val="17"/>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72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$0.01 par value; 500,000,000 shares authorized; 54,536,606 and 54,411,186 issued,</w:t>
            </w:r>
          </w:p>
        </w:tc>
        <w:tc>
          <w:tcPr>
            <w:tcW w:w="200" w:type="dxa"/>
            <w:vAlign w:val="bottom"/>
            <w:shd w:val="clear" w:color="auto" w:fill="CCEEFF"/>
          </w:tcPr>
          <w:p>
            <w:pPr>
              <w:spacing w:after="0"/>
              <w:rPr>
                <w:sz w:val="13"/>
                <w:szCs w:val="13"/>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200" w:type="dxa"/>
            <w:vAlign w:val="bottom"/>
            <w:shd w:val="clear" w:color="auto" w:fill="CCEEFF"/>
          </w:tcPr>
          <w:p>
            <w:pPr>
              <w:spacing w:after="0"/>
              <w:rPr>
                <w:sz w:val="16"/>
                <w:szCs w:val="16"/>
                <w:color w:val="auto"/>
              </w:rPr>
            </w:pPr>
          </w:p>
        </w:tc>
        <w:tc>
          <w:tcPr>
            <w:tcW w:w="1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1,070.5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1,066.8</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3,505.4</w:t>
            </w:r>
          </w:p>
        </w:tc>
        <w:tc>
          <w:tcPr>
            <w:tcW w:w="0" w:type="dxa"/>
            <w:vAlign w:val="bottom"/>
          </w:tcPr>
          <w:p>
            <w:pPr>
              <w:spacing w:after="0"/>
              <w:rPr>
                <w:sz w:val="1"/>
                <w:szCs w:val="1"/>
                <w:color w:val="auto"/>
              </w:rPr>
            </w:pP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of 23,652,280 and 23,362,196 shares, respectively</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(2,494.7)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(2,444.7)</w:t>
            </w:r>
          </w:p>
        </w:tc>
        <w:tc>
          <w:tcPr>
            <w:tcW w:w="0" w:type="dxa"/>
            <w:vAlign w:val="bottom"/>
          </w:tcPr>
          <w:p>
            <w:pPr>
              <w:spacing w:after="0"/>
              <w:rPr>
                <w:sz w:val="1"/>
                <w:szCs w:val="1"/>
                <w:color w:val="auto"/>
              </w:rPr>
            </w:pPr>
          </w:p>
        </w:tc>
      </w:tr>
      <w:tr>
        <w:trPr>
          <w:trHeight w:val="192"/>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2,064.1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2,015.4</w:t>
            </w:r>
          </w:p>
        </w:tc>
        <w:tc>
          <w:tcPr>
            <w:tcW w:w="0" w:type="dxa"/>
            <w:vAlign w:val="bottom"/>
          </w:tcPr>
          <w:p>
            <w:pPr>
              <w:spacing w:after="0"/>
              <w:rPr>
                <w:sz w:val="1"/>
                <w:szCs w:val="1"/>
                <w:color w:val="auto"/>
              </w:rPr>
            </w:pPr>
          </w:p>
        </w:tc>
      </w:tr>
      <w:tr>
        <w:trPr>
          <w:trHeight w:val="225"/>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per-share data)</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2023</w:t>
            </w:r>
          </w:p>
        </w:tc>
        <w:tc>
          <w:tcPr>
            <w:tcW w:w="160" w:type="dxa"/>
            <w:vAlign w:val="bottom"/>
          </w:tcPr>
          <w:p>
            <w:pPr>
              <w:spacing w:after="0"/>
              <w:rPr>
                <w:sz w:val="18"/>
                <w:szCs w:val="18"/>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2022</w:t>
            </w: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997.9</w:t>
            </w:r>
          </w:p>
        </w:tc>
      </w:tr>
      <w:tr>
        <w:trPr>
          <w:trHeight w:val="215"/>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581.4</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300.7</w:t>
            </w:r>
          </w:p>
        </w:tc>
      </w:tr>
      <w:tr>
        <w:trPr>
          <w:trHeight w:val="21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108.9</w:t>
            </w:r>
          </w:p>
        </w:tc>
      </w:tr>
      <w:tr>
        <w:trPr>
          <w:trHeight w:val="21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09"/>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r>
      <w:tr>
        <w:trPr>
          <w:trHeight w:val="215"/>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r>
      <w:tr>
        <w:trPr>
          <w:trHeight w:val="235"/>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7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5"/>
        </w:trPr>
        <w:tc>
          <w:tcPr>
            <w:tcW w:w="7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24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5"/>
        </w:trPr>
        <w:tc>
          <w:tcPr>
            <w:tcW w:w="7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24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items,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3"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2023</w:t>
            </w:r>
          </w:p>
        </w:tc>
        <w:tc>
          <w:tcPr>
            <w:tcW w:w="16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2022</w:t>
            </w:r>
          </w:p>
        </w:tc>
      </w:tr>
      <w:tr>
        <w:trPr>
          <w:trHeight w:val="19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Loss on sale of property, plant, and equipment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Loss on sale of a business</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81.6</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w:t>
            </w:r>
          </w:p>
        </w:tc>
      </w:tr>
      <w:tr>
        <w:trPr>
          <w:trHeight w:val="208"/>
        </w:trPr>
        <w:tc>
          <w:tcPr>
            <w:tcW w:w="72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5"/>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8"/>
        </w:trPr>
        <w:tc>
          <w:tcPr>
            <w:tcW w:w="72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on credit facility, net of borrowings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(76.5)</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Income taxes paid during the period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during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Segment</w:t>
      </w:r>
    </w:p>
    <w:p>
      <w:pPr>
        <w:spacing w:after="0" w:line="1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ABL strategy is to increase product vitality, improve service levels, use technology to improve and differentiate both our products and our services, and drive productivity. 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A-Light</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OPTOTRONIC</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 Switch</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original equipment manufacturer (“OEM”) customers, digital retailers, lighting showrooms, and energy service companies. ABL's customers are located in North America and select international markets that serve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directly from our manufacturing facilities or through a network of distribution centers, regional warehouses, and commercial warehouses using both common carriers and an internally-managed truck fleet.</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ABL's product portfolio and service capabilities to customers and/or end users in multiple channels through a broad spectrum of marketing and promotional methods, including direct customer contact, trade shows, on-site training, print and digital advertising in industry publications, product brochures, and other literature, as well as through digital marketing and social media. ABL operates training and education facilities in several locations throughout North America and Europe designed to enhance the lighting knowledge of customers and industry professionals.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ISG Segment</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ISG strategy is to make spaces smarter, safer, and greener by connecting the edge to the cloud. ISG offers building management solutions and building management software. ISG's building management solutions include products for controlling heating, ventilation, air conditioning (“HVAC”); lighting; shades; refrigeration; and building access that deliver end-to-end optimization of those building systems. ISG's intelligent building software enhances the occupant experience, improves building system management, and automates labor intensive tasks while delivering operational energy efficiency and cost reductions. Through a connected and converged building system architecture, ISG's software delivers different applications, allows clients to upgrade over time with natural refresh cycles, and deploys new capabilities. Customers of ISG primarily include system integrators as well as retail stores, airports, and enterprise campuses throughout North America and select international locations. ISG products and solutions are marketed under multiple brand names, including but not limited, to Atrius</w:t>
      </w:r>
      <w:r>
        <w:rPr>
          <w:rFonts w:ascii="Arial" w:cs="Arial" w:eastAsia="Arial" w:hAnsi="Arial"/>
          <w:sz w:val="23"/>
          <w:szCs w:val="23"/>
          <w:color w:val="auto"/>
          <w:vertAlign w:val="superscript"/>
        </w:rPr>
        <w:t>®</w:t>
      </w:r>
      <w:r>
        <w:rPr>
          <w:rFonts w:ascii="Arial" w:cs="Arial" w:eastAsia="Arial" w:hAnsi="Arial"/>
          <w:sz w:val="18"/>
          <w:szCs w:val="18"/>
          <w:color w:val="auto"/>
        </w:rPr>
        <w:t>,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and KE2 Therm Solutions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November 30, 2023, our consolidated comprehensive income for the three months ended November 30, 2023 and 2022, and our consolidated cash flows for the three months ended November 30, 2023 and 2022.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in the period ended August 31, 2023 and notes thereto included in our Annual Report on Form 10-K filed with the Securities and Exchange Commission (the “SEC”) on October 26, 2023 (File No. 001-16583) (“Form 10-K”).</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acquisitions or divestitures during the first quarter of fiscal 2024. The following discussion relates to fiscal year 2023 activities.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15, 2023, using cash on hand, we acquired all of the equity interests of KE2 Therm Solutions, Inc. (“KE2 Therm”). KE2 Therm develops and provides intelligent refrigeration control solutions that deliver the precision of digital controls to promote safety, efficiency, and reliability, while delivering cost savings to the customer. This acquisition is intended to expand ISG's technology and controls product portfolio and reach new customers</w:t>
      </w:r>
      <w:r>
        <w:rPr>
          <w:rFonts w:ascii="Arial" w:cs="Arial" w:eastAsia="Arial" w:hAnsi="Arial"/>
          <w:sz w:val="18"/>
          <w:szCs w:val="18"/>
          <w:i w:val="1"/>
          <w:iCs w:val="1"/>
          <w:color w:val="auto"/>
        </w:rPr>
        <w:t>.</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accounted for the acquisition of KE2 Therm in accordance with Accounting Standards Codification (“ASC”) Topic 805</w:t>
      </w:r>
      <w:r>
        <w:rPr>
          <w:rFonts w:ascii="Arial" w:cs="Arial" w:eastAsia="Arial" w:hAnsi="Arial"/>
          <w:sz w:val="18"/>
          <w:szCs w:val="18"/>
          <w:i w:val="1"/>
          <w:iCs w:val="1"/>
          <w:color w:val="auto"/>
        </w:rPr>
        <w:t>,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Acquired assets and liabilities were recorded at their estimated acquisition-date fair values. Acquisition-related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were expensed as incurred and were not material to our financial statements. The aggregate purchase price of this acquisition reflects preliminary goodwill within the ISG segment of $ 15.0 million at November 30, 2023, which is not expected to be deductible for tax purposes. The goodwill is primarily comprised of expected benefits related to expanding ISG's technology and controls product portfolio as well as the trained workforce acquired with these businesses and expected synergies from combining the operations of KE2 Therm with our operations.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additionally recorded preliminary gross intangible assets of $18.0 million as of November 30, 2023, which reflect estimates for definite-lived intangibles with a preliminary estimated weighted average useful life of approximately 15 years.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Amounts recorded for acquired assets and liabilities are deemed to be provisional until disclosed otherwise as we continue to gather information related to the identification and valuation of acquired assets and liabilities including, but not limited to, intangible assets and tax-related items. The operating results of KE2 Therm have been included in our financial statements since the date of acquisition and are not material to our consolidated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or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sold our Sunoptics prismatic skylights business in November 2022. We transferred assets with a total carrying value of $15.1 million, which primarily consisted of intangibles with definite lives, inventories, and allocated goodwill from the ABL segment. During the first quarter of fiscal 2023, we recognized a pre-tax loss on the sale of $11.2 million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Additionally, we recorded impairment charges for certain retained assets as well as associate severance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related to the sale. These items are included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See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w:t>
      </w:r>
      <w:r>
        <w:rPr>
          <w:rFonts w:ascii="Arial" w:cs="Arial" w:eastAsia="Arial" w:hAnsi="Arial"/>
          <w:sz w:val="18"/>
          <w:szCs w:val="18"/>
          <w:color w:val="auto"/>
        </w:rPr>
        <w:t>“</w:t>
      </w:r>
      <w:r>
        <w:rPr>
          <w:rFonts w:ascii="Arial" w:cs="Arial" w:eastAsia="Arial" w:hAnsi="Arial"/>
          <w:sz w:val="18"/>
          <w:szCs w:val="18"/>
          <w:i w:val="1"/>
          <w:iCs w:val="1"/>
          <w:color w:val="auto"/>
        </w:rPr>
        <w:t>ASU</w:t>
      </w:r>
      <w:r>
        <w:rPr>
          <w:rFonts w:ascii="Arial" w:cs="Arial" w:eastAsia="Arial" w:hAnsi="Arial"/>
          <w:sz w:val="18"/>
          <w:szCs w:val="18"/>
          <w:color w:val="auto"/>
        </w:rPr>
        <w:t>”</w:t>
      </w:r>
      <w:r>
        <w:rPr>
          <w:rFonts w:ascii="Arial" w:cs="Arial" w:eastAsia="Arial" w:hAnsi="Arial"/>
          <w:sz w:val="18"/>
          <w:szCs w:val="18"/>
          <w:i w:val="1"/>
          <w:iCs w:val="1"/>
          <w:color w:val="auto"/>
        </w:rPr>
        <w:t>) 2023-09, Income Taxes (Topic 740): Improvements to Income Tax Disclosures (</w:t>
      </w:r>
      <w:r>
        <w:rPr>
          <w:rFonts w:ascii="Arial" w:cs="Arial" w:eastAsia="Arial" w:hAnsi="Arial"/>
          <w:sz w:val="18"/>
          <w:szCs w:val="18"/>
          <w:color w:val="auto"/>
        </w:rPr>
        <w:t>“</w:t>
      </w:r>
      <w:r>
        <w:rPr>
          <w:rFonts w:ascii="Arial" w:cs="Arial" w:eastAsia="Arial" w:hAnsi="Arial"/>
          <w:sz w:val="18"/>
          <w:szCs w:val="18"/>
          <w:i w:val="1"/>
          <w:iCs w:val="1"/>
          <w:color w:val="auto"/>
        </w:rPr>
        <w:t>ASU 2023-09</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2023, the Financial Accounting Standards Board (“FASB”) issued ASU 2023-09, which expands income tax disclosure requirements to include additional information related to the rate reconciliation of our effective tax rates to statutory rates as well as additional disaggregation of taxes paid. The amendments in the ASU also remove disclosures related to certain unrecognized tax benefits and deferred taxes. ASU 2023-09 is effective for fiscal years beginning after December 15, 2024, or our fiscal 2026. The amendments may be applied prospectively or retrospectively, and early adoption is permitted. We are currently assessing the impact of the requirements on our consolidated financial statements and disclosures.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2023-07, Segment Reporting (Topic 280): Improvements to Reportable Segment Disclosures (</w:t>
      </w:r>
      <w:r>
        <w:rPr>
          <w:rFonts w:ascii="Arial" w:cs="Arial" w:eastAsia="Arial" w:hAnsi="Arial"/>
          <w:sz w:val="18"/>
          <w:szCs w:val="18"/>
          <w:color w:val="auto"/>
        </w:rPr>
        <w:t>“</w:t>
      </w:r>
      <w:r>
        <w:rPr>
          <w:rFonts w:ascii="Arial" w:cs="Arial" w:eastAsia="Arial" w:hAnsi="Arial"/>
          <w:sz w:val="18"/>
          <w:szCs w:val="18"/>
          <w:i w:val="1"/>
          <w:iCs w:val="1"/>
          <w:color w:val="auto"/>
        </w:rPr>
        <w:t>ASU 2023-07</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Annual disclosures are required for fiscal years beginning after December 15, 2023 or our fiscal 2025. Interim disclosures are required for periods within fiscal years beginning after December 15, 2024, or our fiscal 2026. Retrospective application is required for all prior periods presented, and early adoption is permitted. We are currently assessing the impact of the requirements on our consolidated financial statements and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balances and the fair value hierarchy level of our financial instruments recorded at fair value on a recurring basis as of the dates presented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30, 2023</w:t>
            </w:r>
          </w:p>
        </w:tc>
        <w:tc>
          <w:tcPr>
            <w:tcW w:w="280" w:type="dxa"/>
            <w:vAlign w:val="bottom"/>
          </w:tcPr>
          <w:p>
            <w:pPr>
              <w:spacing w:after="0"/>
              <w:rPr>
                <w:sz w:val="17"/>
                <w:szCs w:val="17"/>
                <w:color w:val="auto"/>
              </w:rPr>
            </w:pPr>
          </w:p>
        </w:tc>
        <w:tc>
          <w:tcPr>
            <w:tcW w:w="1680" w:type="dxa"/>
            <w:vAlign w:val="bottom"/>
          </w:tcPr>
          <w:p>
            <w:pPr>
              <w:jc w:val="right"/>
              <w:ind w:right="361"/>
              <w:spacing w:after="0"/>
              <w:rPr>
                <w:sz w:val="20"/>
                <w:szCs w:val="20"/>
                <w:color w:val="auto"/>
              </w:rPr>
            </w:pPr>
            <w:r>
              <w:rPr>
                <w:rFonts w:ascii="Arial" w:cs="Arial" w:eastAsia="Arial" w:hAnsi="Arial"/>
                <w:sz w:val="14"/>
                <w:szCs w:val="14"/>
                <w:b w:val="1"/>
                <w:bCs w:val="1"/>
                <w:color w:val="auto"/>
              </w:rPr>
              <w:t>August 31, 2023</w:t>
            </w:r>
          </w:p>
        </w:tc>
      </w:tr>
      <w:tr>
        <w:trPr>
          <w:trHeight w:val="18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 recorded at fair value:</w:t>
            </w:r>
          </w:p>
        </w:tc>
        <w:tc>
          <w:tcPr>
            <w:tcW w:w="3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260" w:type="dxa"/>
            <w:vAlign w:val="bottom"/>
          </w:tcPr>
          <w:p>
            <w:pPr>
              <w:ind w:left="1760"/>
              <w:spacing w:after="0"/>
              <w:rPr>
                <w:sz w:val="20"/>
                <w:szCs w:val="20"/>
                <w:color w:val="auto"/>
              </w:rPr>
            </w:pPr>
            <w:r>
              <w:rPr>
                <w:rFonts w:ascii="Arial" w:cs="Arial" w:eastAsia="Arial" w:hAnsi="Arial"/>
                <w:sz w:val="14"/>
                <w:szCs w:val="14"/>
                <w:color w:val="auto"/>
              </w:rPr>
              <w:t>Level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513.3</w:t>
            </w:r>
          </w:p>
        </w:tc>
        <w:tc>
          <w:tcPr>
            <w:tcW w:w="2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397.9</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financial instruments</w:t>
            </w:r>
          </w:p>
        </w:tc>
        <w:tc>
          <w:tcPr>
            <w:tcW w:w="326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Level 2</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r>
      <w:tr>
        <w:trPr>
          <w:trHeight w:val="210"/>
        </w:trPr>
        <w:tc>
          <w:tcPr>
            <w:tcW w:w="3820" w:type="dxa"/>
            <w:vAlign w:val="bottom"/>
          </w:tcPr>
          <w:p>
            <w:pPr>
              <w:ind w:left="20"/>
              <w:spacing w:after="0"/>
              <w:rPr>
                <w:sz w:val="20"/>
                <w:szCs w:val="20"/>
                <w:color w:val="auto"/>
              </w:rPr>
            </w:pPr>
            <w:r>
              <w:rPr>
                <w:rFonts w:ascii="Arial" w:cs="Arial" w:eastAsia="Arial" w:hAnsi="Arial"/>
                <w:sz w:val="14"/>
                <w:szCs w:val="14"/>
                <w:color w:val="auto"/>
              </w:rPr>
              <w:t>Assets in fair value hierarchy</w:t>
            </w: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513.8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398.3</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w:t>
            </w:r>
            <w:r>
              <w:rPr>
                <w:rFonts w:ascii="Arial" w:cs="Arial" w:eastAsia="Arial" w:hAnsi="Arial"/>
                <w:sz w:val="9"/>
                <w:szCs w:val="9"/>
                <w:color w:val="auto"/>
              </w:rPr>
              <w:t>(1)</w:t>
            </w:r>
          </w:p>
        </w:tc>
        <w:tc>
          <w:tcPr>
            <w:tcW w:w="3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c>
          <w:tcPr>
            <w:tcW w:w="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r>
      <w:tr>
        <w:trPr>
          <w:trHeight w:val="210"/>
        </w:trPr>
        <w:tc>
          <w:tcPr>
            <w:tcW w:w="3820" w:type="dxa"/>
            <w:vAlign w:val="bottom"/>
          </w:tcPr>
          <w:p>
            <w:pPr>
              <w:ind w:left="20"/>
              <w:spacing w:after="0"/>
              <w:rPr>
                <w:sz w:val="20"/>
                <w:szCs w:val="20"/>
                <w:color w:val="auto"/>
              </w:rPr>
            </w:pPr>
            <w:r>
              <w:rPr>
                <w:rFonts w:ascii="Arial" w:cs="Arial" w:eastAsia="Arial" w:hAnsi="Arial"/>
                <w:sz w:val="14"/>
                <w:szCs w:val="14"/>
                <w:color w:val="auto"/>
              </w:rPr>
              <w:t>Total assets at fair value</w:t>
            </w:r>
          </w:p>
        </w:tc>
        <w:tc>
          <w:tcPr>
            <w:tcW w:w="326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521.0</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405.5</w:t>
            </w:r>
          </w:p>
        </w:tc>
      </w:tr>
      <w:tr>
        <w:trPr>
          <w:trHeight w:val="21"/>
        </w:trPr>
        <w:tc>
          <w:tcPr>
            <w:tcW w:w="3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660" w:hanging="328"/>
        <w:spacing w:after="0" w:line="231" w:lineRule="auto"/>
        <w:tabs>
          <w:tab w:leader="none" w:pos="653"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Includes strategic investments in privately-held entities over which we do not exercise significant influence or control and without readily determinable fair values. Amounts are recorded at cost less any impairment adjusted for observable price changes, if 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 for our outstanding debt obligations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estimated fair value of our senior unsecured public notes was $401.3 million and $401.4 million as of November 30, 2023 and August 31, 2023, respectively.</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had no short-term borrowings outstanding under our revolving credit facility as of November 30, 2023 and August 31, 2023. Such borrowings, if any, are variable-rate instruments that reset on a frequent short-term basis; therefore, we estimate that any outstanding carrying values of these instruments, which are equal to their face amounts,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2023</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2023</w:t>
            </w:r>
          </w:p>
        </w:tc>
      </w:tr>
      <w:tr>
        <w:trPr>
          <w:trHeight w:val="209"/>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9" w:lineRule="exact"/>
        <w:rPr>
          <w:sz w:val="20"/>
          <w:szCs w:val="20"/>
          <w:color w:val="auto"/>
        </w:rPr>
      </w:pPr>
    </w:p>
    <w:p>
      <w:pPr>
        <w:ind w:firstLine="8"/>
        <w:spacing w:after="0" w:line="316"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inventory quantities on hand and record a provision for excess and obsolete inventory primarily based on estimated future demand and current market conditions. A significant change in customer demand and/or market conditions could render certain inventory obsolete and could have a material adverse impact on our operating results in the period the change occurs.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2023</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2023</w:t>
            </w:r>
          </w:p>
        </w:tc>
      </w:tr>
      <w:tr>
        <w:trPr>
          <w:trHeight w:val="209"/>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210.9</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966.7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961.8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(664.2)</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297.6</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amortization expense for definite-lived intangible assets of $9.9 million and $13.6 million during the three months ended November 30, 2023 and 2022,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2023</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1,097.9</w:t>
            </w:r>
          </w:p>
        </w:tc>
      </w:tr>
      <w:tr>
        <w:trPr>
          <w:trHeight w:val="21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November 30, 2023</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1,014.2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2022</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1,014.2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1,084.3</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Derecognitions for divestitures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Balance at November 30, 2022</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1,013.1</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1,082.0</w:t>
            </w: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2023</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7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w:t>
            </w:r>
          </w:p>
        </w:tc>
      </w:tr>
      <w:tr>
        <w:trPr>
          <w:trHeight w:val="20"/>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40"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within our Form 10-K for additional information.</w:t>
      </w:r>
    </w:p>
    <w:p>
      <w:pPr>
        <w:ind w:left="640" w:hanging="308"/>
        <w:spacing w:after="0" w:line="187" w:lineRule="auto"/>
        <w:tabs>
          <w:tab w:leader="none" w:pos="6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tabs>
          <w:tab w:leader="none" w:pos="64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accruals for income, property, sales and use, and value-added taxes.</w:t>
      </w:r>
    </w:p>
    <w:p>
      <w:pPr>
        <w:spacing w:after="0" w:line="14" w:lineRule="exact"/>
        <w:rPr>
          <w:rFonts w:ascii="Arial" w:cs="Arial" w:eastAsia="Arial" w:hAnsi="Arial"/>
          <w:sz w:val="9"/>
          <w:szCs w:val="9"/>
          <w:color w:val="auto"/>
        </w:rPr>
      </w:pPr>
    </w:p>
    <w:p>
      <w:pPr>
        <w:ind w:left="640" w:hanging="308"/>
        <w:spacing w:after="0" w:line="193" w:lineRule="auto"/>
        <w:tabs>
          <w:tab w:leader="none" w:pos="6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2020, a wholly owned subsidiary of Acuity Brands Lighting, Inc. issued $500.0 million aggregate principal amount of 2.150% senior unsecured notes due December 15, 2030 (the “Unsecured Notes”) at a price equal to 99.737% of their face value. Interest on the Unsecured Notes is paid semi-annually in arrears on June 15 and December 15 of each year. We recorded $ 4.8 million of deferred issuance costs related to the Unsecured Notes as a direct deduction from the face amount of the Unsecured Notes. These issuance costs are amortized over the 10-year term of the Unsecured Notes.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Brands, Inc. and ABL IP Holding LLC, a wholly-owned subsidiary of Acuity Brands,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30, 2022, we entered into a credit agreement (the “Credit Agreement”) with a syndicate of banks that provides us with a $600.0 million five-year unsecured revolving credit facility (the “Revolving Credit Facility”) with the ability to request an additional $ 400.0 million of borrowing capacity. We had no short-term borrowings outstanding under the Revolving Credit Facility at November 30, 2023 and August 31, 2023.</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were in compliance with all financial covenants under the Credit Agreement as of the periods presented. At November 30, 2023, we had additional borrowing capacity under the Credit Agreement of $596.2 million under the most restrictive covenant in effect at the time, which represents the full amount of the Revolving Credit Facility less outstanding letters of credit of $3.8 million issued under the Revolving Credit Facility, primarily for securing collateral requirements under our casualty insurance premiums.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None of our existing debt instruments include provisions that would require an acceleration of repayments based solely on changes in our credit ratings. 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November 30, 2023,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 other than the items discussed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products generally have a standard warranty term of five years that assure our products comply with agreed upon specifications. We record an accrual for the estimated amount of future warranty costs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when the related revenue is recognized. Estimated future warranty and recall costs are primarily based on historical experience of identified warranty and recall claims. Estimated costs related to product warranty and recall costs outside of our historical experience, which could include significant product recalls or formal campaigns soliciting repair or return of a product, are accrued when they are deemed to be probable and can be reasonably estimated.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based on the timing of receipt of recovery. Recoveries are recorded net of allowances for credit losses.</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can be no assurance that future warranty or recall costs will not exceed historical amounts, new technology products may not generate unexpected costs, and/or loss recoveries will not be fully collectible. If actual future warranty or recall costs exceed historical amounts or recoveries are no longer collectible, adjustments to our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accruals and/or receivables may be warranted, which could have a material adverse impact on our results of operations and cash flows.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and recall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Payments and other deductions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November 30, 2023</w:t>
            </w: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November 30, 2022</w:t>
            </w:r>
          </w:p>
        </w:tc>
      </w:tr>
      <w:tr>
        <w:trPr>
          <w:trHeight w:val="208"/>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center"/>
              <w:ind w:left="125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w:t>
            </w:r>
          </w:p>
        </w:tc>
      </w:tr>
      <w:tr>
        <w:trPr>
          <w:trHeight w:val="215"/>
        </w:trPr>
        <w:tc>
          <w:tcPr>
            <w:tcW w:w="180" w:type="dxa"/>
            <w:vAlign w:val="bottom"/>
          </w:tcPr>
          <w:p>
            <w:pPr>
              <w:spacing w:after="0"/>
              <w:rPr>
                <w:sz w:val="18"/>
                <w:szCs w:val="18"/>
                <w:color w:val="auto"/>
              </w:rPr>
            </w:pPr>
          </w:p>
        </w:tc>
        <w:tc>
          <w:tcPr>
            <w:tcW w:w="1820" w:type="dxa"/>
            <w:vAlign w:val="bottom"/>
          </w:tcPr>
          <w:p>
            <w:pPr>
              <w:jc w:val="center"/>
              <w:ind w:left="125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7"/>
        </w:trPr>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left="1259"/>
              <w:spacing w:after="0"/>
              <w:rPr>
                <w:sz w:val="20"/>
                <w:szCs w:val="20"/>
                <w:color w:val="auto"/>
              </w:rPr>
            </w:pPr>
            <w:r>
              <w:rPr>
                <w:rFonts w:ascii="Arial" w:cs="Arial" w:eastAsia="Arial" w:hAnsi="Arial"/>
                <w:sz w:val="16"/>
                <w:szCs w:val="16"/>
                <w:color w:val="auto"/>
                <w:w w:val="95"/>
              </w:rPr>
              <w:t>(11.3)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center"/>
              <w:ind w:left="125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-599440</wp:posOffset>
            </wp:positionV>
            <wp:extent cx="710628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-316230</wp:posOffset>
            </wp:positionV>
            <wp:extent cx="71062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40"/>
          </w:cols>
          <w:pgMar w:left="320" w:top="122"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Security Incidents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December 14, 2022, a former associate filed a putative class action complaint against the Company in the United States District Court for the Northern District of Georgia on behalf of all persons whose personal information was compromised as a result of data security incidents we experienced in October 2020 and/or December 2021. On January 25, 2023, a second putative class action complaint was filed in the same venue by two other former associates.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Both complaints contained similar allegations and claimed that the Company failed to exercise reasonable caution in securing and safeguarding associate information. On that basis, the complaints asserted claims for negligence, breach of contract, breach of implied contract, unjust enrichment, breach of fiduciary duty, invasion of privacy, and breach of confidence. The plaintiffs sought class certification, monetary damages, certain injunctive relief regarding our data-security measures, additional credit-monitoring services, other equitable relief (including disgorgement), attorneys’ fees, costs, and pre- and post-judgment interest.</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December 1, 2023, the parties reached a proposed settlement and release of all claims in the class action and executed a Settlement Agreement and Release, which is pending approval from the State Court of Fulton County, Georgia. The impact of the settlement is not material.</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received inquiries from, and it is also possible that investigations or other actions may be taken by, state and/or federal agencies regarding the data security incidents and related data privacy matters. For these reasons, we are currently unable to reasonably estimate the possible losses or a range of possible losses resulting from the matters described above. We have insurance, subject to certain terms and conditions, for these types of matters.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50"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Common Stock</w:t>
      </w:r>
    </w:p>
    <w:p>
      <w:pPr>
        <w:jc w:val="center"/>
        <w:ind w:right="50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6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2023</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3,505.4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2,015.4</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2023</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2,064.1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6"/>
              </w:rPr>
              <w:t>Common Stock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9"/>
                <w:szCs w:val="9"/>
                <w:color w:val="auto"/>
              </w:rPr>
            </w:pPr>
          </w:p>
        </w:tc>
        <w:tc>
          <w:tcPr>
            <w:tcW w:w="13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rPr>
              <w:t>Accumulated Other</w:t>
            </w:r>
          </w:p>
        </w:tc>
        <w:tc>
          <w:tcPr>
            <w:tcW w:w="120" w:type="dxa"/>
            <w:vAlign w:val="bottom"/>
          </w:tcPr>
          <w:p>
            <w:pPr>
              <w:spacing w:after="0"/>
              <w:rPr>
                <w:sz w:val="9"/>
                <w:szCs w:val="9"/>
                <w:color w:val="auto"/>
              </w:rPr>
            </w:pPr>
          </w:p>
        </w:tc>
        <w:tc>
          <w:tcPr>
            <w:tcW w:w="80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rPr>
              <w:t>Treasury</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2022</w:t>
            </w: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1,036.3</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3,176.2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(2,175.4)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1,911.8</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1,903.5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Sheets </w:t>
      </w:r>
      <w:r>
        <w:rPr>
          <w:rFonts w:ascii="Arial" w:cs="Arial" w:eastAsia="Arial" w:hAnsi="Arial"/>
          <w:sz w:val="18"/>
          <w:szCs w:val="18"/>
          <w:color w:val="auto"/>
        </w:rPr>
        <w:t>at net realizable value. Further details regarding our method for developing our estimate of expected credit losses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contractual term of our receivables are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do not have any other significant contract assets. Contract liabilities arise when we receive cash or an unconditional right to collect cash prior to the transfer of control of goods or services.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30, 2023</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47.6</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professional service and service-type warranty fees collected prior to performing the related service as well as software licenses and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 Revenue recognized from beginning balances of contract liabilities during the three months ended November 30, 2023 totaled $3.9 million.</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November 30, 2023 and consist primarily of orders for physical goods that have not yet been shipped.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ISG sells predominantly to system integrators. The following table shows revenue from contracts with customers by sales channel and reconciles to our segment information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2023</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2022</w:t>
            </w:r>
          </w:p>
        </w:tc>
      </w:tr>
      <w:tr>
        <w:trPr>
          <w:trHeight w:val="19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5"/>
        </w:trPr>
        <w:tc>
          <w:tcPr>
            <w:tcW w:w="730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625.2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673.7</w:t>
            </w:r>
          </w:p>
        </w:tc>
      </w:tr>
      <w:tr>
        <w:trPr>
          <w:trHeight w:val="217"/>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r>
      <w:tr>
        <w:trPr>
          <w:trHeight w:val="215"/>
        </w:trPr>
        <w:tc>
          <w:tcPr>
            <w:tcW w:w="730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217"/>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5"/>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w:t>
            </w: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ISG</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997.9</w:t>
            </w: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restricted stock, performance stock units, and stock options (all part of our equity incentive plan), as well as stock units representing certain deferrals into our director deferred compensation plan or our supplemental deferred savings plan.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2023</w:t>
            </w:r>
          </w:p>
        </w:tc>
        <w:tc>
          <w:tcPr>
            <w:tcW w:w="180" w:type="dxa"/>
            <w:vAlign w:val="bottom"/>
          </w:tcPr>
          <w:p>
            <w:pPr>
              <w:spacing w:after="0"/>
              <w:rPr>
                <w:sz w:val="18"/>
                <w:szCs w:val="18"/>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November 30, 2022</w:t>
            </w:r>
          </w:p>
        </w:tc>
      </w:tr>
      <w:tr>
        <w:trPr>
          <w:trHeight w:val="210"/>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recognized excess tax benefits of $1.5 million and $1.3 million related to share-based payment awards during the three months ended November 30, 2023 and 2022, respectively.</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and equity securities.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4"/>
          </w:tcPr>
          <w:p>
            <w:pPr>
              <w:ind w:left="1040"/>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2023</w:t>
            </w:r>
          </w:p>
        </w:tc>
        <w:tc>
          <w:tcPr>
            <w:tcW w:w="18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November 30, 2022</w:t>
            </w: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1.1</w:t>
            </w:r>
          </w:p>
        </w:tc>
      </w:tr>
      <w:tr>
        <w:trPr>
          <w:trHeight w:val="215"/>
        </w:trPr>
        <w:tc>
          <w:tcPr>
            <w:tcW w:w="71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left="1339"/>
              <w:spacing w:after="0"/>
              <w:rPr>
                <w:sz w:val="20"/>
                <w:szCs w:val="20"/>
                <w:color w:val="auto"/>
              </w:rPr>
            </w:pPr>
            <w:r>
              <w:rPr>
                <w:rFonts w:ascii="Arial" w:cs="Arial" w:eastAsia="Arial" w:hAnsi="Arial"/>
                <w:sz w:val="16"/>
                <w:szCs w:val="16"/>
                <w:color w:val="auto"/>
                <w:w w:val="98"/>
              </w:rPr>
              <w:t>2.2</w:t>
            </w:r>
          </w:p>
        </w:tc>
      </w:tr>
      <w:tr>
        <w:trPr>
          <w:trHeight w:val="217"/>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rPr>
              <w:t>(2.4)</w:t>
            </w:r>
          </w:p>
        </w:tc>
      </w:tr>
      <w:tr>
        <w:trPr>
          <w:trHeight w:val="215"/>
        </w:trPr>
        <w:tc>
          <w:tcPr>
            <w:tcW w:w="718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00" w:type="dxa"/>
            <w:vAlign w:val="bottom"/>
          </w:tcPr>
          <w:p>
            <w:pPr>
              <w:jc w:val="center"/>
              <w:ind w:left="1339"/>
              <w:spacing w:after="0"/>
              <w:rPr>
                <w:sz w:val="20"/>
                <w:szCs w:val="20"/>
                <w:color w:val="auto"/>
              </w:rPr>
            </w:pPr>
            <w:r>
              <w:rPr>
                <w:rFonts w:ascii="Arial" w:cs="Arial" w:eastAsia="Arial" w:hAnsi="Arial"/>
                <w:sz w:val="16"/>
                <w:szCs w:val="16"/>
                <w:color w:val="auto"/>
                <w:w w:val="98"/>
              </w:rPr>
              <w:t>0.7</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0.8</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center"/>
              <w:ind w:left="1339"/>
              <w:spacing w:after="0"/>
              <w:rPr>
                <w:sz w:val="20"/>
                <w:szCs w:val="20"/>
                <w:color w:val="auto"/>
              </w:rPr>
            </w:pPr>
            <w:r>
              <w:rPr>
                <w:rFonts w:ascii="Arial" w:cs="Arial" w:eastAsia="Arial" w:hAnsi="Arial"/>
                <w:sz w:val="16"/>
                <w:szCs w:val="16"/>
                <w:color w:val="auto"/>
                <w:w w:val="98"/>
              </w:rPr>
              <w:t>2.4</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recognized no special charges during the first quarter of fiscal 2024.</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first quarter of fiscal 2023, we recognized $6.9 million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primarily for impairments of operating lease right-of-use assets for $4.3 million associated with our previously owned Sunoptics</w:t>
      </w:r>
      <w:r>
        <w:rPr>
          <w:rFonts w:ascii="Arial" w:cs="Arial" w:eastAsia="Arial" w:hAnsi="Arial"/>
          <w:sz w:val="18"/>
          <w:szCs w:val="18"/>
          <w:i w:val="1"/>
          <w:iCs w:val="1"/>
          <w:color w:val="auto"/>
        </w:rPr>
        <w:t xml:space="preserve"> </w:t>
      </w:r>
      <w:r>
        <w:rPr>
          <w:rFonts w:ascii="Arial" w:cs="Arial" w:eastAsia="Arial" w:hAnsi="Arial"/>
          <w:sz w:val="18"/>
          <w:szCs w:val="18"/>
          <w:color w:val="auto"/>
        </w:rPr>
        <w:t>prismatic skylights business that were not transferred in connection with the sale. We additionally recognized associate severance and other costs totaling $2.6 million primarily in connection with the Sunoptics divestiture.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other expense (income), net for the periods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2023</w:t>
            </w:r>
          </w:p>
        </w:tc>
        <w:tc>
          <w:tcPr>
            <w:tcW w:w="180" w:type="dxa"/>
            <w:vAlign w:val="bottom"/>
          </w:tcPr>
          <w:p>
            <w:pPr>
              <w:spacing w:after="0"/>
              <w:rPr>
                <w:sz w:val="18"/>
                <w:szCs w:val="18"/>
                <w:color w:val="auto"/>
              </w:rPr>
            </w:pPr>
          </w:p>
        </w:tc>
        <w:tc>
          <w:tcPr>
            <w:tcW w:w="182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30, 2022</w:t>
            </w:r>
          </w:p>
        </w:tc>
      </w:tr>
      <w:tr>
        <w:trPr>
          <w:trHeight w:val="19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710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Miscellaneous expense, net:</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Non-service components of net periodic pension cost</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transaction losses (gains)</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Loss on sale of business</w:t>
            </w:r>
          </w:p>
        </w:tc>
        <w:tc>
          <w:tcPr>
            <w:tcW w:w="20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items</w:t>
            </w: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9"/>
        </w:trPr>
        <w:tc>
          <w:tcPr>
            <w:tcW w:w="71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Miscellaneous expense, net</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2023</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2022</w:t>
            </w:r>
          </w:p>
        </w:tc>
        <w:tc>
          <w:tcPr>
            <w:tcW w:w="0" w:type="dxa"/>
            <w:vAlign w:val="bottom"/>
          </w:tcPr>
          <w:p>
            <w:pPr>
              <w:spacing w:after="0"/>
              <w:rPr>
                <w:sz w:val="1"/>
                <w:szCs w:val="1"/>
                <w:color w:val="auto"/>
              </w:rPr>
            </w:pPr>
          </w:p>
        </w:tc>
      </w:tr>
      <w:tr>
        <w:trPr>
          <w:trHeight w:val="235"/>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31.005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32.308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equivalents</w:t>
            </w: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0.396</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32.704</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32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Basic earnings per share</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20" w:type="dxa"/>
            <w:vAlign w:val="bottom"/>
          </w:tcPr>
          <w:p>
            <w:pPr>
              <w:ind w:left="20"/>
              <w:spacing w:after="0" w:line="190" w:lineRule="exact"/>
              <w:rPr>
                <w:sz w:val="20"/>
                <w:szCs w:val="20"/>
                <w:color w:val="auto"/>
              </w:rPr>
            </w:pPr>
            <w:r>
              <w:rPr>
                <w:rFonts w:ascii="Arial" w:cs="Arial" w:eastAsia="Arial" w:hAnsi="Arial"/>
                <w:sz w:val="16"/>
                <w:szCs w:val="16"/>
                <w:color w:val="auto"/>
              </w:rPr>
              <w:t>Diluted earnings per share</w:t>
            </w:r>
            <w:r>
              <w:rPr>
                <w:rFonts w:ascii="Arial" w:cs="Arial" w:eastAsia="Arial" w:hAnsi="Arial"/>
                <w:sz w:val="21"/>
                <w:szCs w:val="2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8"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calculated using unrounded numbers. Amounts in the table may not recalculate exactly due to rounding.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stock options, performance stock awards, and restricted stock awards that were excluded from the diluted earnings per share calculation for the periods presented as the effect of inclusion would have been antidilutive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Pr>
          <w:p>
            <w:pPr>
              <w:spacing w:after="0"/>
              <w:rPr>
                <w:sz w:val="18"/>
                <w:szCs w:val="18"/>
                <w:color w:val="auto"/>
              </w:rPr>
            </w:pPr>
          </w:p>
        </w:tc>
        <w:tc>
          <w:tcPr>
            <w:tcW w:w="438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6860" w:type="dxa"/>
            <w:vAlign w:val="bottom"/>
          </w:tcPr>
          <w:p>
            <w:pPr>
              <w:spacing w:after="0"/>
              <w:rPr>
                <w:sz w:val="18"/>
                <w:szCs w:val="18"/>
                <w:color w:val="auto"/>
              </w:rPr>
            </w:pPr>
          </w:p>
        </w:tc>
        <w:tc>
          <w:tcPr>
            <w:tcW w:w="2260" w:type="dxa"/>
            <w:vAlign w:val="bottom"/>
            <w:gridSpan w:val="2"/>
          </w:tcPr>
          <w:p>
            <w:pPr>
              <w:ind w:left="340"/>
              <w:spacing w:after="0"/>
              <w:rPr>
                <w:sz w:val="20"/>
                <w:szCs w:val="20"/>
                <w:color w:val="auto"/>
              </w:rPr>
            </w:pPr>
            <w:r>
              <w:rPr>
                <w:rFonts w:ascii="Arial" w:cs="Arial" w:eastAsia="Arial" w:hAnsi="Arial"/>
                <w:sz w:val="16"/>
                <w:szCs w:val="16"/>
                <w:b w:val="1"/>
                <w:bCs w:val="1"/>
                <w:color w:val="auto"/>
              </w:rPr>
              <w:t>November 30, 2023</w:t>
            </w:r>
          </w:p>
        </w:tc>
        <w:tc>
          <w:tcPr>
            <w:tcW w:w="2120" w:type="dxa"/>
            <w:vAlign w:val="bottom"/>
          </w:tcPr>
          <w:p>
            <w:pPr>
              <w:jc w:val="right"/>
              <w:ind w:right="239"/>
              <w:spacing w:after="0"/>
              <w:rPr>
                <w:sz w:val="20"/>
                <w:szCs w:val="20"/>
                <w:color w:val="auto"/>
              </w:rPr>
            </w:pPr>
            <w:r>
              <w:rPr>
                <w:rFonts w:ascii="Arial" w:cs="Arial" w:eastAsia="Arial" w:hAnsi="Arial"/>
                <w:sz w:val="16"/>
                <w:szCs w:val="16"/>
                <w:b w:val="1"/>
                <w:bCs w:val="1"/>
                <w:color w:val="auto"/>
              </w:rPr>
              <w:t>November 30, 2022</w:t>
            </w: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1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Performance stock awards</w:t>
            </w:r>
          </w:p>
        </w:tc>
        <w:tc>
          <w:tcPr>
            <w:tcW w:w="2260" w:type="dxa"/>
            <w:vAlign w:val="bottom"/>
            <w:gridSpan w:val="2"/>
          </w:tcPr>
          <w:p>
            <w:pPr>
              <w:ind w:left="1720"/>
              <w:spacing w:after="0"/>
              <w:rPr>
                <w:sz w:val="20"/>
                <w:szCs w:val="20"/>
                <w:color w:val="auto"/>
              </w:rPr>
            </w:pPr>
            <w:r>
              <w:rPr>
                <w:rFonts w:ascii="Arial" w:cs="Arial" w:eastAsia="Arial" w:hAnsi="Arial"/>
                <w:sz w:val="16"/>
                <w:szCs w:val="16"/>
                <w:color w:val="auto"/>
              </w:rPr>
              <w:t>— *</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 *</w:t>
            </w:r>
          </w:p>
        </w:tc>
      </w:tr>
      <w:tr>
        <w:trPr>
          <w:trHeight w:val="217"/>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awards</w:t>
            </w:r>
          </w:p>
        </w:tc>
        <w:tc>
          <w:tcPr>
            <w:tcW w:w="2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Represents shares of less than 0.1 million.</w:t>
      </w:r>
    </w:p>
    <w:p>
      <w:pPr>
        <w:spacing w:after="0" w:line="13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Comprehensive Income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income (loss) items, which are comprised of foreign currency translation and pension adjustments.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during the periods presented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2023</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98"/>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9"/>
                <w:szCs w:val="9"/>
                <w:color w:val="auto"/>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30, 2023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2022</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98"/>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9"/>
                <w:szCs w:val="9"/>
                <w:color w:val="auto"/>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30, 2022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320" w:firstLine="8"/>
        <w:spacing w:after="0" w:line="291" w:lineRule="auto"/>
        <w:tabs>
          <w:tab w:leader="none" w:pos="122"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 xml:space="preserve">The before tax amounts of the defined benefit pension plan items are included in net periodic pension cost. See the </w:t>
      </w:r>
      <w:r>
        <w:rPr>
          <w:rFonts w:ascii="Arial" w:cs="Arial" w:eastAsia="Arial" w:hAnsi="Arial"/>
          <w:sz w:val="11"/>
          <w:szCs w:val="11"/>
          <w:i w:val="1"/>
          <w:iCs w:val="1"/>
          <w:color w:val="auto"/>
        </w:rPr>
        <w:t>Pension and Defined Contribution Plans</w:t>
      </w:r>
      <w:r>
        <w:rPr>
          <w:rFonts w:ascii="Arial" w:cs="Arial" w:eastAsia="Arial" w:hAnsi="Arial"/>
          <w:sz w:val="11"/>
          <w:szCs w:val="11"/>
          <w:color w:val="auto"/>
        </w:rPr>
        <w:t xml:space="preserve"> footnote of the </w:t>
      </w:r>
      <w:r>
        <w:rPr>
          <w:rFonts w:ascii="Arial" w:cs="Arial" w:eastAsia="Arial" w:hAnsi="Arial"/>
          <w:sz w:val="11"/>
          <w:szCs w:val="11"/>
          <w:i w:val="1"/>
          <w:iCs w:val="1"/>
          <w:color w:val="auto"/>
        </w:rPr>
        <w:t>Notes to Consolidated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Financial Statements </w:t>
      </w:r>
      <w:r>
        <w:rPr>
          <w:rFonts w:ascii="Arial" w:cs="Arial" w:eastAsia="Arial" w:hAnsi="Arial"/>
          <w:sz w:val="11"/>
          <w:szCs w:val="11"/>
          <w:color w:val="auto"/>
        </w:rPr>
        <w:t>for additional details.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7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b w:val="1"/>
                <w:bCs w:val="1"/>
                <w:color w:val="auto"/>
              </w:rPr>
              <w:t>November 30, 2023</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b w:val="1"/>
                <w:bCs w:val="1"/>
                <w:color w:val="auto"/>
              </w:rPr>
              <w:t>November 30, 2022</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2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report our financial results of operations in two reportable segments, ABL and ISG, consistent with how our chief operating decision maker currently evaluates operating results, assesses performance, and allocates resources within the Company.</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segments. These include expenses related to governance, policy setting, compliance, and certain other shared services functions. Additionally, net interest expense, net miscellaneous expense, and income tax expense are not allocated to segments.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no special charges during the three months ended November 30, 2023. Special charges during the three months ended November 30, 2022 of $6.9 million pertained to the ABL segment.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4"/>
          </w:tcPr>
          <w:p>
            <w:pPr>
              <w:jc w:val="right"/>
              <w:ind w:right="125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6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 2023</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November 30, 2022</w:t>
            </w:r>
          </w:p>
        </w:tc>
      </w:tr>
      <w:tr>
        <w:trPr>
          <w:trHeight w:val="196"/>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2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ABL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876.4</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947.1</w:t>
            </w: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ISG</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16"/>
        </w:trPr>
        <w:tc>
          <w:tcPr>
            <w:tcW w:w="69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Eliminations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3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ABL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143.8</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118.1</w:t>
            </w: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ISG</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Unallocated corporate amounts</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235"/>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7"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2"/>
          <w:szCs w:val="12"/>
          <w:color w:val="auto"/>
        </w:rPr>
        <w:t>These amounts represent intersegment sales. Profit on these sales eliminates within gross profit on a consolidated basis.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for the periods presented (in millions):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30, 2023</w:t>
            </w:r>
          </w:p>
        </w:tc>
        <w:tc>
          <w:tcPr>
            <w:tcW w:w="180" w:type="dxa"/>
            <w:vAlign w:val="bottom"/>
          </w:tcPr>
          <w:p>
            <w:pPr>
              <w:spacing w:after="0"/>
              <w:rPr>
                <w:sz w:val="18"/>
                <w:szCs w:val="18"/>
                <w:color w:val="auto"/>
              </w:rPr>
            </w:pPr>
          </w:p>
        </w:tc>
        <w:tc>
          <w:tcPr>
            <w:tcW w:w="174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2022</w:t>
            </w:r>
          </w:p>
        </w:tc>
      </w:tr>
      <w:tr>
        <w:trPr>
          <w:trHeight w:val="210"/>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ABL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Operating profit - ISG</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9"/>
        </w:trPr>
        <w:tc>
          <w:tcPr>
            <w:tcW w:w="72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108.9</w:t>
            </w:r>
          </w:p>
        </w:tc>
      </w:tr>
      <w:tr>
        <w:trPr>
          <w:trHeight w:val="21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expense, net</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35"/>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as of November 30, 2023 and for the three months ended November 30, 2023 and 2022.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included within this report. Also, please refer to Acuity Brands, Inc.'s Annual Report on Form 10-K for the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August 31, 2023, filed with the Securities and Exchange Commission (the “SEC”) on October 26, 2023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solutions, and location-aware applications.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maintain our dividend, and to make share repurchases. Sufficient cash flow generation is also critical to fund our operations in the short and long terms and to maintain compliance with covenants contained in our financing agreements.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our unsecured notes, accounts payable, accrued employee compensation,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will be able to meet our liquidity needs over the next 12 months based on our cash on hand, current projections of cash flows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position at November 30, 2023 was $513.3 million, an increase of $115.4 million from August 31, 2023. Cash generated from operating activities and cash on hand were used during the current year to fund our capital allocation priorities as discussed below.</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$190.0 million of cash flows from operating activities during the three months ended November 30, 2023, compared to $186.6 million in the prior-year period, an increase of $3.4 million. This increase was due primarily to increased pre-tax income, partially offset by lower collections from customers.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the terms of our various financing arrangements, including the $500.0 million aggregate principal amount of 2.150% senior unsecured notes due December 15, 2030 (the “Unsecured Notes”) as well as the terms of our $600.0 million five-year unsecured revolving credit facility (“Revolving Credit Facility”).</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November 30, 2023, our outstanding debt balance was $495.7 million, which consisted solely of our Unsecured Notes, compared to our cash position of $513.3 million. We were in compliance with all covenants under our financing arrangements as of November 30, 2023.</w:t>
      </w:r>
    </w:p>
    <w:p>
      <w:pPr>
        <w:spacing w:after="0" w:line="7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At November 30, 2023, we had additional borrowing capacity under the Revolving Credit Facility of $596.2 million under the most restrictive covenant in effect at the time, which represents the full amount of the Revolving Credit Facility less outstanding letters of credit of $ 3.8 million issued under the facility. As of November 30, 2023, our cash on hand combined with the additional borrowing capacity under the Revolving Credit Facility totaled $1.1 billion.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22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2023</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2023</w:t>
            </w:r>
          </w:p>
        </w:tc>
      </w:tr>
      <w:tr>
        <w:trPr>
          <w:trHeight w:val="210"/>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995.7</w:t>
            </w:r>
          </w:p>
        </w:tc>
      </w:tr>
      <w:tr>
        <w:trPr>
          <w:trHeight w:val="215"/>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320.3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326.4</w:t>
            </w:r>
          </w:p>
        </w:tc>
      </w:tr>
      <w:tr>
        <w:trPr>
          <w:trHeight w:val="217"/>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w:t>
            </w:r>
          </w:p>
        </w:tc>
      </w:tr>
      <w:tr>
        <w:trPr>
          <w:trHeight w:val="215"/>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477.0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464.2</w:t>
            </w:r>
          </w:p>
        </w:tc>
      </w:tr>
      <w:tr>
        <w:trPr>
          <w:trHeight w:val="217"/>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785.4</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260" w:type="dxa"/>
            <w:vAlign w:val="bottom"/>
          </w:tcPr>
          <w:p>
            <w:pPr>
              <w:spacing w:after="0"/>
              <w:rPr>
                <w:sz w:val="15"/>
                <w:szCs w:val="15"/>
                <w:color w:val="auto"/>
              </w:rPr>
            </w:pP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jc w:val="right"/>
              <w:ind w:right="379"/>
              <w:spacing w:after="0"/>
              <w:rPr>
                <w:sz w:val="20"/>
                <w:szCs w:val="20"/>
                <w:color w:val="auto"/>
              </w:rPr>
            </w:pPr>
            <w:r>
              <w:rPr>
                <w:rFonts w:ascii="Arial" w:cs="Arial" w:eastAsia="Arial" w:hAnsi="Arial"/>
                <w:sz w:val="16"/>
                <w:szCs w:val="16"/>
                <w:b w:val="1"/>
                <w:bCs w:val="1"/>
                <w:color w:val="auto"/>
              </w:rPr>
              <w:t>November 30, 2023</w:t>
            </w:r>
          </w:p>
        </w:tc>
        <w:tc>
          <w:tcPr>
            <w:tcW w:w="0" w:type="dxa"/>
            <w:vAlign w:val="bottom"/>
          </w:tcPr>
          <w:p>
            <w:pPr>
              <w:spacing w:after="0"/>
              <w:rPr>
                <w:sz w:val="1"/>
                <w:szCs w:val="1"/>
                <w:color w:val="auto"/>
              </w:rPr>
            </w:pPr>
          </w:p>
        </w:tc>
      </w:tr>
      <w:tr>
        <w:trPr>
          <w:trHeight w:val="210"/>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777.3</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maintain our dividend, and to make share repurchases.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invested $14.6 million and $18.2 million in property, plant, and equipment during the three months ended November 30, 2023 and 2022, respectively. We invested primarily in new and enhanced information technology, equipment, and facility improvements in fiscal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seek opportunities to strategically expand and enhance our portfolio of solutions. There were no acquisitions or divestitures during the first three months of fiscal 2024.</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15, 2023, using cash on hand, we acquired all of the equity interests of KE2 Therm Solutions, Inc. (“KE2 Therm”). KE2 Therm develops and provides intelligent refrigeration control solutions that deliver the precision of digital controls to promote safety, efficiency, and reliability, while delivering cost savings to the customer. This acquisition is intended to expand ISG's technology and controls product portfolio and reach new customers.</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sold our Sunoptics prismatic skylights business in November 2022 and recognized a pre-tax loss of $11.2 million on the sale of this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$4.1 million ($ 0.13 per share) and $4.3 million ($0.13 per share) during the three months ended November 30, 2023 and 2022,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three months of fiscal 2024, we repurchased 0.3 million shares of our outstanding common stock for $50.0 million. Total cash outflows for share repurchases during the three months ended November 30, 2023 were $48.2 million. We expect to repurchase shares on an opportunistic basis subject to various factors including stock price, Company performance, market conditions, and other possible uses of cash. As of November 30, 2023, the maximum number of shares that may yet be repurchased under the share repurchase program authorized by the Board equaled 0.9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Fiscal 2024 Compared with First Quarter of Fiscal 2023</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November 30, 2023 and 2022 (in millions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November 30, 2023</w:t>
            </w:r>
          </w:p>
        </w:tc>
        <w:tc>
          <w:tcPr>
            <w:tcW w:w="100" w:type="dxa"/>
            <w:vAlign w:val="bottom"/>
            <w:vMerge w:val="restart"/>
          </w:tcPr>
          <w:p>
            <w:pPr>
              <w:spacing w:after="0"/>
              <w:rPr>
                <w:sz w:val="11"/>
                <w:szCs w:val="1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November 30, 2022</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26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934.7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506.3</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581.4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c>
          <w:tcPr>
            <w:tcW w:w="190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(12.9) %</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428.4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45.8 %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41.7 %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410</w:t>
            </w:r>
          </w:p>
        </w:tc>
        <w:tc>
          <w:tcPr>
            <w:tcW w:w="1740" w:type="dxa"/>
            <w:vAlign w:val="bottom"/>
            <w:gridSpan w:val="2"/>
          </w:tcPr>
          <w:p>
            <w:pPr>
              <w:jc w:val="right"/>
              <w:ind w:right="140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295.5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44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w:t>
            </w:r>
          </w:p>
        </w:tc>
        <w:tc>
          <w:tcPr>
            <w:tcW w:w="46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132.9</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108.9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7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14.2 %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10.9 %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330</w:t>
            </w:r>
          </w:p>
        </w:tc>
        <w:tc>
          <w:tcPr>
            <w:tcW w:w="1740" w:type="dxa"/>
            <w:vAlign w:val="bottom"/>
            <w:gridSpan w:val="2"/>
          </w:tcPr>
          <w:p>
            <w:pPr>
              <w:jc w:val="right"/>
              <w:ind w:right="140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44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w:t>
            </w: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(86.4) %</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Miscellaneous expense, net</w:t>
            </w: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4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other expense</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90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(87.3) %</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130.9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9"/>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14.0 %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9.3 %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470</w:t>
            </w:r>
          </w:p>
        </w:tc>
        <w:tc>
          <w:tcPr>
            <w:tcW w:w="1740" w:type="dxa"/>
            <w:vAlign w:val="bottom"/>
            <w:gridSpan w:val="2"/>
          </w:tcPr>
          <w:p>
            <w:pPr>
              <w:jc w:val="right"/>
              <w:ind w:right="140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23.1 %</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19.6 %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100.6</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40.2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first quarter of fiscal 2024 decreased $63.2 million, or 6.3%, to $934.7 million, compared with $997.9 million in the prior-year period due to a decline in sales within our ABL segment, partially offset by higher sales within our ISG segment. The fiscal 2023 acquisition of KE2 Therm and divestiture of our Sunoptics business did not have meaningful impacts on consolidated net sales for the first quarter of fiscal 2024.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first quarter of fiscal 2024 increased $11.9 million, or 2.9%, to $428.4 million, compared with $416.5 million in the prior-year period, and gross profit margin increased 410 basis points to 45.8% from 41.7% compared with the prior-year period. Our gross profit increased compared with the prior period due primarily to favorable material and import costs, partially offset by higher labor, overhead, and quality costs as well as the fall through of the net sales decline.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distribution, and administrative expenses (“SD&amp;A”) expenses for the first quarter of fiscal 2024 were $295.5 million, compared with $300.7 million in the prior-year period, a decrease of $ 5.2 million, or 1.7%. The decrease in SD&amp;A expenses was due primarily to lower commissions, freight costs, and amortization, partially offset by higher employee-related costs. Amortization expense of definite-lived intangibles decreased in fiscal 2024 as we recorded $4.0 million of accelerated amortization for intangibles associated in fiscal 2023 with certain brands that were discontinued.</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first quarter of fiscal 2024 was $132.9 million (14.2% of net sales), compared with $ 108.9 million (10.9% of net sales) for the prior-year period, an increase of $24.0 million, or 22.0%. The increase in operating profit was due primarily to the increase in gross profit, partially offset by lower operating expenses.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recognized special charges of $6.9 million during the first quarter of fiscal 2023. Please refer to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Consolidated Financial Statements </w:t>
      </w:r>
      <w:r>
        <w:rPr>
          <w:rFonts w:ascii="Arial" w:cs="Arial" w:eastAsia="Arial" w:hAnsi="Arial"/>
          <w:sz w:val="18"/>
          <w:szCs w:val="18"/>
          <w:color w:val="auto"/>
        </w:rPr>
        <w:t>for further details.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net, was $0.9 million and $6.6 million for the first quarter of fiscal 2024 and 2023, respectively. The decrease in net interest expense was due to higher investing rates on our interest-bearing cash and cash equivalents as well as lower average short-term borrowings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miscellaneous expense of $1.1 million and $9.1 million for the first quarter of fiscal 2024 and 2023, respectively. This year-over-year decrease is due primarily to the recognition of an $11.2 million loss on the sale of our Sunoptics prismatic skylights business in fiscal 2023, partially offset by the impact of foreign currency-related items compared to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effective income tax rate was 23.1% and 19.6% for the first quarter of fiscal 2024 and 2023, respectively. This decline was due primarily to the recognition of higher favorable discrete items in the prior year.</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for the first quarter of fiscal 2024 increased $ 25.7 million, or 34.3%, to $100.6 million, from $74.9 million reported for the prior-year period. Diluted earnings per share for the first quarter of fiscal 2024 increased $0.92, or 40.2%, to $3.21 compared with diluted earnings per share of $2.29 for the prior-year period. This increase reflects higher net income as well as lower outstanding diluted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operating results of our segments, ABL and ISG,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November 30, 2023 and 2022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November 30, 2023</w:t>
            </w: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November 30, 2022</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Increase</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(Decrease)</w:t>
            </w: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876.4</w:t>
            </w:r>
          </w:p>
        </w:tc>
        <w:tc>
          <w:tcPr>
            <w:tcW w:w="100" w:type="dxa"/>
            <w:vAlign w:val="bottom"/>
          </w:tcPr>
          <w:p>
            <w:pPr>
              <w:spacing w:after="0"/>
              <w:rPr>
                <w:sz w:val="17"/>
                <w:szCs w:val="17"/>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947.1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(70.7)</w:t>
            </w:r>
          </w:p>
        </w:tc>
        <w:tc>
          <w:tcPr>
            <w:tcW w:w="8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143.8</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7"/>
                <w:szCs w:val="17"/>
                <w:color w:val="auto"/>
              </w:rPr>
            </w:pPr>
          </w:p>
        </w:tc>
        <w:tc>
          <w:tcPr>
            <w:tcW w:w="1280" w:type="dxa"/>
            <w:vAlign w:val="bottom"/>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(31.2) %</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ABL net sales for the first quarter of fiscal 2024 decreased $70.7 million, or 7.5%, to $876.4 million, compared with $947.1 million in the prior-year period. Sales within the ABL segment decreased due to lower net sales across all channels except the retail sales channel.</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for ABL was $143.8 million (16.4% of ABL net sales) for the first quarter of fiscal 2024, compared with $118.1 million (12.5% of ABL net sales) in the prior-year period, an increase of $25.7 million. The increase in operating profit was due primarily to improved profitability on lower sales, partially offset by increased employee-related costs. During the first quarter of fiscal 2023, we recorded $6.9 million of special charges and $4.0 million of accelerated amortization expense for intangibles associated with certain brands that were discontinued.</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ISG net sales for the first quarter of fiscal 2024 increased $7.4 million, or 13.0%, to $64.2 million, compared with $56.8 million in the prior-year period. Sales within the ISG segment increased due to the acquisition of KE2 Therm, price increases, and favorable product mix. ISG operating profit was $ 5.3 million for the first quarter of fiscal 2024, compared with $7.7 million in the prior-year period, a decrease of $2.4 million. This decrease was due primarily to increased employee-related costs and professional fees, partially offset by higher net sales.</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share-based payment expense; and product warranty and recall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 on a recurring basis.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among other things,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many of which are outside of our control. These risks and uncertainties could cause actual events or results to differ materially from our historical experience and management’s present expectations or projections. These risks and uncertainties are discussed in our filings with the U.S. Securities and Exchange Commission, including our most recent annual report on Form 10-K (including, but not limited to,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quarterly reports on Form 10-Q, and current reports on Form 8-K. Any forward-looking statement speaks only as of the date on which it is made.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due primarily to fluctuations in interest rates, foreign exchange rates, and commodity prices. There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been no material changes to our exposure from market risks from those disclosed in </w:t>
      </w:r>
      <w:r>
        <w:rPr>
          <w:rFonts w:ascii="Arial" w:cs="Arial" w:eastAsia="Arial" w:hAnsi="Arial"/>
          <w:sz w:val="18"/>
          <w:szCs w:val="18"/>
          <w:i w:val="1"/>
          <w:iCs w:val="1"/>
          <w:color w:val="auto"/>
        </w:rPr>
        <w:t>Part II, Item 7a. 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of our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November 30, 2023. The scope of our efforts to comply with the SEC rules included all of our operations except for KE2 Therm Solutions, Inc. (“KE2 Therm”), which we acquired during the year ended August 31,2023. KE2 Therm constituted less than 2% of both total assets and equity as of November 30, 2023 and less than 1% of both the Company's net sales and pre-tax income for the three months ended November 30, 2023.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KE2 Therm's internal control over financial reporting as of November 30, 2023. This evaluation was carried out under the supervision and with the participation of management, including the principal executive officer and principal financial officer. Based on this evaluation, which as discussed herein excluded the operations of KE2 Therm, these officers have concluded that the design and operation of our disclosure controls and procedures are effective at a reasonable assurance level as of November 30, 2023.</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months ended November 30, 2023,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31, 2022, the Board of Directors (the “Board”) authorized the repurchase of up to five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November 30, 2023, the maximum number of shares that may yet be repurchased under the share repurchase program authorized by the Board equaled 0.9 million shares. The following table reflects activity related to equity securities we repurchased during the quarter ended November 30, 2023:</w:t>
      </w: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9/1/2023 through 9/30/2023</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54,383</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164.83</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54,383</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1,175,407</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10/1/2023 through 10/31/2023</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49,883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164.86</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49,883</w:t>
            </w:r>
          </w:p>
        </w:tc>
        <w:tc>
          <w:tcPr>
            <w:tcW w:w="1940" w:type="dxa"/>
            <w:vAlign w:val="bottom"/>
          </w:tcPr>
          <w:p>
            <w:pPr>
              <w:jc w:val="right"/>
              <w:spacing w:after="0"/>
              <w:rPr>
                <w:sz w:val="20"/>
                <w:szCs w:val="20"/>
                <w:color w:val="auto"/>
              </w:rPr>
            </w:pPr>
            <w:r>
              <w:rPr>
                <w:rFonts w:ascii="Arial" w:cs="Arial" w:eastAsia="Arial" w:hAnsi="Arial"/>
                <w:sz w:val="16"/>
                <w:szCs w:val="16"/>
                <w:color w:val="auto"/>
              </w:rPr>
              <w:t>1,125,524</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11/1/2023 through 11/30/2023</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185,818</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176.77</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185,818</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939,706</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290,084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172.48</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290,084</w:t>
            </w:r>
          </w:p>
        </w:tc>
        <w:tc>
          <w:tcPr>
            <w:tcW w:w="1940" w:type="dxa"/>
            <w:vAlign w:val="bottom"/>
          </w:tcPr>
          <w:p>
            <w:pPr>
              <w:jc w:val="right"/>
              <w:spacing w:after="0"/>
              <w:rPr>
                <w:sz w:val="20"/>
                <w:szCs w:val="20"/>
                <w:color w:val="auto"/>
              </w:rPr>
            </w:pPr>
            <w:r>
              <w:rPr>
                <w:rFonts w:ascii="Arial" w:cs="Arial" w:eastAsia="Arial" w:hAnsi="Arial"/>
                <w:sz w:val="16"/>
                <w:szCs w:val="16"/>
                <w:color w:val="auto"/>
              </w:rPr>
              <w:t>939,706</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52"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During the first quarter of fiscal 2024, none of our directors or Section 16 officers adopted or terminated any “Rule 10b5-1 trading arrangement” or “non-Rule 10b5-1 trading arrangement” (as each term is defined in Item 408(a)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14"/>
          </w:tcPr>
          <w:p>
            <w:pPr>
              <w:jc w:val="right"/>
              <w:ind w:right="300"/>
              <w:spacing w:after="0"/>
              <w:rPr>
                <w:sz w:val="20"/>
                <w:szCs w:val="20"/>
                <w:color w:val="auto"/>
              </w:rPr>
            </w:pPr>
            <w:r>
              <w:rPr>
                <w:rFonts w:ascii="Arial" w:cs="Arial" w:eastAsia="Arial" w:hAnsi="Arial"/>
                <w:sz w:val="16"/>
                <w:szCs w:val="16"/>
                <w:b w:val="1"/>
                <w:bCs w:val="1"/>
                <w:color w:val="auto"/>
              </w:rPr>
              <w:t>INDEX TO EXHIBITS</w:t>
            </w:r>
          </w:p>
        </w:tc>
      </w:tr>
      <w:tr>
        <w:trPr>
          <w:trHeight w:val="412"/>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8"/>
          </w:tcPr>
          <w:p>
            <w:pPr>
              <w:spacing w:after="0"/>
              <w:rPr>
                <w:rFonts w:ascii="Arial" w:cs="Arial" w:eastAsia="Arial" w:hAnsi="Arial"/>
                <w:sz w:val="16"/>
                <w:szCs w:val="16"/>
                <w:color w:val="0000FF"/>
              </w:rPr>
            </w:pPr>
            <w:hyperlink r:id="rId58">
              <w:r>
                <w:rPr>
                  <w:rFonts w:ascii="Arial" w:cs="Arial" w:eastAsia="Arial" w:hAnsi="Arial"/>
                  <w:sz w:val="16"/>
                  <w:szCs w:val="16"/>
                  <w:color w:val="0000FF"/>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(formerly Acuity Brands Holdings, Inc.), dated as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September 26, 2007.</w:t>
              </w:r>
            </w:hyperlink>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8"/>
          </w:tcPr>
          <w:p>
            <w:pPr>
              <w:spacing w:after="0"/>
              <w:rPr>
                <w:rFonts w:ascii="Arial" w:cs="Arial" w:eastAsia="Arial" w:hAnsi="Arial"/>
                <w:sz w:val="16"/>
                <w:szCs w:val="16"/>
                <w:color w:val="0000FF"/>
              </w:rPr>
            </w:pPr>
            <w:hyperlink r:id="rId59">
              <w:r>
                <w:rPr>
                  <w:rFonts w:ascii="Arial" w:cs="Arial" w:eastAsia="Arial" w:hAnsi="Arial"/>
                  <w:sz w:val="16"/>
                  <w:szCs w:val="16"/>
                  <w:color w:val="0000FF"/>
                </w:rPr>
                <w:t>Certificate of Amendment of Restated Certification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8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Incorporation of Acuity Brands, Inc. (formerly Acuity</w:t>
              </w:r>
            </w:hyperlink>
          </w:p>
        </w:tc>
        <w:tc>
          <w:tcPr>
            <w:tcW w:w="560" w:type="dxa"/>
            <w:vAlign w:val="bottom"/>
            <w:gridSpan w:val="10"/>
          </w:tcPr>
          <w:p>
            <w:pPr>
              <w:jc w:val="right"/>
              <w:ind w:right="80"/>
              <w:spacing w:after="0" w:line="142" w:lineRule="exact"/>
              <w:rPr>
                <w:rFonts w:ascii="Arial" w:cs="Arial" w:eastAsia="Arial" w:hAnsi="Arial"/>
                <w:sz w:val="16"/>
                <w:szCs w:val="16"/>
                <w:color w:val="0000FF"/>
                <w:w w:val="90"/>
              </w:rPr>
            </w:pPr>
            <w:hyperlink r:id="rId59">
              <w:r>
                <w:rPr>
                  <w:rFonts w:ascii="Arial" w:cs="Arial" w:eastAsia="Arial" w:hAnsi="Arial"/>
                  <w:sz w:val="16"/>
                  <w:szCs w:val="16"/>
                  <w:color w:val="0000FF"/>
                  <w:w w:val="90"/>
                </w:rPr>
                <w:t>Brands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Holdings, Inc.), dated as of September 26, 2007.</w:t>
              </w:r>
            </w:hyperlink>
          </w:p>
        </w:tc>
        <w:tc>
          <w:tcPr>
            <w:tcW w:w="7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18"/>
          </w:tcPr>
          <w:p>
            <w:pPr>
              <w:spacing w:after="0"/>
              <w:rPr>
                <w:rFonts w:ascii="Arial" w:cs="Arial" w:eastAsia="Arial" w:hAnsi="Arial"/>
                <w:sz w:val="16"/>
                <w:szCs w:val="16"/>
                <w:color w:val="0000FF"/>
              </w:rPr>
            </w:pPr>
            <w:hyperlink r:id="rId60">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8"/>
              </w:rPr>
            </w:pPr>
            <w:hyperlink r:id="rId60">
              <w:r>
                <w:rPr>
                  <w:rFonts w:ascii="Arial" w:cs="Arial" w:eastAsia="Arial" w:hAnsi="Arial"/>
                  <w:sz w:val="16"/>
                  <w:szCs w:val="16"/>
                  <w:color w:val="0000FF"/>
                  <w:w w:val="98"/>
                </w:rPr>
                <w:t>Incorporation of Acuity Brands, Inc., dated as of January</w:t>
              </w:r>
            </w:hyperlink>
          </w:p>
        </w:tc>
        <w:tc>
          <w:tcPr>
            <w:tcW w:w="280" w:type="dxa"/>
            <w:vAlign w:val="bottom"/>
            <w:tcBorders>
              <w:bottom w:val="single" w:sz="8" w:color="0000FF"/>
            </w:tcBorders>
            <w:gridSpan w:val="5"/>
          </w:tcPr>
          <w:p>
            <w:pPr>
              <w:jc w:val="right"/>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6,</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60">
              <w:r>
                <w:rPr>
                  <w:rFonts w:ascii="Arial" w:cs="Arial" w:eastAsia="Arial" w:hAnsi="Arial"/>
                  <w:sz w:val="16"/>
                  <w:szCs w:val="16"/>
                  <w:color w:val="0000FF"/>
                  <w:w w:val="99"/>
                </w:rPr>
                <w:t>2017.</w:t>
              </w:r>
            </w:hyperlink>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w:t>
            </w:r>
          </w:p>
        </w:tc>
        <w:tc>
          <w:tcPr>
            <w:tcW w:w="4340" w:type="dxa"/>
            <w:vAlign w:val="bottom"/>
            <w:gridSpan w:val="18"/>
          </w:tcPr>
          <w:p>
            <w:pPr>
              <w:spacing w:after="0"/>
              <w:rPr>
                <w:rFonts w:ascii="Arial" w:cs="Arial" w:eastAsia="Arial" w:hAnsi="Arial"/>
                <w:sz w:val="16"/>
                <w:szCs w:val="16"/>
                <w:color w:val="0000FF"/>
              </w:rPr>
            </w:pPr>
            <w:hyperlink r:id="rId61">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tcBorders>
            <w:gridSpan w:val="9"/>
          </w:tcPr>
          <w:p>
            <w:pPr>
              <w:spacing w:after="0" w:line="142" w:lineRule="exact"/>
              <w:rPr>
                <w:rFonts w:ascii="Arial" w:cs="Arial" w:eastAsia="Arial" w:hAnsi="Arial"/>
                <w:sz w:val="16"/>
                <w:szCs w:val="16"/>
                <w:color w:val="0000FF"/>
                <w:w w:val="98"/>
              </w:rPr>
            </w:pPr>
            <w:hyperlink r:id="rId61">
              <w:r>
                <w:rPr>
                  <w:rFonts w:ascii="Arial" w:cs="Arial" w:eastAsia="Arial" w:hAnsi="Arial"/>
                  <w:sz w:val="16"/>
                  <w:szCs w:val="16"/>
                  <w:color w:val="0000FF"/>
                  <w:w w:val="98"/>
                </w:rPr>
                <w:t>Incorporation of Acuity Brands, Inc., dated as of January</w:t>
              </w:r>
            </w:hyperlink>
          </w:p>
        </w:tc>
        <w:tc>
          <w:tcPr>
            <w:tcW w:w="340" w:type="dxa"/>
            <w:vAlign w:val="bottom"/>
            <w:gridSpan w:val="7"/>
          </w:tcPr>
          <w:p>
            <w:pPr>
              <w:jc w:val="right"/>
              <w:ind w:right="60"/>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7,</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61">
              <w:r>
                <w:rPr>
                  <w:rFonts w:ascii="Arial" w:cs="Arial" w:eastAsia="Arial" w:hAnsi="Arial"/>
                  <w:sz w:val="16"/>
                  <w:szCs w:val="16"/>
                  <w:color w:val="0000FF"/>
                  <w:w w:val="99"/>
                </w:rPr>
                <w:t>2021.</w:t>
              </w:r>
            </w:hyperlink>
          </w:p>
        </w:tc>
        <w:tc>
          <w:tcPr>
            <w:tcW w:w="3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(e)</w:t>
            </w:r>
          </w:p>
        </w:tc>
        <w:tc>
          <w:tcPr>
            <w:tcW w:w="4340" w:type="dxa"/>
            <w:vAlign w:val="bottom"/>
            <w:tcBorders>
              <w:bottom w:val="single" w:sz="8" w:color="0000FF"/>
            </w:tcBorders>
            <w:gridSpan w:val="18"/>
          </w:tcPr>
          <w:p>
            <w:pPr>
              <w:spacing w:after="0"/>
              <w:rPr>
                <w:rFonts w:ascii="Arial" w:cs="Arial" w:eastAsia="Arial" w:hAnsi="Arial"/>
                <w:sz w:val="16"/>
                <w:szCs w:val="16"/>
                <w:color w:val="0000FF"/>
              </w:rPr>
            </w:pPr>
            <w:hyperlink r:id="rId62">
              <w:r>
                <w:rPr>
                  <w:rFonts w:ascii="Arial" w:cs="Arial" w:eastAsia="Arial" w:hAnsi="Arial"/>
                  <w:sz w:val="16"/>
                  <w:szCs w:val="16"/>
                  <w:color w:val="0000FF"/>
                </w:rPr>
                <w:t>Amended and Restated Bylaws of Acuity Brands, Inc., dated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as of January 7, 2021.</w:t>
              </w:r>
            </w:hyperlink>
          </w:p>
        </w:tc>
        <w:tc>
          <w:tcPr>
            <w:tcW w:w="2720" w:type="dxa"/>
            <w:vAlign w:val="bottom"/>
            <w:gridSpan w:val="14"/>
          </w:tcPr>
          <w:p>
            <w:pPr>
              <w:spacing w:after="0"/>
              <w:rPr>
                <w:sz w:val="12"/>
                <w:szCs w:val="12"/>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24"/>
                <w:szCs w:val="24"/>
                <w:color w:val="auto"/>
              </w:rPr>
            </w:pPr>
          </w:p>
        </w:tc>
        <w:tc>
          <w:tcPr>
            <w:tcW w:w="4340" w:type="dxa"/>
            <w:vAlign w:val="bottom"/>
            <w:gridSpan w:val="18"/>
          </w:tcPr>
          <w:p>
            <w:pPr>
              <w:spacing w:after="0"/>
              <w:rPr>
                <w:rFonts w:ascii="Arial" w:cs="Arial" w:eastAsia="Arial" w:hAnsi="Arial"/>
                <w:sz w:val="16"/>
                <w:szCs w:val="16"/>
                <w:color w:val="0000FF"/>
              </w:rPr>
            </w:pPr>
            <w:hyperlink r:id="rId63">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8"/>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3"/>
          </w:tcPr>
          <w:p>
            <w:pPr>
              <w:spacing w:after="0" w:line="142" w:lineRule="exact"/>
              <w:rPr>
                <w:sz w:val="20"/>
                <w:szCs w:val="20"/>
                <w:color w:val="auto"/>
              </w:rPr>
            </w:pPr>
            <w:r>
              <w:rPr>
                <w:rFonts w:ascii="Arial" w:cs="Arial" w:eastAsia="Arial" w:hAnsi="Arial"/>
                <w:sz w:val="16"/>
                <w:szCs w:val="16"/>
                <w:color w:val="0000FF"/>
                <w:w w:val="98"/>
              </w:rPr>
              <w:t>pursuant to Section 302 of the Sarbanes-Oxley Act of 2002.</w:t>
            </w:r>
          </w:p>
        </w:tc>
        <w:tc>
          <w:tcPr>
            <w:tcW w:w="8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Certification of the Chief Financial Officer of the Company</w:t>
            </w:r>
          </w:p>
        </w:tc>
        <w:tc>
          <w:tcPr>
            <w:tcW w:w="200" w:type="dxa"/>
            <w:vAlign w:val="bottom"/>
            <w:gridSpan w:val="7"/>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8"/>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28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Certification of the Chief Executive Officer of the Company</w:t>
            </w:r>
          </w:p>
        </w:tc>
        <w:tc>
          <w:tcPr>
            <w:tcW w:w="60" w:type="dxa"/>
            <w:vAlign w:val="bottom"/>
            <w:gridSpan w:val="2"/>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40" w:type="dxa"/>
            <w:vAlign w:val="bottom"/>
            <w:gridSpan w:val="5"/>
          </w:tcPr>
          <w:p>
            <w:pPr>
              <w:jc w:val="right"/>
              <w:ind w:right="40"/>
              <w:spacing w:after="0" w:line="142" w:lineRule="exact"/>
              <w:rPr>
                <w:sz w:val="20"/>
                <w:szCs w:val="20"/>
                <w:color w:val="auto"/>
              </w:rPr>
            </w:pPr>
            <w:r>
              <w:rPr>
                <w:rFonts w:ascii="Arial" w:cs="Arial" w:eastAsia="Arial" w:hAnsi="Arial"/>
                <w:sz w:val="13"/>
                <w:szCs w:val="13"/>
                <w:color w:val="0000FF"/>
                <w:w w:val="73"/>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8"/>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200" w:type="dxa"/>
            <w:vAlign w:val="bottom"/>
            <w:gridSpan w:val="7"/>
          </w:tcPr>
          <w:p>
            <w:pPr>
              <w:jc w:val="right"/>
              <w:ind w:right="40"/>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40" w:type="dxa"/>
            <w:vAlign w:val="bottom"/>
            <w:gridSpan w:val="18"/>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8"/>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40" w:type="dxa"/>
            <w:vAlign w:val="bottom"/>
            <w:gridSpan w:val="18"/>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8"/>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Reference is made to Exhibit 3(d) of registrant's Form 10-Q as filed with the Commission on January 7, 2021, which is incorporated herein by reference.</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Reference is made to Exhibit 3(e) of registrant's Form 10-Q as filed with the Commission on January 7, 2021, which is incorporated herein by reference.</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Reference is made to Exhibit 22 of registrant's Form 10-K as filed with the Commission on October 26, 2023,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6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60"/>
          </w:cols>
          <w:pgMar w:left="320" w:top="24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2" w:right="4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BRANDS,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January 9,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January 9,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242" w:right="4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2" w:name="page33"/>
    <w:bookmarkEnd w:id="32"/>
    <w:p>
      <w:pPr>
        <w:ind w:left="10060"/>
        <w:spacing w:after="0"/>
        <w:rPr>
          <w:sz w:val="20"/>
          <w:szCs w:val="20"/>
          <w:color w:val="auto"/>
        </w:rPr>
      </w:pPr>
      <w:r>
        <w:rPr>
          <w:rFonts w:ascii="Arial" w:cs="Arial" w:eastAsia="Arial" w:hAnsi="Arial"/>
          <w:sz w:val="17"/>
          <w:szCs w:val="17"/>
          <w:b w:val="1"/>
          <w:bCs w:val="1"/>
          <w:color w:val="auto"/>
        </w:rPr>
        <w:t>EXHIBIT 32(a)</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Brands, Inc. (the “Corporation”) for the quarter ended November 30, 2023, as filed with the Securities and Exchange Commission on the date hereof (the “Report”), the undersigned, the Chairman, President and Chief Executive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2024</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Brands, Inc. (the “Corporation”) for the quarter ended November 30, 2023, as filed with the Securities and Exchange Commission on the date hereof (the “Report”), the undersigned, the Senior Vice President and Chief Financial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2024</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58" Type="http://schemas.openxmlformats.org/officeDocument/2006/relationships/hyperlink" Target="http://www.sec.gov/Archives/edgar/data/1144215/000119312507208062/dex31.htm" TargetMode="External"/><Relationship Id="rId59" Type="http://schemas.openxmlformats.org/officeDocument/2006/relationships/hyperlink" Target="http://www.sec.gov/Archives/edgar/data/1144215/000119312507208062/dex32.htm" TargetMode="External"/><Relationship Id="rId60" Type="http://schemas.openxmlformats.org/officeDocument/2006/relationships/hyperlink" Target="http://www.sec.gov/Archives/edgar/data/1144215/000114421517000005/ex3ccertificateofamendment.htm" TargetMode="External"/><Relationship Id="rId61" Type="http://schemas.openxmlformats.org/officeDocument/2006/relationships/hyperlink" Target="http://www.sec.gov/Archives/edgar/data/1144215/000114421521000008/ayi-20201130xex3d.htm" TargetMode="External"/><Relationship Id="rId62" Type="http://schemas.openxmlformats.org/officeDocument/2006/relationships/hyperlink" Target="http://www.sec.gov/Archives/edgar/data/1144215/000114421521000008/ayi-20201130xex3e.htm" TargetMode="External"/><Relationship Id="rId63" Type="http://schemas.openxmlformats.org/officeDocument/2006/relationships/hyperlink" Target="https://www.sec.gov/Archives/edgar/data/1144215/000114421523000090/ayi-2023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2024-01-09T06:44:08Z</dcterms:created>
  <dcterms:modified xsi:type="dcterms:W3CDTF">2024-01-09T06:44:08Z</dcterms:modified>
</cp:coreProperties>
</file>