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260"/>
        <w:spacing w:after="0"/>
        <w:rPr>
          <w:sz w:val="20"/>
          <w:szCs w:val="20"/>
          <w:color w:val="auto"/>
        </w:rPr>
      </w:pPr>
      <w:r>
        <w:rPr>
          <w:rFonts w:ascii="Arial" w:cs="Arial" w:eastAsia="Arial" w:hAnsi="Arial"/>
          <w:sz w:val="14"/>
          <w:szCs w:val="14"/>
          <w:b w:val="1"/>
          <w:bCs w:val="1"/>
          <w:color w:val="auto"/>
        </w:rPr>
        <w:t>(Mark One)</w:t>
      </w:r>
    </w:p>
    <w:p>
      <w:pPr>
        <w:spacing w:after="0" w:line="36" w:lineRule="exact"/>
        <w:rPr>
          <w:sz w:val="24"/>
          <w:szCs w:val="24"/>
          <w:color w:val="auto"/>
        </w:rPr>
      </w:pPr>
    </w:p>
    <w:p>
      <w:pPr>
        <w:jc w:val="center"/>
        <w:ind w:left="2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6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ind w:right="1640"/>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32"/>
          <w:szCs w:val="32"/>
          <w:b w:val="1"/>
          <w:bCs w:val="1"/>
          <w:color w:val="auto"/>
        </w:rPr>
        <w:t>Form 10-Q</w:t>
      </w:r>
    </w:p>
    <w:p>
      <w:pPr>
        <w:spacing w:after="0" w:line="27"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361" w:lineRule="exact"/>
        <w:rPr>
          <w:sz w:val="24"/>
          <w:szCs w:val="24"/>
          <w:color w:val="auto"/>
        </w:rPr>
      </w:pPr>
    </w:p>
    <w:p>
      <w:pPr>
        <w:ind w:right="2400"/>
        <w:spacing w:after="0" w:line="332" w:lineRule="auto"/>
        <w:rPr>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February 28, 2019.</w:t>
      </w:r>
    </w:p>
    <w:p>
      <w:pPr>
        <w:ind w:left="396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right="2400"/>
        <w:spacing w:after="0" w:line="365"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27" w:lineRule="exact"/>
        <w:rPr>
          <w:sz w:val="24"/>
          <w:szCs w:val="24"/>
          <w:color w:val="auto"/>
        </w:rPr>
      </w:pPr>
    </w:p>
    <w:p>
      <w:pPr>
        <w:sectPr>
          <w:pgSz w:w="11900" w:h="16838" w:orient="portrait"/>
          <w:cols w:equalWidth="0" w:num="2">
            <w:col w:w="1020" w:space="620"/>
            <w:col w:w="978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45" w:lineRule="exact"/>
        <w:rPr>
          <w:sz w:val="24"/>
          <w:szCs w:val="24"/>
          <w:color w:val="auto"/>
        </w:rPr>
      </w:pPr>
    </w:p>
    <w:tbl>
      <w:tblPr>
        <w:tblLayout w:type="fixed"/>
        <w:tblInd w:w="840" w:type="dxa"/>
        <w:tblCellMar>
          <w:top w:w="0" w:type="dxa"/>
          <w:left w:w="0" w:type="dxa"/>
          <w:bottom w:w="0" w:type="dxa"/>
          <w:right w:w="0" w:type="dxa"/>
        </w:tblCellMar>
      </w:tblPr>
      <w:tr>
        <w:trPr>
          <w:trHeight w:val="190"/>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Delaware</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5460" w:type="dxa"/>
            <w:vAlign w:val="bottom"/>
          </w:tcPr>
          <w:p>
            <w:pPr>
              <w:jc w:val="center"/>
              <w:ind w:right="1588"/>
              <w:spacing w:after="0"/>
              <w:rPr>
                <w:sz w:val="20"/>
                <w:szCs w:val="20"/>
                <w:color w:val="auto"/>
              </w:rPr>
            </w:pPr>
            <w:r>
              <w:rPr>
                <w:rFonts w:ascii="Arial" w:cs="Arial" w:eastAsia="Arial" w:hAnsi="Arial"/>
                <w:sz w:val="14"/>
                <w:szCs w:val="14"/>
                <w:i w:val="1"/>
                <w:iCs w:val="1"/>
                <w:color w:val="auto"/>
              </w:rPr>
              <w:t>(State or other jurisdiction of</w:t>
            </w:r>
          </w:p>
        </w:tc>
        <w:tc>
          <w:tcPr>
            <w:tcW w:w="3020" w:type="dxa"/>
            <w:vAlign w:val="bottom"/>
          </w:tcPr>
          <w:p>
            <w:pPr>
              <w:jc w:val="center"/>
              <w:ind w:left="156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incorporation or organization)</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Identification Number)</w:t>
            </w:r>
          </w:p>
        </w:tc>
      </w:tr>
      <w:tr>
        <w:trPr>
          <w:trHeight w:val="192"/>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1170 Peachtree Street, N.E., Suite 2300, Atlanta, Georgia</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30309-7676</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(Address of principal executive offices)</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63"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2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75"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3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860" w:type="dxa"/>
            <w:vAlign w:val="bottom"/>
          </w:tcPr>
          <w:p>
            <w:pPr>
              <w:ind w:left="520"/>
              <w:spacing w:after="0"/>
              <w:rPr>
                <w:sz w:val="20"/>
                <w:szCs w:val="20"/>
                <w:color w:val="auto"/>
              </w:rPr>
            </w:pPr>
            <w:r>
              <w:rPr>
                <w:rFonts w:ascii="Arial" w:cs="Arial" w:eastAsia="Arial" w:hAnsi="Arial"/>
                <w:sz w:val="14"/>
                <w:szCs w:val="14"/>
                <w:color w:val="auto"/>
              </w:rPr>
              <w:t>Accelerated filer o</w:t>
            </w:r>
          </w:p>
        </w:tc>
        <w:tc>
          <w:tcPr>
            <w:tcW w:w="1940" w:type="dxa"/>
            <w:vAlign w:val="bottom"/>
          </w:tcPr>
          <w:p>
            <w:pPr>
              <w:ind w:left="500"/>
              <w:spacing w:after="0"/>
              <w:rPr>
                <w:sz w:val="20"/>
                <w:szCs w:val="20"/>
                <w:color w:val="auto"/>
              </w:rPr>
            </w:pPr>
            <w:r>
              <w:rPr>
                <w:rFonts w:ascii="Arial" w:cs="Arial" w:eastAsia="Arial" w:hAnsi="Arial"/>
                <w:sz w:val="14"/>
                <w:szCs w:val="14"/>
                <w:color w:val="auto"/>
              </w:rPr>
              <w:t>Non-accelerated filer o</w:t>
            </w:r>
          </w:p>
        </w:tc>
      </w:tr>
      <w:tr>
        <w:trPr>
          <w:trHeight w:val="268"/>
        </w:trPr>
        <w:tc>
          <w:tcPr>
            <w:tcW w:w="2340" w:type="dxa"/>
            <w:vAlign w:val="bottom"/>
          </w:tcPr>
          <w:p>
            <w:pPr>
              <w:spacing w:after="0"/>
              <w:rPr>
                <w:sz w:val="20"/>
                <w:szCs w:val="20"/>
                <w:color w:val="auto"/>
              </w:rPr>
            </w:pPr>
            <w:r>
              <w:rPr>
                <w:rFonts w:ascii="Arial" w:cs="Arial" w:eastAsia="Arial" w:hAnsi="Arial"/>
                <w:sz w:val="14"/>
                <w:szCs w:val="14"/>
                <w:color w:val="auto"/>
              </w:rPr>
              <w:t>Smaller reporting company o</w:t>
            </w:r>
          </w:p>
        </w:tc>
        <w:tc>
          <w:tcPr>
            <w:tcW w:w="2860" w:type="dxa"/>
            <w:vAlign w:val="bottom"/>
          </w:tcPr>
          <w:p>
            <w:pPr>
              <w:ind w:left="520"/>
              <w:spacing w:after="0"/>
              <w:rPr>
                <w:sz w:val="20"/>
                <w:szCs w:val="20"/>
                <w:color w:val="auto"/>
              </w:rPr>
            </w:pPr>
            <w:r>
              <w:rPr>
                <w:rFonts w:ascii="Arial" w:cs="Arial" w:eastAsia="Arial" w:hAnsi="Arial"/>
                <w:sz w:val="14"/>
                <w:szCs w:val="14"/>
                <w:color w:val="auto"/>
              </w:rPr>
              <w:t>Emerging growth company o</w:t>
            </w:r>
          </w:p>
        </w:tc>
        <w:tc>
          <w:tcPr>
            <w:tcW w:w="1940" w:type="dxa"/>
            <w:vAlign w:val="bottom"/>
          </w:tcPr>
          <w:p>
            <w:pPr>
              <w:spacing w:after="0"/>
              <w:rPr>
                <w:sz w:val="23"/>
                <w:szCs w:val="23"/>
                <w:color w:val="auto"/>
              </w:rPr>
            </w:pPr>
          </w:p>
        </w:tc>
      </w:tr>
    </w:tbl>
    <w:p>
      <w:pPr>
        <w:spacing w:after="0" w:line="135"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spacing w:after="0" w:line="184" w:lineRule="exact"/>
        <w:tabs>
          <w:tab w:leader="none" w:pos="80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8"/>
          <w:szCs w:val="18"/>
          <w:color w:val="auto"/>
        </w:rPr>
        <w:t>—</w:t>
      </w:r>
      <w:r>
        <w:rPr>
          <w:rFonts w:ascii="Arial" w:cs="Arial" w:eastAsia="Arial" w:hAnsi="Arial"/>
          <w:sz w:val="16"/>
          <w:szCs w:val="16"/>
          <w:color w:val="auto"/>
        </w:rPr>
        <w:t xml:space="preserve"> $0.01 par value </w:t>
      </w:r>
      <w:r>
        <w:rPr>
          <w:rFonts w:ascii="Arial" w:cs="Arial" w:eastAsia="Arial" w:hAnsi="Arial"/>
          <w:sz w:val="18"/>
          <w:szCs w:val="18"/>
          <w:color w:val="auto"/>
        </w:rPr>
        <w:t>—</w:t>
      </w:r>
      <w:r>
        <w:rPr>
          <w:rFonts w:ascii="Arial" w:cs="Arial" w:eastAsia="Arial" w:hAnsi="Arial"/>
          <w:sz w:val="16"/>
          <w:szCs w:val="16"/>
          <w:color w:val="auto"/>
        </w:rPr>
        <w:t xml:space="preserve"> 39,907,302 shares as of March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1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76"/>
        </w:trPr>
        <w:tc>
          <w:tcPr>
            <w:tcW w:w="2540" w:type="dxa"/>
            <w:vAlign w:val="bottom"/>
            <w:tcBorders>
              <w:bottom w:val="single" w:sz="8" w:color="0000EE"/>
            </w:tcBorders>
            <w:gridSpan w:val="6"/>
          </w:tcPr>
          <w:p>
            <w:pPr>
              <w:spacing w:after="0" w:line="176" w:lineRule="exact"/>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 FINANCIAL INFORMATION</w:t>
              </w:r>
            </w:hyperlink>
          </w:p>
        </w:tc>
        <w:tc>
          <w:tcPr>
            <w:tcW w:w="7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0000EE"/>
            </w:tcBorders>
          </w:tcPr>
          <w:p>
            <w:pPr>
              <w:jc w:val="right"/>
              <w:spacing w:after="0"/>
              <w:rPr>
                <w:rFonts w:ascii="Arial" w:cs="Arial" w:eastAsia="Arial" w:hAnsi="Arial"/>
                <w:sz w:val="16"/>
                <w:szCs w:val="16"/>
                <w:color w:val="0000EE"/>
                <w:w w:val="96"/>
              </w:rPr>
            </w:pPr>
            <w:hyperlink w:anchor="page3">
              <w:r>
                <w:rPr>
                  <w:rFonts w:ascii="Arial" w:cs="Arial" w:eastAsia="Arial" w:hAnsi="Arial"/>
                  <w:sz w:val="16"/>
                  <w:szCs w:val="16"/>
                  <w:color w:val="0000EE"/>
                  <w:w w:val="96"/>
                </w:rPr>
                <w:t>ITEM 1.</w:t>
              </w:r>
            </w:hyperlink>
          </w:p>
        </w:tc>
        <w:tc>
          <w:tcPr>
            <w:tcW w:w="9200" w:type="dxa"/>
            <w:vAlign w:val="bottom"/>
            <w:gridSpan w:val="4"/>
          </w:tcPr>
          <w:p>
            <w:pPr>
              <w:ind w:left="100"/>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FEBRUARY 28, 2019 (Unaudited) AND AUGUST 31, 2018</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AND SIX MONTHS ENDED</w:t>
              </w:r>
            </w:hyperlink>
          </w:p>
        </w:tc>
        <w:tc>
          <w:tcPr>
            <w:tcW w:w="112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c>
          <w:tcPr>
            <w:tcW w:w="20" w:type="dxa"/>
            <w:vAlign w:val="bottom"/>
          </w:tcPr>
          <w:p>
            <w:pPr>
              <w:spacing w:after="0"/>
              <w:rPr>
                <w:sz w:val="21"/>
                <w:szCs w:val="21"/>
                <w:color w:val="auto"/>
              </w:rPr>
            </w:pPr>
          </w:p>
        </w:tc>
      </w:tr>
      <w:tr>
        <w:trPr>
          <w:trHeight w:val="204"/>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4">
              <w:r>
                <w:rPr>
                  <w:rFonts w:ascii="Arial" w:cs="Arial" w:eastAsia="Arial" w:hAnsi="Arial"/>
                  <w:sz w:val="16"/>
                  <w:szCs w:val="16"/>
                  <w:color w:val="0000EE"/>
                </w:rPr>
                <w:t>FEBRUARY 28, 2019 AND 2018</w:t>
              </w:r>
            </w:hyperlink>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SIX MONTHS ENDED FEBRUARY 28, 2019 AND 2018</w:t>
              </w:r>
            </w:hyperlink>
          </w:p>
        </w:tc>
        <w:tc>
          <w:tcPr>
            <w:tcW w:w="102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c>
          <w:tcPr>
            <w:tcW w:w="20" w:type="dxa"/>
            <w:vAlign w:val="bottom"/>
          </w:tcPr>
          <w:p>
            <w:pPr>
              <w:spacing w:after="0"/>
              <w:rPr>
                <w:sz w:val="18"/>
                <w:szCs w:val="18"/>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6">
              <w:r>
                <w:rPr>
                  <w:rFonts w:ascii="Arial" w:cs="Arial" w:eastAsia="Arial" w:hAnsi="Arial"/>
                  <w:sz w:val="16"/>
                  <w:szCs w:val="16"/>
                  <w:color w:val="0000EE"/>
                </w:rPr>
                <w:t>Note 1 — Description of Business and Basis of Presentation</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6">
              <w:r>
                <w:rPr>
                  <w:rFonts w:ascii="Arial" w:cs="Arial" w:eastAsia="Arial" w:hAnsi="Arial"/>
                  <w:sz w:val="16"/>
                  <w:szCs w:val="16"/>
                  <w:color w:val="0000EE"/>
                </w:rPr>
                <w:t>Note 2 — Significant Accounting Policies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7">
              <w:r>
                <w:rPr>
                  <w:rFonts w:ascii="Arial" w:cs="Arial" w:eastAsia="Arial" w:hAnsi="Arial"/>
                  <w:sz w:val="16"/>
                  <w:szCs w:val="16"/>
                  <w:color w:val="0000EE"/>
                </w:rPr>
                <w:t>Note 3 — Acquisitions and Investments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7">
              <w:r>
                <w:rPr>
                  <w:rFonts w:ascii="Arial" w:cs="Arial" w:eastAsia="Arial" w:hAnsi="Arial"/>
                  <w:sz w:val="16"/>
                  <w:szCs w:val="16"/>
                  <w:color w:val="0000EE"/>
                </w:rPr>
                <w:t>Note 4 — New Accounting Pronouncements</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0">
              <w:r>
                <w:rPr>
                  <w:rFonts w:ascii="Arial" w:cs="Arial" w:eastAsia="Arial" w:hAnsi="Arial"/>
                  <w:sz w:val="16"/>
                  <w:szCs w:val="16"/>
                  <w:color w:val="0000EE"/>
                </w:rPr>
                <w:t>Note 5 — Revenue Recognition</w:t>
              </w:r>
            </w:hyperlink>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8</w:t>
              </w:r>
            </w:hyperlink>
          </w:p>
        </w:tc>
        <w:tc>
          <w:tcPr>
            <w:tcW w:w="20" w:type="dxa"/>
            <w:vAlign w:val="bottom"/>
          </w:tcPr>
          <w:p>
            <w:pPr>
              <w:spacing w:after="0"/>
              <w:rPr>
                <w:sz w:val="21"/>
                <w:szCs w:val="2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2">
              <w:r>
                <w:rPr>
                  <w:rFonts w:ascii="Arial" w:cs="Arial" w:eastAsia="Arial" w:hAnsi="Arial"/>
                  <w:sz w:val="16"/>
                  <w:szCs w:val="16"/>
                  <w:color w:val="0000EE"/>
                </w:rPr>
                <w:t>Note 6 — Fair Value Measurements</w:t>
              </w:r>
            </w:hyperlink>
          </w:p>
        </w:tc>
        <w:tc>
          <w:tcPr>
            <w:tcW w:w="1120" w:type="dxa"/>
            <w:vAlign w:val="bottom"/>
            <w:gridSpan w:val="3"/>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3">
              <w:r>
                <w:rPr>
                  <w:rFonts w:ascii="Arial" w:cs="Arial" w:eastAsia="Arial" w:hAnsi="Arial"/>
                  <w:sz w:val="16"/>
                  <w:szCs w:val="16"/>
                  <w:color w:val="0000EE"/>
                </w:rPr>
                <w:t>Note 7 — Goodwill and Intangible Assets</w:t>
              </w:r>
            </w:hyperlink>
          </w:p>
        </w:tc>
        <w:tc>
          <w:tcPr>
            <w:tcW w:w="112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4">
              <w:r>
                <w:rPr>
                  <w:rFonts w:ascii="Arial" w:cs="Arial" w:eastAsia="Arial" w:hAnsi="Arial"/>
                  <w:sz w:val="16"/>
                  <w:szCs w:val="16"/>
                  <w:color w:val="0000EE"/>
                </w:rPr>
                <w:t>Note 8 — Inventories</w:t>
              </w:r>
            </w:hyperlink>
          </w:p>
        </w:tc>
        <w:tc>
          <w:tcPr>
            <w:tcW w:w="11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4">
              <w:r>
                <w:rPr>
                  <w:rFonts w:ascii="Arial" w:cs="Arial" w:eastAsia="Arial" w:hAnsi="Arial"/>
                  <w:sz w:val="16"/>
                  <w:szCs w:val="16"/>
                  <w:color w:val="0000EE"/>
                </w:rPr>
                <w:t>Note 9 — Earnings Per Share</w:t>
              </w:r>
            </w:hyperlink>
          </w:p>
        </w:tc>
        <w:tc>
          <w:tcPr>
            <w:tcW w:w="112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5">
              <w:r>
                <w:rPr>
                  <w:rFonts w:ascii="Arial" w:cs="Arial" w:eastAsia="Arial" w:hAnsi="Arial"/>
                  <w:sz w:val="16"/>
                  <w:szCs w:val="16"/>
                  <w:color w:val="0000EE"/>
                </w:rPr>
                <w:t>Note 10 — Changes in Stockholders' Equity</w:t>
              </w:r>
            </w:hyperlink>
          </w:p>
        </w:tc>
        <w:tc>
          <w:tcPr>
            <w:tcW w:w="112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5">
              <w:r>
                <w:rPr>
                  <w:rFonts w:ascii="Arial" w:cs="Arial" w:eastAsia="Arial" w:hAnsi="Arial"/>
                  <w:sz w:val="16"/>
                  <w:szCs w:val="16"/>
                  <w:color w:val="0000EE"/>
                </w:rPr>
                <w:t>Note 11 — Comprehensive Income</w:t>
              </w:r>
            </w:hyperlink>
          </w:p>
        </w:tc>
        <w:tc>
          <w:tcPr>
            <w:tcW w:w="112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7">
              <w:r>
                <w:rPr>
                  <w:rFonts w:ascii="Arial" w:cs="Arial" w:eastAsia="Arial" w:hAnsi="Arial"/>
                  <w:sz w:val="16"/>
                  <w:szCs w:val="16"/>
                  <w:color w:val="0000EE"/>
                </w:rPr>
                <w:t>Note 12 — Debt and Lines of Credit</w:t>
              </w:r>
            </w:hyperlink>
          </w:p>
        </w:tc>
        <w:tc>
          <w:tcPr>
            <w:tcW w:w="1120" w:type="dxa"/>
            <w:vAlign w:val="bottom"/>
            <w:gridSpan w:val="3"/>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18">
              <w:r>
                <w:rPr>
                  <w:rFonts w:ascii="Arial" w:cs="Arial" w:eastAsia="Arial" w:hAnsi="Arial"/>
                  <w:sz w:val="16"/>
                  <w:szCs w:val="16"/>
                  <w:color w:val="0000EE"/>
                </w:rPr>
                <w:t>Note 13 — Commitments and Contingencies</w:t>
              </w:r>
            </w:hyperlink>
          </w:p>
        </w:tc>
        <w:tc>
          <w:tcPr>
            <w:tcW w:w="112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16</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0">
              <w:r>
                <w:rPr>
                  <w:rFonts w:ascii="Arial" w:cs="Arial" w:eastAsia="Arial" w:hAnsi="Arial"/>
                  <w:sz w:val="16"/>
                  <w:szCs w:val="16"/>
                  <w:color w:val="0000EE"/>
                </w:rPr>
                <w:t>Note 14 — Share-based Payments</w:t>
              </w:r>
            </w:hyperlink>
          </w:p>
        </w:tc>
        <w:tc>
          <w:tcPr>
            <w:tcW w:w="112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0">
              <w:r>
                <w:rPr>
                  <w:rFonts w:ascii="Arial" w:cs="Arial" w:eastAsia="Arial" w:hAnsi="Arial"/>
                  <w:sz w:val="16"/>
                  <w:szCs w:val="16"/>
                  <w:color w:val="0000EE"/>
                </w:rPr>
                <w:t>Note 15 — Pension Plans</w:t>
              </w:r>
            </w:hyperlink>
          </w:p>
        </w:tc>
        <w:tc>
          <w:tcPr>
            <w:tcW w:w="112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1">
              <w:r>
                <w:rPr>
                  <w:rFonts w:ascii="Arial" w:cs="Arial" w:eastAsia="Arial" w:hAnsi="Arial"/>
                  <w:sz w:val="16"/>
                  <w:szCs w:val="16"/>
                  <w:color w:val="0000EE"/>
                </w:rPr>
                <w:t>Note 16 — Special Charge</w:t>
              </w:r>
            </w:hyperlink>
          </w:p>
        </w:tc>
        <w:tc>
          <w:tcPr>
            <w:tcW w:w="11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1">
              <w:r>
                <w:rPr>
                  <w:rFonts w:ascii="Arial" w:cs="Arial" w:eastAsia="Arial" w:hAnsi="Arial"/>
                  <w:sz w:val="16"/>
                  <w:szCs w:val="16"/>
                  <w:color w:val="0000EE"/>
                </w:rPr>
                <w:t>Note 17 — Income Taxes</w:t>
              </w:r>
            </w:hyperlink>
          </w:p>
        </w:tc>
        <w:tc>
          <w:tcPr>
            <w:tcW w:w="1120" w:type="dxa"/>
            <w:vAlign w:val="bottom"/>
            <w:gridSpan w:val="3"/>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0" w:type="dxa"/>
            <w:vAlign w:val="bottom"/>
            <w:gridSpan w:val="4"/>
          </w:tcPr>
          <w:p>
            <w:pPr>
              <w:ind w:left="100"/>
              <w:spacing w:after="0"/>
              <w:rPr>
                <w:rFonts w:ascii="Arial" w:cs="Arial" w:eastAsia="Arial" w:hAnsi="Arial"/>
                <w:sz w:val="16"/>
                <w:szCs w:val="16"/>
                <w:color w:val="0000EE"/>
              </w:rPr>
            </w:pPr>
            <w:hyperlink w:anchor="page22">
              <w:r>
                <w:rPr>
                  <w:rFonts w:ascii="Arial" w:cs="Arial" w:eastAsia="Arial" w:hAnsi="Arial"/>
                  <w:sz w:val="16"/>
                  <w:szCs w:val="16"/>
                  <w:color w:val="0000EE"/>
                </w:rPr>
                <w:t>Note 18 — Supplemental Guarantor Condensed Consolidating Financial Statements</w:t>
              </w:r>
            </w:hyperlink>
          </w:p>
        </w:tc>
        <w:tc>
          <w:tcPr>
            <w:tcW w:w="1120" w:type="dxa"/>
            <w:vAlign w:val="bottom"/>
            <w:gridSpan w:val="3"/>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rFonts w:ascii="Arial" w:cs="Arial" w:eastAsia="Arial" w:hAnsi="Arial"/>
                <w:sz w:val="16"/>
                <w:szCs w:val="16"/>
                <w:color w:val="0000EE"/>
                <w:w w:val="96"/>
              </w:rPr>
            </w:pPr>
            <w:hyperlink w:anchor="page31">
              <w:r>
                <w:rPr>
                  <w:rFonts w:ascii="Arial" w:cs="Arial" w:eastAsia="Arial" w:hAnsi="Arial"/>
                  <w:sz w:val="16"/>
                  <w:szCs w:val="16"/>
                  <w:color w:val="0000EE"/>
                  <w:w w:val="96"/>
                </w:rPr>
                <w:t>ITEM 2.</w:t>
              </w:r>
            </w:hyperlink>
          </w:p>
        </w:tc>
        <w:tc>
          <w:tcPr>
            <w:tcW w:w="9200" w:type="dxa"/>
            <w:vAlign w:val="bottom"/>
            <w:gridSpan w:val="4"/>
          </w:tcPr>
          <w:p>
            <w:pPr>
              <w:ind w:left="100"/>
              <w:spacing w:after="0"/>
              <w:rPr>
                <w:rFonts w:ascii="Arial" w:cs="Arial" w:eastAsia="Arial" w:hAnsi="Arial"/>
                <w:sz w:val="16"/>
                <w:szCs w:val="16"/>
                <w:color w:val="0000EE"/>
              </w:rPr>
            </w:pPr>
            <w:hyperlink w:anchor="page31">
              <w:r>
                <w:rPr>
                  <w:rFonts w:ascii="Arial" w:cs="Arial" w:eastAsia="Arial" w:hAnsi="Arial"/>
                  <w:sz w:val="16"/>
                  <w:szCs w:val="16"/>
                  <w:color w:val="0000EE"/>
                </w:rPr>
                <w:t>MANAGEMENT’S DISCUSSION AND ANALYSIS OF FINANCIAL CONDITION AND RESULTS OF OPERATIONS</w:t>
              </w:r>
            </w:hyperlink>
          </w:p>
        </w:tc>
        <w:tc>
          <w:tcPr>
            <w:tcW w:w="112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tc>
        <w:tc>
          <w:tcPr>
            <w:tcW w:w="20" w:type="dxa"/>
            <w:vAlign w:val="bottom"/>
          </w:tcPr>
          <w:p>
            <w:pPr>
              <w:spacing w:after="0"/>
              <w:rPr>
                <w:sz w:val="21"/>
                <w:szCs w:val="2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43">
              <w:r>
                <w:rPr>
                  <w:rFonts w:ascii="Arial" w:cs="Arial" w:eastAsia="Arial" w:hAnsi="Arial"/>
                  <w:sz w:val="16"/>
                  <w:szCs w:val="16"/>
                  <w:color w:val="0000EE"/>
                  <w:w w:val="96"/>
                </w:rPr>
                <w:t>ITEM 3.</w:t>
              </w:r>
            </w:hyperlink>
          </w:p>
        </w:tc>
        <w:tc>
          <w:tcPr>
            <w:tcW w:w="9200" w:type="dxa"/>
            <w:vAlign w:val="bottom"/>
            <w:gridSpan w:val="4"/>
          </w:tcPr>
          <w:p>
            <w:pPr>
              <w:ind w:left="100"/>
              <w:spacing w:after="0"/>
              <w:rPr>
                <w:rFonts w:ascii="Arial" w:cs="Arial" w:eastAsia="Arial" w:hAnsi="Arial"/>
                <w:sz w:val="16"/>
                <w:szCs w:val="16"/>
                <w:color w:val="0000EE"/>
              </w:rPr>
            </w:pPr>
            <w:hyperlink w:anchor="page43">
              <w:r>
                <w:rPr>
                  <w:rFonts w:ascii="Arial" w:cs="Arial" w:eastAsia="Arial" w:hAnsi="Arial"/>
                  <w:sz w:val="16"/>
                  <w:szCs w:val="16"/>
                  <w:color w:val="0000EE"/>
                </w:rPr>
                <w:t>QUANTITATIVE AND QUALITATIVE DISCLOSURES ABOUT MARKET RISK</w:t>
              </w:r>
            </w:hyperlink>
          </w:p>
        </w:tc>
        <w:tc>
          <w:tcPr>
            <w:tcW w:w="1120" w:type="dxa"/>
            <w:vAlign w:val="bottom"/>
            <w:gridSpan w:val="3"/>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43">
              <w:r>
                <w:rPr>
                  <w:rFonts w:ascii="Arial" w:cs="Arial" w:eastAsia="Arial" w:hAnsi="Arial"/>
                  <w:sz w:val="16"/>
                  <w:szCs w:val="16"/>
                  <w:color w:val="0000EE"/>
                  <w:w w:val="96"/>
                </w:rPr>
                <w:t>ITEM 4.</w:t>
              </w:r>
            </w:hyperlink>
          </w:p>
        </w:tc>
        <w:tc>
          <w:tcPr>
            <w:tcW w:w="9200" w:type="dxa"/>
            <w:vAlign w:val="bottom"/>
            <w:gridSpan w:val="4"/>
          </w:tcPr>
          <w:p>
            <w:pPr>
              <w:ind w:left="100"/>
              <w:spacing w:after="0"/>
              <w:rPr>
                <w:rFonts w:ascii="Arial" w:cs="Arial" w:eastAsia="Arial" w:hAnsi="Arial"/>
                <w:sz w:val="16"/>
                <w:szCs w:val="16"/>
                <w:color w:val="0000EE"/>
              </w:rPr>
            </w:pPr>
            <w:hyperlink w:anchor="page43">
              <w:r>
                <w:rPr>
                  <w:rFonts w:ascii="Arial" w:cs="Arial" w:eastAsia="Arial" w:hAnsi="Arial"/>
                  <w:sz w:val="16"/>
                  <w:szCs w:val="16"/>
                  <w:color w:val="0000EE"/>
                </w:rPr>
                <w:t>CONTROLS AND PROCEDURES</w:t>
              </w:r>
            </w:hyperlink>
          </w:p>
        </w:tc>
        <w:tc>
          <w:tcPr>
            <w:tcW w:w="1120" w:type="dxa"/>
            <w:vAlign w:val="bottom"/>
            <w:gridSpan w:val="3"/>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280" w:type="dxa"/>
            <w:vAlign w:val="bottom"/>
            <w:tcBorders>
              <w:bottom w:val="single" w:sz="8" w:color="0000EE"/>
            </w:tcBorders>
            <w:gridSpan w:val="5"/>
          </w:tcPr>
          <w:p>
            <w:pPr>
              <w:spacing w:after="0"/>
              <w:rPr>
                <w:rFonts w:ascii="Arial" w:cs="Arial" w:eastAsia="Arial" w:hAnsi="Arial"/>
                <w:sz w:val="16"/>
                <w:szCs w:val="16"/>
                <w:b w:val="1"/>
                <w:bCs w:val="1"/>
                <w:color w:val="0000EE"/>
                <w:w w:val="99"/>
              </w:rPr>
            </w:pPr>
            <w:hyperlink w:anchor="page44">
              <w:r>
                <w:rPr>
                  <w:rFonts w:ascii="Arial" w:cs="Arial" w:eastAsia="Arial" w:hAnsi="Arial"/>
                  <w:sz w:val="16"/>
                  <w:szCs w:val="16"/>
                  <w:b w:val="1"/>
                  <w:bCs w:val="1"/>
                  <w:color w:val="0000EE"/>
                  <w:w w:val="99"/>
                </w:rPr>
                <w:t>Part II. OTHER INFORMATION</w:t>
              </w:r>
            </w:hyperlink>
          </w:p>
        </w:tc>
        <w:tc>
          <w:tcPr>
            <w:tcW w:w="79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44">
              <w:r>
                <w:rPr>
                  <w:rFonts w:ascii="Arial" w:cs="Arial" w:eastAsia="Arial" w:hAnsi="Arial"/>
                  <w:sz w:val="16"/>
                  <w:szCs w:val="16"/>
                  <w:color w:val="0000EE"/>
                  <w:w w:val="96"/>
                </w:rPr>
                <w:t>ITEM 1.</w:t>
              </w:r>
            </w:hyperlink>
          </w:p>
        </w:tc>
        <w:tc>
          <w:tcPr>
            <w:tcW w:w="9200" w:type="dxa"/>
            <w:vAlign w:val="bottom"/>
            <w:gridSpan w:val="4"/>
          </w:tcPr>
          <w:p>
            <w:pPr>
              <w:ind w:left="100"/>
              <w:spacing w:after="0"/>
              <w:rPr>
                <w:rFonts w:ascii="Arial" w:cs="Arial" w:eastAsia="Arial" w:hAnsi="Arial"/>
                <w:sz w:val="16"/>
                <w:szCs w:val="16"/>
                <w:color w:val="0000EE"/>
              </w:rPr>
            </w:pPr>
            <w:hyperlink w:anchor="page44">
              <w:r>
                <w:rPr>
                  <w:rFonts w:ascii="Arial" w:cs="Arial" w:eastAsia="Arial" w:hAnsi="Arial"/>
                  <w:sz w:val="16"/>
                  <w:szCs w:val="16"/>
                  <w:color w:val="0000EE"/>
                </w:rPr>
                <w:t>LEGAL PROCEEDINGS</w:t>
              </w:r>
            </w:hyperlink>
          </w:p>
        </w:tc>
        <w:tc>
          <w:tcPr>
            <w:tcW w:w="112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42</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4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ITEM 1a.</w:t>
              </w:r>
            </w:hyperlink>
          </w:p>
        </w:tc>
        <w:tc>
          <w:tcPr>
            <w:tcW w:w="9200" w:type="dxa"/>
            <w:vAlign w:val="bottom"/>
            <w:gridSpan w:val="4"/>
          </w:tcPr>
          <w:p>
            <w:pPr>
              <w:ind w:left="100"/>
              <w:spacing w:after="0"/>
              <w:rPr>
                <w:rFonts w:ascii="Arial" w:cs="Arial" w:eastAsia="Arial" w:hAnsi="Arial"/>
                <w:sz w:val="16"/>
                <w:szCs w:val="16"/>
                <w:color w:val="0000EE"/>
              </w:rPr>
            </w:pPr>
            <w:hyperlink w:anchor="page44">
              <w:r>
                <w:rPr>
                  <w:rFonts w:ascii="Arial" w:cs="Arial" w:eastAsia="Arial" w:hAnsi="Arial"/>
                  <w:sz w:val="16"/>
                  <w:szCs w:val="16"/>
                  <w:color w:val="0000EE"/>
                </w:rPr>
                <w:t>RISK FACTORS</w:t>
              </w:r>
            </w:hyperlink>
          </w:p>
        </w:tc>
        <w:tc>
          <w:tcPr>
            <w:tcW w:w="1120" w:type="dxa"/>
            <w:vAlign w:val="bottom"/>
            <w:gridSpan w:val="3"/>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42</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45">
              <w:r>
                <w:rPr>
                  <w:rFonts w:ascii="Arial" w:cs="Arial" w:eastAsia="Arial" w:hAnsi="Arial"/>
                  <w:sz w:val="16"/>
                  <w:szCs w:val="16"/>
                  <w:color w:val="0000EE"/>
                  <w:w w:val="96"/>
                </w:rPr>
                <w:t>ITEM 2.</w:t>
              </w:r>
            </w:hyperlink>
          </w:p>
        </w:tc>
        <w:tc>
          <w:tcPr>
            <w:tcW w:w="9200" w:type="dxa"/>
            <w:vAlign w:val="bottom"/>
            <w:gridSpan w:val="4"/>
          </w:tcPr>
          <w:p>
            <w:pPr>
              <w:ind w:left="100"/>
              <w:spacing w:after="0"/>
              <w:rPr>
                <w:rFonts w:ascii="Arial" w:cs="Arial" w:eastAsia="Arial" w:hAnsi="Arial"/>
                <w:sz w:val="16"/>
                <w:szCs w:val="16"/>
                <w:color w:val="0000EE"/>
              </w:rPr>
            </w:pPr>
            <w:hyperlink w:anchor="page45">
              <w:r>
                <w:rPr>
                  <w:rFonts w:ascii="Arial" w:cs="Arial" w:eastAsia="Arial" w:hAnsi="Arial"/>
                  <w:sz w:val="16"/>
                  <w:szCs w:val="16"/>
                  <w:color w:val="0000EE"/>
                </w:rPr>
                <w:t>UNREGISTERED SALES OF EQUITY SECURITIES AND USE OF PROCEEDS</w:t>
              </w:r>
            </w:hyperlink>
          </w:p>
        </w:tc>
        <w:tc>
          <w:tcPr>
            <w:tcW w:w="1120" w:type="dxa"/>
            <w:vAlign w:val="bottom"/>
            <w:gridSpan w:val="3"/>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45">
              <w:r>
                <w:rPr>
                  <w:rFonts w:ascii="Arial" w:cs="Arial" w:eastAsia="Arial" w:hAnsi="Arial"/>
                  <w:sz w:val="16"/>
                  <w:szCs w:val="16"/>
                  <w:color w:val="0000EE"/>
                  <w:w w:val="96"/>
                </w:rPr>
                <w:t>ITEM 5.</w:t>
              </w:r>
            </w:hyperlink>
          </w:p>
        </w:tc>
        <w:tc>
          <w:tcPr>
            <w:tcW w:w="9200" w:type="dxa"/>
            <w:vAlign w:val="bottom"/>
            <w:gridSpan w:val="4"/>
          </w:tcPr>
          <w:p>
            <w:pPr>
              <w:ind w:left="100"/>
              <w:spacing w:after="0"/>
              <w:rPr>
                <w:rFonts w:ascii="Arial" w:cs="Arial" w:eastAsia="Arial" w:hAnsi="Arial"/>
                <w:sz w:val="16"/>
                <w:szCs w:val="16"/>
                <w:color w:val="0000EE"/>
              </w:rPr>
            </w:pPr>
            <w:hyperlink w:anchor="page45">
              <w:r>
                <w:rPr>
                  <w:rFonts w:ascii="Arial" w:cs="Arial" w:eastAsia="Arial" w:hAnsi="Arial"/>
                  <w:sz w:val="16"/>
                  <w:szCs w:val="16"/>
                  <w:color w:val="0000EE"/>
                </w:rPr>
                <w:t>OTHER INFORMATION</w:t>
              </w:r>
            </w:hyperlink>
          </w:p>
        </w:tc>
        <w:tc>
          <w:tcPr>
            <w:tcW w:w="1120" w:type="dxa"/>
            <w:vAlign w:val="bottom"/>
            <w:gridSpan w:val="3"/>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rFonts w:ascii="Arial" w:cs="Arial" w:eastAsia="Arial" w:hAnsi="Arial"/>
                <w:sz w:val="16"/>
                <w:szCs w:val="16"/>
                <w:color w:val="0000EE"/>
                <w:w w:val="96"/>
              </w:rPr>
            </w:pPr>
            <w:hyperlink w:anchor="page45">
              <w:r>
                <w:rPr>
                  <w:rFonts w:ascii="Arial" w:cs="Arial" w:eastAsia="Arial" w:hAnsi="Arial"/>
                  <w:sz w:val="16"/>
                  <w:szCs w:val="16"/>
                  <w:color w:val="0000EE"/>
                  <w:w w:val="96"/>
                </w:rPr>
                <w:t>ITEM 6.</w:t>
              </w:r>
            </w:hyperlink>
          </w:p>
        </w:tc>
        <w:tc>
          <w:tcPr>
            <w:tcW w:w="9200" w:type="dxa"/>
            <w:vAlign w:val="bottom"/>
            <w:gridSpan w:val="4"/>
          </w:tcPr>
          <w:p>
            <w:pPr>
              <w:ind w:left="100"/>
              <w:spacing w:after="0"/>
              <w:rPr>
                <w:rFonts w:ascii="Arial" w:cs="Arial" w:eastAsia="Arial" w:hAnsi="Arial"/>
                <w:sz w:val="16"/>
                <w:szCs w:val="16"/>
                <w:color w:val="0000EE"/>
              </w:rPr>
            </w:pPr>
            <w:hyperlink w:anchor="page45">
              <w:r>
                <w:rPr>
                  <w:rFonts w:ascii="Arial" w:cs="Arial" w:eastAsia="Arial" w:hAnsi="Arial"/>
                  <w:sz w:val="16"/>
                  <w:szCs w:val="16"/>
                  <w:color w:val="0000EE"/>
                </w:rPr>
                <w:t>EXHIBITS</w:t>
              </w:r>
            </w:hyperlink>
          </w:p>
        </w:tc>
        <w:tc>
          <w:tcPr>
            <w:tcW w:w="1120" w:type="dxa"/>
            <w:vAlign w:val="bottom"/>
            <w:gridSpan w:val="3"/>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43</w:t>
              </w:r>
            </w:hyperlink>
          </w:p>
        </w:tc>
        <w:tc>
          <w:tcPr>
            <w:tcW w:w="20" w:type="dxa"/>
            <w:vAlign w:val="bottom"/>
          </w:tcPr>
          <w:p>
            <w:pPr>
              <w:spacing w:after="0"/>
              <w:rPr>
                <w:sz w:val="19"/>
                <w:szCs w:val="19"/>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80" w:type="dxa"/>
            <w:vAlign w:val="bottom"/>
            <w:gridSpan w:val="4"/>
          </w:tcPr>
          <w:p>
            <w:pPr>
              <w:spacing w:after="0"/>
              <w:rPr>
                <w:rFonts w:ascii="Arial" w:cs="Arial" w:eastAsia="Arial" w:hAnsi="Arial"/>
                <w:sz w:val="16"/>
                <w:szCs w:val="16"/>
                <w:color w:val="0000EE"/>
                <w:w w:val="99"/>
              </w:rPr>
            </w:pPr>
            <w:hyperlink w:anchor="page46">
              <w:r>
                <w:rPr>
                  <w:rFonts w:ascii="Arial" w:cs="Arial" w:eastAsia="Arial" w:hAnsi="Arial"/>
                  <w:sz w:val="16"/>
                  <w:szCs w:val="16"/>
                  <w:color w:val="0000EE"/>
                  <w:w w:val="99"/>
                </w:rPr>
                <w:t>EXHIBITS INDEX</w:t>
              </w:r>
            </w:hyperlink>
          </w:p>
        </w:tc>
        <w:tc>
          <w:tcPr>
            <w:tcW w:w="8960" w:type="dxa"/>
            <w:vAlign w:val="bottom"/>
            <w:gridSpan w:val="3"/>
          </w:tcPr>
          <w:p>
            <w:pPr>
              <w:spacing w:after="0"/>
              <w:rPr>
                <w:sz w:val="24"/>
                <w:szCs w:val="24"/>
                <w:color w:val="auto"/>
              </w:rPr>
            </w:pPr>
          </w:p>
        </w:tc>
        <w:tc>
          <w:tcPr>
            <w:tcW w:w="1120" w:type="dxa"/>
            <w:vAlign w:val="bottom"/>
            <w:gridSpan w:val="3"/>
          </w:tcPr>
          <w:p>
            <w:pPr>
              <w:jc w:val="right"/>
              <w:spacing w:after="0"/>
              <w:rPr>
                <w:rFonts w:ascii="Arial" w:cs="Arial" w:eastAsia="Arial" w:hAnsi="Arial"/>
                <w:sz w:val="16"/>
                <w:szCs w:val="16"/>
                <w:color w:val="0000EE"/>
              </w:rPr>
            </w:pPr>
            <w:hyperlink w:anchor="page46">
              <w:r>
                <w:rPr>
                  <w:rFonts w:ascii="Arial" w:cs="Arial" w:eastAsia="Arial" w:hAnsi="Arial"/>
                  <w:sz w:val="16"/>
                  <w:szCs w:val="16"/>
                  <w:color w:val="0000EE"/>
                </w:rPr>
                <w:t>44</w:t>
              </w:r>
            </w:hyperlink>
          </w:p>
        </w:tc>
        <w:tc>
          <w:tcPr>
            <w:tcW w:w="20" w:type="dxa"/>
            <w:vAlign w:val="bottom"/>
          </w:tcPr>
          <w:p>
            <w:pPr>
              <w:spacing w:after="0"/>
              <w:rPr>
                <w:sz w:val="24"/>
                <w:szCs w:val="24"/>
                <w:color w:val="auto"/>
              </w:rPr>
            </w:pPr>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40" w:type="dxa"/>
            <w:vAlign w:val="bottom"/>
            <w:gridSpan w:val="3"/>
          </w:tcPr>
          <w:p>
            <w:pPr>
              <w:spacing w:after="0"/>
              <w:rPr>
                <w:rFonts w:ascii="Arial" w:cs="Arial" w:eastAsia="Arial" w:hAnsi="Arial"/>
                <w:sz w:val="16"/>
                <w:szCs w:val="16"/>
                <w:color w:val="0000EE"/>
                <w:w w:val="96"/>
              </w:rPr>
            </w:pPr>
            <w:hyperlink w:anchor="page47">
              <w:r>
                <w:rPr>
                  <w:rFonts w:ascii="Arial" w:cs="Arial" w:eastAsia="Arial" w:hAnsi="Arial"/>
                  <w:sz w:val="16"/>
                  <w:szCs w:val="16"/>
                  <w:color w:val="0000EE"/>
                  <w:w w:val="96"/>
                </w:rPr>
                <w:t>SIGNATURES</w:t>
              </w:r>
            </w:hyperlink>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120" w:type="dxa"/>
            <w:vAlign w:val="bottom"/>
            <w:gridSpan w:val="3"/>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45</w:t>
              </w:r>
            </w:hyperlink>
          </w:p>
        </w:tc>
        <w:tc>
          <w:tcPr>
            <w:tcW w:w="2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6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February 28, 2019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August 31, 2018</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$1.4 and $1.3, respectively</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520.1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637.9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1,232.6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1,211.1</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color w:val="auto"/>
              </w:rPr>
              <w:t>Property, plant, and equipment, at cost:</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Buildings and leasehold improvements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188.7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property, plant, and equipment</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748.5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728.6</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w:t>
            </w:r>
            <w:r>
              <w:rPr>
                <w:rFonts w:ascii="Arial" w:cs="Arial" w:eastAsia="Arial" w:hAnsi="Arial"/>
                <w:sz w:val="16"/>
                <w:szCs w:val="16"/>
                <w:color w:val="auto"/>
              </w:rPr>
              <w:t>—</w:t>
            </w:r>
            <w:r>
              <w:rPr>
                <w:rFonts w:ascii="Arial" w:cs="Arial" w:eastAsia="Arial" w:hAnsi="Arial"/>
                <w:sz w:val="14"/>
                <w:szCs w:val="14"/>
                <w:color w:val="auto"/>
              </w:rPr>
              <w:t xml:space="preserve"> Accumulated depreciation and amortization</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970.6</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482.4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498.7</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2,991.8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351.1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61.0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584.4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682.7</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Accrued pension liabilities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Self-insurance reserves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Common stock, $0.01 par value; 500,000,000 shares authorized; 53,744,644 and 53,667,327 issued, respectively</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Paid-in capital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906.3</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8"/>
                <w:szCs w:val="18"/>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2,121.6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1,999.2</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Treasury stock, at cost — 14,075,197 and 13,676,689 shares, respectively</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(1,074.4)</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1,801.8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1,716.8</w:t>
            </w:r>
          </w:p>
        </w:tc>
        <w:tc>
          <w:tcPr>
            <w:tcW w:w="0" w:type="dxa"/>
            <w:vAlign w:val="bottom"/>
          </w:tcPr>
          <w:p>
            <w:pPr>
              <w:spacing w:after="0"/>
              <w:rPr>
                <w:sz w:val="1"/>
                <w:szCs w:val="1"/>
                <w:color w:val="auto"/>
              </w:rPr>
            </w:pPr>
          </w:p>
        </w:tc>
      </w:tr>
      <w:tr>
        <w:trPr>
          <w:trHeight w:val="216"/>
        </w:trPr>
        <w:tc>
          <w:tcPr>
            <w:tcW w:w="790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2,991.8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6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28,</w:t>
            </w:r>
          </w:p>
        </w:tc>
      </w:tr>
      <w:tr>
        <w:trPr>
          <w:trHeight w:val="228"/>
        </w:trPr>
        <w:tc>
          <w:tcPr>
            <w:tcW w:w="5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1,674.9</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497.6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1,085.6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990.5</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473.9</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209.7</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273"/>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expense, net</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7"/>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9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w:t>
            </w:r>
          </w:p>
        </w:tc>
      </w:tr>
      <w:tr>
        <w:trPr>
          <w:trHeight w:val="22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w:t>
            </w:r>
          </w:p>
        </w:tc>
      </w:tr>
      <w:tr>
        <w:trPr>
          <w:trHeight w:val="22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r>
      <w:tr>
        <w:trPr>
          <w:trHeight w:val="227"/>
        </w:trPr>
        <w:tc>
          <w:tcPr>
            <w:tcW w:w="5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r>
      <w:tr>
        <w:trPr>
          <w:trHeight w:val="25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163.8</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 2019</w:t>
            </w:r>
          </w:p>
        </w:tc>
        <w:tc>
          <w:tcPr>
            <w:tcW w:w="16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 2018</w:t>
            </w:r>
          </w:p>
        </w:tc>
        <w:tc>
          <w:tcPr>
            <w:tcW w:w="0" w:type="dxa"/>
            <w:vAlign w:val="bottom"/>
          </w:tcPr>
          <w:p>
            <w:pPr>
              <w:spacing w:after="0"/>
              <w:rPr>
                <w:sz w:val="1"/>
                <w:szCs w:val="1"/>
                <w:color w:val="auto"/>
              </w:rPr>
            </w:pPr>
          </w:p>
        </w:tc>
      </w:tr>
      <w:tr>
        <w:trPr>
          <w:trHeight w:val="270"/>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6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 changes: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40"/>
        </w:trPr>
        <w:tc>
          <w:tcPr>
            <w:tcW w:w="76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18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73"/>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Borrowings on credit facility</w:t>
            </w: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borrowings on credit facility</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Repayments of long-term debt</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taxes withheld on net settlement of equity awards</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50"/>
        </w:trPr>
        <w:tc>
          <w:tcPr>
            <w:tcW w:w="76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for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250"/>
        </w:trPr>
        <w:tc>
          <w:tcPr>
            <w:tcW w:w="76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7"/>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Borders>
              <w:top w:val="single" w:sz="8" w:color="auto"/>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4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during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51"/>
        </w:trPr>
        <w:tc>
          <w:tcPr>
            <w:tcW w:w="7660" w:type="dxa"/>
            <w:vAlign w:val="bottom"/>
          </w:tcPr>
          <w:p>
            <w:pPr>
              <w:ind w:left="180"/>
              <w:spacing w:after="0"/>
              <w:rPr>
                <w:sz w:val="20"/>
                <w:szCs w:val="20"/>
                <w:color w:val="auto"/>
              </w:rPr>
            </w:pPr>
            <w:r>
              <w:rPr>
                <w:rFonts w:ascii="Arial" w:cs="Arial" w:eastAsia="Arial" w:hAnsi="Arial"/>
                <w:sz w:val="16"/>
                <w:szCs w:val="16"/>
                <w:color w:val="auto"/>
              </w:rPr>
              <w:t>Interest paid during the period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subsidiaries (Acuity Brands, ABL, and such other subsidiaries are collectively referred to herein as “we,” “our,” “us,” “the Company," or similar references) and was incorporated in 2001 under the laws of the State of Delaware. 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We have one reportable segment serving the North American lighting market and select international markets.</w:t>
      </w:r>
    </w:p>
    <w:p>
      <w:pPr>
        <w:spacing w:after="0" w:line="1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We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and its wholly-owned subsidiaries.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February 28, 2019, our consolidated comprehensive income for the three and six months ended February 28, 2019 and 2018, and our consolidated cash flows for the six months ended February 28, 2019 and 2018.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of the Company as of and for the three years ended August 31, 2018 and notes thereto included in our Annual Report on Form 10-K filed with the Securities and Exchange Commission (the “SEC”) on October 25, 2018 (File No. 001-16583) (“Form 10-K”).</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three and six months ended February 28, 2019 and 2018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2019.</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Certain prior-period amounts have been reclassified to conform to the current year presentation. No material reclassifications occurred during the current period. Refer to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additional information regarding retrospective reclassifications related to accounting standards adopted in the current 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Investments</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 acquisitions were completed during the first six months of fiscal 2019. The following discussion relates to acquisitions completed during fiscal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IOTA Engineering, LLC</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all of the equity interests of IOTA Engineering, LLC (“IOTA”). IOTA is headquartered in Tucson, Arizona and manufactures highly engineered emergency lighting products and power equipment for commercial and institutional applications both in the U.S. and international markets. The operating results of IOTA have been included in our consolidated financial statements since the date of acquisition and are not material to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Lucid Design Group, Inc.</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12, 2018, using cash on hand, we acquired all of the equity interests of Lucid Design Group, Inc (“Lucid”). Lucid is headquartered in Oakland, California and provides a data and analytics platform to make data-driven decisions to improve building efficiency and drive energy conservation and savings. The operating results of Lucid have been included in our consolidated financial statements since the date of acquisition and are not material to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Fiscal 2018 Acquisitions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Acquisition-related costs were expensed as incurred. Amounts related to the acquisition accounting for these acquisitions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 aggregate purchase price of these acquisitions reflects total goodwill and identified intangible assets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$77.0 million and $81.8 million, respectively, as of February 28, 2019. Identified intangible assets consist of indefinite-lived marketing-related intangibles as well as definite-lived customer-based and technology-based assets, which have a weighted average useful life of approximately 14 years. We finalized the acquisition accounting for Lucid during the current quarter. There were no material changes to our financial statements as a result of the finalization of this acquisition accounting. However, the acquisition accounting for IOTA is deemed provisional as we continue to gather information related to the identification and valuation of certain deferred tax items.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2017-01 -— Clarifying the Definition of a Business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Financial Accounting Standards Board (“FASB”) issued Accounting Standards Update (“ASU”) No. 2017-01, </w:t>
      </w:r>
      <w:r>
        <w:rPr>
          <w:rFonts w:ascii="Arial" w:cs="Arial" w:eastAsia="Arial" w:hAnsi="Arial"/>
          <w:sz w:val="18"/>
          <w:szCs w:val="18"/>
          <w:i w:val="1"/>
          <w:iCs w:val="1"/>
          <w:color w:val="auto"/>
        </w:rPr>
        <w:t>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Definition of a Business </w:t>
      </w:r>
      <w:r>
        <w:rPr>
          <w:rFonts w:ascii="Arial" w:cs="Arial" w:eastAsia="Arial" w:hAnsi="Arial"/>
          <w:sz w:val="18"/>
          <w:szCs w:val="18"/>
          <w:color w:val="auto"/>
        </w:rPr>
        <w:t>(“ASU 2017-01”), which requires an evaluation of whether substantially all of the fair value of assets obtained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is concentrated in a single identifiable asset or a group of similar identifiable assets. If so, the transaction does not qualify as a business. The guidance also requires an acquired business to include at least one substantive process and narrows the definition of outputs. We adopted ASU 2017-01 effective September 1, 2018 and applied the guidance prospectively. The provisions of ASU 2017-01 did not have a material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2016-15 — Statement of Cash Flows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(“ASU 2016-15”), which is intended to reduce the diversity in practice in how certain cash receipts and cash payments are presented and classified in the statement of cash flows. These cash flows include debt prepayment and extinguishment costs, contingent consideration payments made after a business combination, proceeds from the settlement of insurance claims, and proceeds from the settlement of corporate-owned life insurance. We adopted ASU 2016-15 effective September 1, 2018 and applied the changes retrospectively. We maintain life insurance policies on certain former employees primarily to satisfy obligations under certain deferred compensation plans. As required by the standard, proceeds from these policies are now classified as cash inflows from investing activities. We received $0.8 million and $0.7 million from corporate-owned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life insurance policies during the six months ended February 28, 2019 and 2018, respectively. As such, cash flows from operations for the six months ended February 28, 2018 decreased $0.7 million, with a corresponding increase to cash flows from investing activities, compared to amounts previously reported. The remaining provisions of ASU 2016-15 do not apply to us for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2017-07 — Presentation of Net Periodic Pension Cost</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Periodic Pension Cost and Net Periodic Postretirement Benefit Cost </w:t>
      </w:r>
      <w:r>
        <w:rPr>
          <w:rFonts w:ascii="Arial" w:cs="Arial" w:eastAsia="Arial" w:hAnsi="Arial"/>
          <w:sz w:val="18"/>
          <w:szCs w:val="18"/>
          <w:color w:val="auto"/>
        </w:rPr>
        <w:t>(“ASU 2017-07”), which changes the presentation of net periodic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related to employer sponsored defined benefit plans and other postretirement benefits. Service cost is now included within the same income statement line item as other compensation costs arising from services rendered during the period, while other components of net periodic pension cost are presented separately outside of operating income. Additionally, only service costs may be capitalized in assets. We adopted ASU 2017-07 effective as of September 1, 2018. We applied the standard retrospectively for the presentation of the service cost component and the other components of net periodic pension cost within our income statements. As a practical expedient, we used amounts previously disclosed 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as the basis for retrospective application because amounts capitalized in inventory at a given point in time are de minimis and determining these amounts was impractical. Upon adoption of ASU 2017-07, our previously reported </w:t>
      </w:r>
      <w:r>
        <w:rPr>
          <w:rFonts w:ascii="Arial" w:cs="Arial" w:eastAsia="Arial" w:hAnsi="Arial"/>
          <w:sz w:val="18"/>
          <w:szCs w:val="18"/>
          <w:i w:val="1"/>
          <w:iCs w:val="1"/>
          <w:color w:val="auto"/>
        </w:rPr>
        <w:t>Operating profit</w:t>
      </w:r>
      <w:r>
        <w:rPr>
          <w:rFonts w:ascii="Arial" w:cs="Arial" w:eastAsia="Arial" w:hAnsi="Arial"/>
          <w:sz w:val="18"/>
          <w:szCs w:val="18"/>
          <w:color w:val="auto"/>
        </w:rPr>
        <w:t xml:space="preserve"> for the three and six months ended February 28, 2018 increased $1.5 million and $3.1 million, respectively, with a corresponding increase to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The provisions of ASU 2017-07 have no impact to our net income or 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impact of the provisions of ASU 2017-07 on the </w:t>
      </w:r>
      <w:r>
        <w:rPr>
          <w:rFonts w:ascii="Arial" w:cs="Arial" w:eastAsia="Arial" w:hAnsi="Arial"/>
          <w:sz w:val="18"/>
          <w:szCs w:val="18"/>
          <w:i w:val="1"/>
          <w:iCs w:val="1"/>
          <w:color w:val="auto"/>
        </w:rPr>
        <w:t>Consolidated Statement of Comprehensive Income</w:t>
      </w:r>
      <w:r>
        <w:rPr>
          <w:rFonts w:ascii="Arial" w:cs="Arial" w:eastAsia="Arial" w:hAnsi="Arial"/>
          <w:sz w:val="18"/>
          <w:szCs w:val="18"/>
          <w:color w:val="auto"/>
        </w:rPr>
        <w:t xml:space="preserve"> for the three and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 are as follows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jc w:val="center"/>
              <w:ind w:left="228"/>
              <w:spacing w:after="0"/>
              <w:rPr>
                <w:sz w:val="20"/>
                <w:szCs w:val="20"/>
                <w:color w:val="auto"/>
              </w:rPr>
            </w:pPr>
            <w:r>
              <w:rPr>
                <w:rFonts w:ascii="Arial" w:cs="Arial" w:eastAsia="Arial" w:hAnsi="Arial"/>
                <w:sz w:val="14"/>
                <w:szCs w:val="14"/>
                <w:b w:val="1"/>
                <w:bCs w:val="1"/>
                <w:color w:val="auto"/>
              </w:rPr>
              <w:t>Three Months Ended February 28, 2018</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center"/>
              <w:ind w:left="268"/>
              <w:spacing w:after="0"/>
              <w:rPr>
                <w:sz w:val="20"/>
                <w:szCs w:val="20"/>
                <w:color w:val="auto"/>
              </w:rPr>
            </w:pPr>
            <w:r>
              <w:rPr>
                <w:rFonts w:ascii="Arial" w:cs="Arial" w:eastAsia="Arial" w:hAnsi="Arial"/>
                <w:sz w:val="14"/>
                <w:szCs w:val="14"/>
                <w:b w:val="1"/>
                <w:bCs w:val="1"/>
                <w:color w:val="auto"/>
              </w:rPr>
              <w:t>Six Months Ended February 28, 2018</w:t>
            </w:r>
          </w:p>
        </w:tc>
        <w:tc>
          <w:tcPr>
            <w:tcW w:w="440" w:type="dxa"/>
            <w:vAlign w:val="bottom"/>
            <w:tcBorders>
              <w:bottom w:val="single" w:sz="8" w:color="auto"/>
            </w:tcBorders>
          </w:tcPr>
          <w:p>
            <w:pPr>
              <w:spacing w:after="0"/>
              <w:rPr>
                <w:sz w:val="17"/>
                <w:szCs w:val="17"/>
                <w:color w:val="auto"/>
              </w:rPr>
            </w:pPr>
          </w:p>
        </w:tc>
      </w:tr>
      <w:tr>
        <w:trPr>
          <w:trHeight w:val="175"/>
        </w:trPr>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Previously</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88"/>
              <w:spacing w:after="0"/>
              <w:rPr>
                <w:sz w:val="20"/>
                <w:szCs w:val="20"/>
                <w:color w:val="auto"/>
              </w:rPr>
            </w:pPr>
            <w:r>
              <w:rPr>
                <w:rFonts w:ascii="Arial" w:cs="Arial" w:eastAsia="Arial" w:hAnsi="Arial"/>
                <w:sz w:val="14"/>
                <w:szCs w:val="14"/>
                <w:b w:val="1"/>
                <w:bCs w:val="1"/>
                <w:color w:val="auto"/>
              </w:rPr>
              <w:t>Previously</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6"/>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Revised</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Reported</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Higher (Lower)</w:t>
            </w:r>
          </w:p>
        </w:tc>
        <w:tc>
          <w:tcPr>
            <w:tcW w:w="14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As Revised</w:t>
            </w:r>
          </w:p>
        </w:tc>
        <w:tc>
          <w:tcPr>
            <w:tcW w:w="240" w:type="dxa"/>
            <w:vAlign w:val="bottom"/>
          </w:tcPr>
          <w:p>
            <w:pPr>
              <w:spacing w:after="0"/>
              <w:rPr>
                <w:sz w:val="17"/>
                <w:szCs w:val="17"/>
                <w:color w:val="auto"/>
              </w:rPr>
            </w:pPr>
          </w:p>
        </w:tc>
        <w:tc>
          <w:tcPr>
            <w:tcW w:w="980" w:type="dxa"/>
            <w:vAlign w:val="bottom"/>
          </w:tcPr>
          <w:p>
            <w:pPr>
              <w:jc w:val="center"/>
              <w:ind w:right="88"/>
              <w:spacing w:after="0"/>
              <w:rPr>
                <w:sz w:val="20"/>
                <w:szCs w:val="20"/>
                <w:color w:val="auto"/>
              </w:rPr>
            </w:pPr>
            <w:r>
              <w:rPr>
                <w:rFonts w:ascii="Arial" w:cs="Arial" w:eastAsia="Arial" w:hAnsi="Arial"/>
                <w:sz w:val="14"/>
                <w:szCs w:val="14"/>
                <w:b w:val="1"/>
                <w:bCs w:val="1"/>
                <w:color w:val="auto"/>
              </w:rPr>
              <w:t>Reported</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Higher (Lower)</w:t>
            </w:r>
          </w:p>
        </w:tc>
      </w:tr>
      <w:tr>
        <w:trPr>
          <w:trHeight w:val="27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497.6</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497.2</w:t>
            </w:r>
          </w:p>
        </w:tc>
        <w:tc>
          <w:tcPr>
            <w:tcW w:w="12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990.5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989.8</w:t>
            </w:r>
          </w:p>
        </w:tc>
        <w:tc>
          <w:tcPr>
            <w:tcW w:w="78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246.3</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473.9</w:t>
            </w:r>
          </w:p>
        </w:tc>
        <w:tc>
          <w:tcPr>
            <w:tcW w:w="2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477.7</w:t>
            </w:r>
          </w:p>
        </w:tc>
        <w:tc>
          <w:tcPr>
            <w:tcW w:w="7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expense, net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7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ASC 606 </w:t>
      </w:r>
      <w:r>
        <w:rPr>
          <w:rFonts w:ascii="Arial" w:cs="Arial" w:eastAsia="Arial" w:hAnsi="Arial"/>
          <w:sz w:val="18"/>
          <w:szCs w:val="18"/>
          <w:color w:val="auto"/>
        </w:rPr>
        <w:t>—</w:t>
      </w:r>
      <w:r>
        <w:rPr>
          <w:rFonts w:ascii="Arial" w:cs="Arial" w:eastAsia="Arial" w:hAnsi="Arial"/>
          <w:sz w:val="18"/>
          <w:szCs w:val="18"/>
          <w:i w:val="1"/>
          <w:iCs w:val="1"/>
          <w:color w:val="auto"/>
        </w:rPr>
        <w:t xml:space="preserve"> Revenue from Contracts with Customers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replaced the existing revenue recognition guidance in U.S. GAAP. Since the issuance of ASU 2014-09, the FASB released several amendments to improve and clarify the implementation guidance, as well as to change the effective date. These standards have been collectively codified within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outlines a single comprehensive model for entities to use in accounting for revenue arising from contracts with customers. The standard also requires additional disclosures about the nature, timing, and uncertainty of revenue and cash flows arising from customer contracts, including significant judgments and changes in those judgments.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adopted ASC 606 effective September 1, 2018 using the modified retrospective method and recognized a cumulative effect of applying ASC 606 of $13.0 million in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as of this date. We applied the standard to all contracts as of the transition date. Information for prior years presented has not been restated and continues to reflect the authoritative accounting standards in effect for those periods.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Adjustments related to the adoption of ASC 606 include additional deferrals of revenue recognition for service-type warranties and the gross presentation of right of return assets and refund liabilities for sales with a right of return. The effects of the adoption of ASC 606 on our </w:t>
      </w:r>
      <w:r>
        <w:rPr>
          <w:rFonts w:ascii="Arial" w:cs="Arial" w:eastAsia="Arial" w:hAnsi="Arial"/>
          <w:sz w:val="18"/>
          <w:szCs w:val="18"/>
          <w:i w:val="1"/>
          <w:iCs w:val="1"/>
          <w:color w:val="auto"/>
        </w:rPr>
        <w:t xml:space="preserve">Consolidated Statement of Comprehensive Income </w:t>
      </w:r>
      <w:r>
        <w:rPr>
          <w:rFonts w:ascii="Arial" w:cs="Arial" w:eastAsia="Arial" w:hAnsi="Arial"/>
          <w:sz w:val="18"/>
          <w:szCs w:val="18"/>
          <w:color w:val="auto"/>
        </w:rPr>
        <w:t>for the three and six months ended February 28, 2019, and the</w:t>
      </w:r>
      <w:r>
        <w:rPr>
          <w:rFonts w:ascii="Arial" w:cs="Arial" w:eastAsia="Arial" w:hAnsi="Arial"/>
          <w:sz w:val="18"/>
          <w:szCs w:val="18"/>
          <w:i w:val="1"/>
          <w:iCs w:val="1"/>
          <w:color w:val="auto"/>
        </w:rPr>
        <w:t xml:space="preserve"> Consolidated Balance Sheet </w:t>
      </w:r>
      <w:r>
        <w:rPr>
          <w:rFonts w:ascii="Arial" w:cs="Arial" w:eastAsia="Arial" w:hAnsi="Arial"/>
          <w:sz w:val="18"/>
          <w:szCs w:val="18"/>
          <w:color w:val="auto"/>
        </w:rPr>
        <w:t>as of February 28, 2019 are as follows (in millions except per share amounts):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Consolidated Statement of Comprehensive Income</w:t>
            </w:r>
          </w:p>
        </w:tc>
        <w:tc>
          <w:tcPr>
            <w:tcW w:w="140" w:type="dxa"/>
            <w:vAlign w:val="bottom"/>
          </w:tcPr>
          <w:p>
            <w:pPr>
              <w:spacing w:after="0"/>
              <w:rPr>
                <w:sz w:val="17"/>
                <w:szCs w:val="17"/>
                <w:color w:val="auto"/>
              </w:rPr>
            </w:pPr>
          </w:p>
        </w:tc>
        <w:tc>
          <w:tcPr>
            <w:tcW w:w="2820" w:type="dxa"/>
            <w:vAlign w:val="bottom"/>
            <w:gridSpan w:val="8"/>
          </w:tcPr>
          <w:p>
            <w:pPr>
              <w:jc w:val="center"/>
              <w:spacing w:after="0"/>
              <w:rPr>
                <w:sz w:val="20"/>
                <w:szCs w:val="20"/>
                <w:color w:val="auto"/>
              </w:rPr>
            </w:pPr>
            <w:r>
              <w:rPr>
                <w:rFonts w:ascii="Arial" w:cs="Arial" w:eastAsia="Arial" w:hAnsi="Arial"/>
                <w:sz w:val="14"/>
                <w:szCs w:val="14"/>
                <w:b w:val="1"/>
                <w:bCs w:val="1"/>
                <w:color w:val="auto"/>
              </w:rPr>
              <w:t>Three Months Ended February 28, 2019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gridSpan w:val="13"/>
          </w:tcPr>
          <w:p>
            <w:pPr>
              <w:jc w:val="center"/>
              <w:spacing w:after="0"/>
              <w:rPr>
                <w:sz w:val="20"/>
                <w:szCs w:val="20"/>
                <w:color w:val="auto"/>
              </w:rPr>
            </w:pPr>
            <w:r>
              <w:rPr>
                <w:rFonts w:ascii="Arial" w:cs="Arial" w:eastAsia="Arial" w:hAnsi="Arial"/>
                <w:sz w:val="14"/>
                <w:szCs w:val="14"/>
                <w:b w:val="1"/>
                <w:bCs w:val="1"/>
                <w:color w:val="auto"/>
              </w:rPr>
              <w:t>Six Months Ended February 28, 2019</w:t>
            </w:r>
          </w:p>
        </w:tc>
      </w:tr>
      <w:tr>
        <w:trPr>
          <w:trHeight w:val="175"/>
        </w:trPr>
        <w:tc>
          <w:tcPr>
            <w:tcW w:w="5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Without ASC</w:t>
            </w: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rPr>
              <w:t>As</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Without</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162"/>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Currently</w:t>
            </w:r>
          </w:p>
        </w:tc>
        <w:tc>
          <w:tcPr>
            <w:tcW w:w="120" w:type="dxa"/>
            <w:vAlign w:val="bottom"/>
          </w:tcPr>
          <w:p>
            <w:pPr>
              <w:spacing w:after="0"/>
              <w:rPr>
                <w:sz w:val="14"/>
                <w:szCs w:val="14"/>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Higher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Currently</w:t>
            </w:r>
          </w:p>
        </w:tc>
        <w:tc>
          <w:tcPr>
            <w:tcW w:w="1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ASC 606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Higher</w:t>
            </w:r>
          </w:p>
        </w:tc>
      </w:tr>
      <w:tr>
        <w:trPr>
          <w:trHeight w:val="196"/>
        </w:trPr>
        <w:tc>
          <w:tcPr>
            <w:tcW w:w="5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Reported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Adoption</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(Lower)</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Reported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Adoption</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(Lower)</w:t>
            </w: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w w:val="98"/>
              </w:rPr>
              <w:t>1,787.0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1,791.0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w w:val="98"/>
              </w:rPr>
              <w:t>1,085.6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1,087.4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487.7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Operating profit</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rPr>
              <w:t>212.3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214.7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rPr>
              <w:t>145.9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147.7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90"/>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Basic earnings per share</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(0.02)</w:t>
            </w:r>
          </w:p>
        </w:tc>
        <w:tc>
          <w:tcPr>
            <w:tcW w:w="5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3.72</w:t>
            </w:r>
          </w:p>
        </w:tc>
        <w:tc>
          <w:tcPr>
            <w:tcW w:w="3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521"/>
        </w:trPr>
        <w:tc>
          <w:tcPr>
            <w:tcW w:w="5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i w:val="1"/>
                <w:iCs w:val="1"/>
                <w:color w:val="auto"/>
              </w:rPr>
              <w:t>Consolidated Balance Sheet</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rPr>
              <w:t>February 28,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75"/>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Currently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Without ASC</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5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Reported</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606 Adoption</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Higher (Lower)</w:t>
            </w: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Prepayments and other current assets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15.2</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accrued liabilities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w:t>
            </w: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Deferred income tax liabilities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r>
      <w:tr>
        <w:trPr>
          <w:trHeight w:val="258"/>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w w:val="98"/>
              </w:rPr>
              <w:t>2,121.6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2,136.4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will require customers to apply internal-use software guidance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costs that are able to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standard allows changes to be applied either retrospectively or prospectively. We will adopt the standard as required in fiscal 2021. The provisions of ASU 2018-15 are not expected to have a material effect on our financial condition, results of operations, or cash flows.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(“ASU 2016-13”), which requires an entity to assess impairment of its financial instruments based on its estimate of expected credit losses. The provisions of ASU 2016-13 are effective for fiscal years (and interim reporting periods within those years) beginning after December 15, 2019. Entities are required to apply these changes through a cumulative-effect adjustment to retained earnings as of the beginning of the first reporting period in which the guidance is effective. We will adopt the amendments as required in fiscal 2021. The provisions of ASU 2016-13 are not expected to have a material effect on our financial condition, results of operations, or cash flows.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ASU 2016-02 is effective for fiscal years (and interim reporting periods within those years) beginning after December 15, 2018. Since the issuance of ASU 2016-02, the FASB released several amendments to improve and clarify the implementation guidance, as well as to change the allowable adoption methods. These standards have been collectively codified within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The standard allows entities to present the effects of the accounting change as either a cumulative adjustment as of the beginning of the earliest period</w:t>
      </w:r>
    </w:p>
    <w:p>
      <w:pPr>
        <w:sectPr>
          <w:pgSz w:w="11900" w:h="16838" w:orient="portrait"/>
          <w:cols w:equalWidth="0" w:num="1">
            <w:col w:w="11420"/>
          </w:cols>
          <w:pgMar w:left="240" w:top="140"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0"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presented or as of the date of adoption. We have an implementation team tasked with reviewing our lease obligations and determining the impact of the new standard to our financial statements. The team is also tasked with identifying appropriate changes to our business processes, systems, and controls to support recognition and disclosure under the new standard. Currently, the implementation team has completed its review of outstanding property leases, which account for a substantial portion of our outstanding lease obligations. The team is in the process of reviewing and analyzing equipment leases, information technology contracts, and other contracts that may have ASC 842 impacts. At this time, we cannot reasonably estimate the impact of adopting the standard. The implementation team reports its findings and progress of the project to management on a frequent basis and to the Audit Committee of the Board of Directors on a quarterly basis. We will adopt the standard as required on September 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Revenue Recognition</w:t>
      </w:r>
    </w:p>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Sales and use taxes collected on behalf of governmental authorities are excluded from revenues. Payment is generally due and received within 60 days from the point of sale or prior to the transfer of control of certain goods and services. No payment terms extend beyond one year, and we apply the practical expedient within ASC 606 to conclude that no significant financing terms exist within our contracts with customers. Allowances for cash discounts to customers are estimated using the expected value method based on historical experience and are recorded as a reduction to sales. Our standard terms and conditions of sale allow for the return of certain products within four months of the date of shipment. We also provide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we record a refund liability for the expected value of future returns primarily based on historical experience, specific notification of pending returns, or based on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our operating results in future periods.</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Total refund liabilities recorded under ASC 606 related to rights of return, cash discounts, and other miscellaneous credits to customers were $36.9 million and $41.2 million as of February 28, 2019 and September 1, 2018, respectively, and are reflected within </w:t>
      </w:r>
      <w:r>
        <w:rPr>
          <w:rFonts w:ascii="Arial" w:cs="Arial" w:eastAsia="Arial" w:hAnsi="Arial"/>
          <w:sz w:val="18"/>
          <w:szCs w:val="18"/>
          <w:i w:val="1"/>
          <w:iCs w:val="1"/>
          <w:color w:val="auto"/>
        </w:rPr>
        <w:t>Other accrued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 Additionally, we record right of return assets for products expected to be returned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 centers, which are included within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Such assets totaled $15.2 million and $16.4 million as of February 28, 2019 and September 1, 2018, respectively.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also maintain one-time or ongoing marketing and trade-promotion programs with certain customers that require us to estimate and accrue the expected costs of such programs. These arrangements include cooperative marketing programs, merchandising of our products, introductory marketing funds for new products, and other trade-promotion activities conducted by the customer. Costs associated with these programs are generally estimated based on the most likely amount expected to be settled based on the context of the individual contract and are reflected within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in accordance with ASC 606, which in most instances requires such costs to be recorded as reductions of revenue. The refund liabilities associated with these programs totaled $32.9 million and $43.9 million as of February 28, 2019 and September 1, 2018,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w:t>
      </w:r>
    </w:p>
    <w:p>
      <w:pPr>
        <w:spacing w:after="0" w:line="11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Costs to obtain and fulfill contracts, such as sales commissions and shipping and handling activities, are short-term in nature and are expensed as incurred.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94% of revenue is generated from short-term contracts with our customers to deliver tangible goods such as luminaires, lighting controllers, controllers for various building systems, power supplies, prismatic skylights, and drivers. We record revenue from these contracts when the customer obtains control of those goods. For sales designated free on board shipping point, control is transferred at the time of shipment. For sales designated free on board destination, customers take control when a product is delivered to the customer’s delivery site.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collect fees associated with training, installation, and technical support services, primarily related to the set up of our lighting solutions. We recognize revenue for these one-time services at the time the service is performed. We also sell certain service-type warranties that extend coverages for products beyond their base warranties. We account for service-type warranties as distinct performance obligations and recognize revenue for these contracts ratably over the life of the additional warranty period. Claims related to service-type warranties are expensed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Software sales include licenses for software, data usage fees, and software as a service arrangements, which generally extend for one year or less. We recognize revenue for software based on the contractual rights provided to a customer, which typically results in the recognition of revenue ratably over the contractual service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Activities</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account for all shipping and handling activities as activities to fulfill the promise to transfer products to our customers. As such, we do not consider shipping and handling activities to be separate performance obligations, and we expense these costs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with Multiple Performance Obligations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small portion (approximately 6%) of our revenue is derived from the combination of any or all of products, professional services, and software licenses. Significant judgment may be required to determine which performance obligations are distinct and should be accounted for separately. We allocate the expected consideration to be collected to each distinct performance obligation based on its standalone selling price. Standalone selling price is generally determined using a cost plus margin valuation when no observable input is available. The amount of consideration allocated to each performance obligation is recognized as revenue in accordance with the timing for products, professional services, and software as described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 collect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prior to the transfer of control of goods or services.</w:t>
      </w:r>
    </w:p>
    <w:p>
      <w:pPr>
        <w:spacing w:after="0" w:line="10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as of February 28, 2019 and September 1, 2018 consists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2019</w:t>
            </w:r>
          </w:p>
        </w:tc>
        <w:tc>
          <w:tcPr>
            <w:tcW w:w="20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1, 2018</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deferred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51"/>
        </w:trPr>
        <w:tc>
          <w:tcPr>
            <w:tcW w:w="7440" w:type="dxa"/>
            <w:vAlign w:val="bottom"/>
          </w:tcPr>
          <w:p>
            <w:pPr>
              <w:ind w:left="40"/>
              <w:spacing w:after="0"/>
              <w:rPr>
                <w:sz w:val="20"/>
                <w:szCs w:val="20"/>
                <w:color w:val="auto"/>
              </w:rPr>
            </w:pPr>
            <w:r>
              <w:rPr>
                <w:rFonts w:ascii="Arial" w:cs="Arial" w:eastAsia="Arial" w:hAnsi="Arial"/>
                <w:sz w:val="16"/>
                <w:szCs w:val="16"/>
                <w:color w:val="auto"/>
              </w:rPr>
              <w:t>Non-current deferred revenues</w:t>
            </w:r>
          </w:p>
        </w:tc>
        <w:tc>
          <w:tcPr>
            <w:tcW w:w="200" w:type="dxa"/>
            <w:vAlign w:val="bottom"/>
          </w:tcPr>
          <w:p>
            <w:pPr>
              <w:spacing w:after="0"/>
              <w:rPr>
                <w:sz w:val="21"/>
                <w:szCs w:val="21"/>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35.0</w:t>
            </w:r>
          </w:p>
        </w:tc>
      </w:tr>
    </w:tbl>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Current deferred revenues primarily consist of software licenses, and to a lesser extent professional service and sales-type warranty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These services are expected to be performed within one year. Non-current deferred revenues primarily consist of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4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Revenue recognized from beginning balances of contract liabilities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February 28, 2019 totaled $3.1 million.</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Unsatisfied performance obligations that do not represent contract liabilities consist primarily of orders for physical goods that have not yet been shipped. This backlog of orders at any given time is affected by various factors, including seasonality, cancellations, sales promotions, production cycle times, and the timing of receipt and shipment of orders, which are usually shipped within a few weeks of order receipt. Accordingly, a comparison of backlog orders from period to period is not necessarily meaningful and may not be indicative of future shipments.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lighting and building management solutions are sold primarily through independent sales agents who cover specific geographic areas and market channels, by internal sales representatives, through consumer retail channels, and directly to large corporate accounts. The following table shows revenue from contracts with customers by sales channel for the three and six months ended February 28, 2019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Six Months Ended</w:t>
            </w:r>
          </w:p>
        </w:tc>
      </w:tr>
      <w:tr>
        <w:trPr>
          <w:trHeight w:val="250"/>
        </w:trPr>
        <w:tc>
          <w:tcPr>
            <w:tcW w:w="6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28, 2019</w:t>
            </w:r>
          </w:p>
        </w:tc>
        <w:tc>
          <w:tcPr>
            <w:tcW w:w="240" w:type="dxa"/>
            <w:vAlign w:val="bottom"/>
          </w:tcPr>
          <w:p>
            <w:pPr>
              <w:spacing w:after="0"/>
              <w:rPr>
                <w:sz w:val="21"/>
                <w:szCs w:val="21"/>
                <w:color w:val="auto"/>
              </w:rPr>
            </w:pPr>
          </w:p>
        </w:tc>
        <w:tc>
          <w:tcPr>
            <w:tcW w:w="192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28, 2019</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Independent sales network</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571.3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1,221.1</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Direct sales network</w:t>
            </w:r>
          </w:p>
        </w:tc>
        <w:tc>
          <w:tcPr>
            <w:tcW w:w="200" w:type="dxa"/>
            <w:vAlign w:val="bottom"/>
          </w:tcPr>
          <w:p>
            <w:pPr>
              <w:spacing w:after="0"/>
              <w:rPr>
                <w:sz w:val="22"/>
                <w:szCs w:val="22"/>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186.3</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sales</w:t>
            </w:r>
          </w:p>
        </w:tc>
        <w:tc>
          <w:tcPr>
            <w:tcW w:w="200" w:type="dxa"/>
            <w:vAlign w:val="bottom"/>
            <w:shd w:val="clear" w:color="auto" w:fill="CCEEFF"/>
          </w:tcPr>
          <w:p>
            <w:pPr>
              <w:spacing w:after="0"/>
              <w:rPr>
                <w:sz w:val="24"/>
                <w:szCs w:val="24"/>
                <w:color w:val="auto"/>
              </w:rPr>
            </w:pPr>
          </w:p>
        </w:tc>
        <w:tc>
          <w:tcPr>
            <w:tcW w:w="1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159.1</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Corporate accounts</w:t>
            </w:r>
          </w:p>
        </w:tc>
        <w:tc>
          <w:tcPr>
            <w:tcW w:w="200" w:type="dxa"/>
            <w:vAlign w:val="bottom"/>
          </w:tcPr>
          <w:p>
            <w:pPr>
              <w:spacing w:after="0"/>
              <w:rPr>
                <w:sz w:val="22"/>
                <w:szCs w:val="22"/>
                <w:color w:val="auto"/>
              </w:rPr>
            </w:pPr>
          </w:p>
        </w:tc>
        <w:tc>
          <w:tcPr>
            <w:tcW w:w="1980" w:type="dxa"/>
            <w:vAlign w:val="bottom"/>
          </w:tcPr>
          <w:p>
            <w:pPr>
              <w:jc w:val="right"/>
              <w:ind w:right="39"/>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127.4</w:t>
            </w:r>
          </w:p>
        </w:tc>
      </w:tr>
      <w:tr>
        <w:trPr>
          <w:trHeight w:val="27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93.1</w:t>
            </w:r>
          </w:p>
        </w:tc>
      </w:tr>
      <w:tr>
        <w:trPr>
          <w:trHeight w:val="240"/>
        </w:trPr>
        <w:tc>
          <w:tcPr>
            <w:tcW w:w="698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854.4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1,787.0</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(“ASC 820”), establishes a three level hierarchy making a distinction between market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cash and cash equivalents (Level 1), which are required to be carried at fair value and measured on a recurring basis, were $232.0 million and $129.1 million as of February 28, 2019 and August 31, 2018, respectively.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and estimated fair values of certain of our financial instruments were as follows at February 28, 2019 and August 31, 2018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5"/>
          </w:tcPr>
          <w:p>
            <w:pPr>
              <w:ind w:left="260"/>
              <w:spacing w:after="0"/>
              <w:rPr>
                <w:sz w:val="20"/>
                <w:szCs w:val="20"/>
                <w:color w:val="auto"/>
              </w:rPr>
            </w:pPr>
            <w:r>
              <w:rPr>
                <w:rFonts w:ascii="Arial" w:cs="Arial" w:eastAsia="Arial" w:hAnsi="Arial"/>
                <w:sz w:val="16"/>
                <w:szCs w:val="16"/>
                <w:b w:val="1"/>
                <w:bCs w:val="1"/>
                <w:color w:val="auto"/>
              </w:rPr>
              <w:t>February 28, 2019</w:t>
            </w:r>
          </w:p>
        </w:tc>
        <w:tc>
          <w:tcPr>
            <w:tcW w:w="140" w:type="dxa"/>
            <w:vAlign w:val="bottom"/>
          </w:tcPr>
          <w:p>
            <w:pPr>
              <w:spacing w:after="0"/>
              <w:rPr>
                <w:sz w:val="19"/>
                <w:szCs w:val="19"/>
                <w:color w:val="auto"/>
              </w:rPr>
            </w:pPr>
          </w:p>
        </w:tc>
        <w:tc>
          <w:tcPr>
            <w:tcW w:w="20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August 31, 2018</w:t>
            </w:r>
          </w:p>
        </w:tc>
      </w:tr>
      <w:tr>
        <w:trPr>
          <w:trHeight w:val="198"/>
        </w:trPr>
        <w:tc>
          <w:tcPr>
            <w:tcW w:w="69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Carrying</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357.0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361.7</w:t>
            </w:r>
          </w:p>
        </w:tc>
      </w:tr>
      <w:tr>
        <w:trPr>
          <w:trHeight w:val="260"/>
        </w:trPr>
        <w:tc>
          <w:tcPr>
            <w:tcW w:w="696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80"/>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r>
    </w:tbl>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industrial revenue bond is carried at the outstanding balance as of the end of the reporting period. The industrial revenue bond is a tax-exempt, variable-rate instrument that resets on a weekly basis; therefore, we estimate that the face amount of the bond approximates fair value as of February 28, 2019 based on bonds of similar terms and maturity (Level 2).</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2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multiple acquisitions, we acquired intangible assets consisting primarily of trademarks and trade names associated with specific products with finite lives, definite-lived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amortization expense of $7.7 million and $6.7 million during the three months ended February 28, 2019 and 2018, respectively, and $15.4 million and $13.3 million during the six months ended February 28, 2019 and 2018, respectively. Amortization expense is generally recorded on a straight-line basis and is expected to be approximately $30.8 million in fiscal 2019, $30.8 million in fiscal 2020, $28.0 million in fiscal 2021, $27.0 million in fiscal 2022, and $25.9 million in fiscal 2023.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during the six months ended February 28, 2019 and 2018 are summarized below (in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2019</w:t>
            </w:r>
          </w:p>
        </w:tc>
        <w:tc>
          <w:tcPr>
            <w:tcW w:w="200" w:type="dxa"/>
            <w:vAlign w:val="bottom"/>
          </w:tcPr>
          <w:p>
            <w:pPr>
              <w:spacing w:after="0"/>
              <w:rPr>
                <w:sz w:val="22"/>
                <w:szCs w:val="22"/>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 2018</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900.9</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Additions from acquired businesses</w:t>
            </w:r>
          </w:p>
        </w:tc>
        <w:tc>
          <w:tcPr>
            <w:tcW w:w="200" w:type="dxa"/>
            <w:vAlign w:val="bottom"/>
          </w:tcPr>
          <w:p>
            <w:pPr>
              <w:spacing w:after="0"/>
              <w:rPr>
                <w:sz w:val="22"/>
                <w:szCs w:val="22"/>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968.5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911.9</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0"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2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or market, and consist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2019</w:t>
            </w:r>
          </w:p>
        </w:tc>
        <w:tc>
          <w:tcPr>
            <w:tcW w:w="240" w:type="dxa"/>
            <w:vAlign w:val="bottom"/>
          </w:tcPr>
          <w:p>
            <w:pPr>
              <w:spacing w:after="0"/>
              <w:rPr>
                <w:sz w:val="19"/>
                <w:szCs w:val="19"/>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2018</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251.8</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448.6</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411.8</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left="60" w:right="140" w:firstLine="2"/>
        <w:spacing w:after="0" w:line="241" w:lineRule="auto"/>
        <w:tabs>
          <w:tab w:leader="none" w:pos="195" w:val="left"/>
        </w:tabs>
        <w:numPr>
          <w:ilvl w:val="0"/>
          <w:numId w:val="1"/>
        </w:numPr>
        <w:rPr>
          <w:rFonts w:ascii="Arial" w:cs="Arial" w:eastAsia="Arial" w:hAnsi="Arial"/>
          <w:sz w:val="16"/>
          <w:szCs w:val="16"/>
          <w:color w:val="auto"/>
          <w:vertAlign w:val="superscript"/>
        </w:rPr>
      </w:pPr>
      <w:r>
        <w:rPr>
          <w:rFonts w:ascii="Arial" w:cs="Arial" w:eastAsia="Arial" w:hAnsi="Arial"/>
          <w:sz w:val="13"/>
          <w:szCs w:val="13"/>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calculates basic earnings per common share and diluted earnings per common share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 and 2018 (in millions, except per share data):</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110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2019</w:t>
            </w:r>
          </w:p>
        </w:tc>
        <w:tc>
          <w:tcPr>
            <w:tcW w:w="20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2018</w:t>
            </w:r>
          </w:p>
        </w:tc>
        <w:tc>
          <w:tcPr>
            <w:tcW w:w="20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2019</w:t>
            </w:r>
          </w:p>
        </w:tc>
        <w:tc>
          <w:tcPr>
            <w:tcW w:w="200" w:type="dxa"/>
            <w:vAlign w:val="bottom"/>
          </w:tcPr>
          <w:p>
            <w:pPr>
              <w:spacing w:after="0"/>
              <w:rPr>
                <w:sz w:val="22"/>
                <w:szCs w:val="22"/>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28, 2018</w:t>
            </w:r>
          </w:p>
        </w:tc>
      </w:tr>
      <w:tr>
        <w:trPr>
          <w:trHeight w:val="243"/>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168.4</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8"/>
        </w:trPr>
        <w:tc>
          <w:tcPr>
            <w:tcW w:w="3760" w:type="dxa"/>
            <w:vAlign w:val="bottom"/>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20" w:type="dxa"/>
            <w:vAlign w:val="bottom"/>
          </w:tcPr>
          <w:p>
            <w:pPr>
              <w:spacing w:after="0"/>
              <w:rPr>
                <w:sz w:val="18"/>
                <w:szCs w:val="18"/>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41.6</w:t>
            </w: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83"/>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w:t>
            </w:r>
          </w:p>
        </w:tc>
      </w:tr>
      <w:tr>
        <w:trPr>
          <w:trHeight w:val="21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stock options and restricted stock awards that were excluded from the diluted earnings per share calculation for the three and six months ended February 28, 2019 and 2018 as the effect of inclusion would have been antidilutive:</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80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720" w:type="dxa"/>
            <w:vAlign w:val="bottom"/>
            <w:tcBorders>
              <w:bottom w:val="single" w:sz="8" w:color="auto"/>
            </w:tcBorders>
            <w:gridSpan w:val="3"/>
          </w:tcPr>
          <w:p>
            <w:pPr>
              <w:jc w:val="right"/>
              <w:ind w:right="114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760" w:type="dxa"/>
            <w:vAlign w:val="bottom"/>
          </w:tcPr>
          <w:p>
            <w:pPr>
              <w:spacing w:after="0"/>
              <w:rPr>
                <w:sz w:val="22"/>
                <w:szCs w:val="22"/>
                <w:color w:val="auto"/>
              </w:rPr>
            </w:pPr>
          </w:p>
        </w:tc>
        <w:tc>
          <w:tcPr>
            <w:tcW w:w="1960" w:type="dxa"/>
            <w:vAlign w:val="bottom"/>
            <w:gridSpan w:val="2"/>
          </w:tcPr>
          <w:p>
            <w:pPr>
              <w:ind w:left="320"/>
              <w:spacing w:after="0"/>
              <w:rPr>
                <w:sz w:val="20"/>
                <w:szCs w:val="20"/>
                <w:color w:val="auto"/>
              </w:rPr>
            </w:pPr>
            <w:r>
              <w:rPr>
                <w:rFonts w:ascii="Arial" w:cs="Arial" w:eastAsia="Arial" w:hAnsi="Arial"/>
                <w:sz w:val="14"/>
                <w:szCs w:val="14"/>
                <w:b w:val="1"/>
                <w:bCs w:val="1"/>
                <w:color w:val="auto"/>
              </w:rPr>
              <w:t>February 28, 2019</w:t>
            </w:r>
          </w:p>
        </w:tc>
        <w:tc>
          <w:tcPr>
            <w:tcW w:w="1940" w:type="dxa"/>
            <w:vAlign w:val="bottom"/>
            <w:gridSpan w:val="2"/>
          </w:tcPr>
          <w:p>
            <w:pPr>
              <w:ind w:left="320"/>
              <w:spacing w:after="0"/>
              <w:rPr>
                <w:sz w:val="20"/>
                <w:szCs w:val="20"/>
                <w:color w:val="auto"/>
              </w:rPr>
            </w:pPr>
            <w:r>
              <w:rPr>
                <w:rFonts w:ascii="Arial" w:cs="Arial" w:eastAsia="Arial" w:hAnsi="Arial"/>
                <w:sz w:val="14"/>
                <w:szCs w:val="14"/>
                <w:b w:val="1"/>
                <w:bCs w:val="1"/>
                <w:color w:val="auto"/>
              </w:rPr>
              <w:t>February 28, 2018</w:t>
            </w:r>
          </w:p>
        </w:tc>
        <w:tc>
          <w:tcPr>
            <w:tcW w:w="1920" w:type="dxa"/>
            <w:vAlign w:val="bottom"/>
            <w:gridSpan w:val="2"/>
          </w:tcPr>
          <w:p>
            <w:pPr>
              <w:ind w:left="300"/>
              <w:spacing w:after="0"/>
              <w:rPr>
                <w:sz w:val="20"/>
                <w:szCs w:val="20"/>
                <w:color w:val="auto"/>
              </w:rPr>
            </w:pPr>
            <w:r>
              <w:rPr>
                <w:rFonts w:ascii="Arial" w:cs="Arial" w:eastAsia="Arial" w:hAnsi="Arial"/>
                <w:sz w:val="14"/>
                <w:szCs w:val="14"/>
                <w:b w:val="1"/>
                <w:bCs w:val="1"/>
                <w:color w:val="auto"/>
              </w:rPr>
              <w:t>February 28, 2019</w:t>
            </w:r>
          </w:p>
        </w:tc>
        <w:tc>
          <w:tcPr>
            <w:tcW w:w="180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28, 2018</w:t>
            </w:r>
          </w:p>
        </w:tc>
      </w:tr>
      <w:tr>
        <w:trPr>
          <w:trHeight w:val="25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8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314,673</w:t>
            </w:r>
          </w:p>
        </w:tc>
        <w:tc>
          <w:tcPr>
            <w:tcW w:w="120" w:type="dxa"/>
            <w:vAlign w:val="bottom"/>
            <w:tcBorders>
              <w:top w:val="single" w:sz="8" w:color="CCEEFF"/>
            </w:tcBorders>
            <w:shd w:val="clear" w:color="auto" w:fill="CCEEFF"/>
          </w:tcPr>
          <w:p>
            <w:pPr>
              <w:spacing w:after="0"/>
              <w:rPr>
                <w:sz w:val="22"/>
                <w:szCs w:val="22"/>
                <w:color w:val="auto"/>
              </w:rPr>
            </w:pPr>
          </w:p>
        </w:tc>
        <w:tc>
          <w:tcPr>
            <w:tcW w:w="1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189,428</w:t>
            </w:r>
          </w:p>
        </w:tc>
        <w:tc>
          <w:tcPr>
            <w:tcW w:w="10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290,360</w:t>
            </w:r>
          </w:p>
        </w:tc>
        <w:tc>
          <w:tcPr>
            <w:tcW w:w="12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176,549</w:t>
            </w:r>
          </w:p>
        </w:tc>
      </w:tr>
      <w:tr>
        <w:trPr>
          <w:trHeight w:val="258"/>
        </w:trPr>
        <w:tc>
          <w:tcPr>
            <w:tcW w:w="3760" w:type="dxa"/>
            <w:vAlign w:val="bottom"/>
          </w:tcPr>
          <w:p>
            <w:pPr>
              <w:ind w:left="20"/>
              <w:spacing w:after="0"/>
              <w:rPr>
                <w:sz w:val="20"/>
                <w:szCs w:val="20"/>
                <w:color w:val="auto"/>
              </w:rPr>
            </w:pPr>
            <w:r>
              <w:rPr>
                <w:rFonts w:ascii="Arial" w:cs="Arial" w:eastAsia="Arial" w:hAnsi="Arial"/>
                <w:sz w:val="14"/>
                <w:szCs w:val="14"/>
                <w:color w:val="auto"/>
              </w:rPr>
              <w:t>Restricted stock awards</w:t>
            </w:r>
          </w:p>
        </w:tc>
        <w:tc>
          <w:tcPr>
            <w:tcW w:w="1840" w:type="dxa"/>
            <w:vAlign w:val="bottom"/>
          </w:tcPr>
          <w:p>
            <w:pPr>
              <w:ind w:left="1200"/>
              <w:spacing w:after="0"/>
              <w:rPr>
                <w:sz w:val="20"/>
                <w:szCs w:val="20"/>
                <w:color w:val="auto"/>
              </w:rPr>
            </w:pPr>
            <w:r>
              <w:rPr>
                <w:rFonts w:ascii="Arial" w:cs="Arial" w:eastAsia="Arial" w:hAnsi="Arial"/>
                <w:sz w:val="14"/>
                <w:szCs w:val="14"/>
                <w:color w:val="auto"/>
              </w:rPr>
              <w:t>189,683</w:t>
            </w:r>
          </w:p>
        </w:tc>
        <w:tc>
          <w:tcPr>
            <w:tcW w:w="120" w:type="dxa"/>
            <w:vAlign w:val="bottom"/>
          </w:tcPr>
          <w:p>
            <w:pPr>
              <w:spacing w:after="0"/>
              <w:rPr>
                <w:sz w:val="22"/>
                <w:szCs w:val="22"/>
                <w:color w:val="auto"/>
              </w:rPr>
            </w:pPr>
          </w:p>
        </w:tc>
        <w:tc>
          <w:tcPr>
            <w:tcW w:w="1840" w:type="dxa"/>
            <w:vAlign w:val="bottom"/>
          </w:tcPr>
          <w:p>
            <w:pPr>
              <w:jc w:val="right"/>
              <w:ind w:right="48"/>
              <w:spacing w:after="0"/>
              <w:rPr>
                <w:sz w:val="20"/>
                <w:szCs w:val="20"/>
                <w:color w:val="auto"/>
              </w:rPr>
            </w:pPr>
            <w:r>
              <w:rPr>
                <w:rFonts w:ascii="Arial" w:cs="Arial" w:eastAsia="Arial" w:hAnsi="Arial"/>
                <w:sz w:val="14"/>
                <w:szCs w:val="14"/>
                <w:color w:val="auto"/>
              </w:rPr>
              <w:t>198,186</w:t>
            </w:r>
          </w:p>
        </w:tc>
        <w:tc>
          <w:tcPr>
            <w:tcW w:w="10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194,232</w:t>
            </w:r>
          </w:p>
        </w:tc>
        <w:tc>
          <w:tcPr>
            <w:tcW w:w="120" w:type="dxa"/>
            <w:vAlign w:val="bottom"/>
          </w:tcPr>
          <w:p>
            <w:pPr>
              <w:spacing w:after="0"/>
              <w:rPr>
                <w:sz w:val="22"/>
                <w:szCs w:val="22"/>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216,746</w:t>
            </w:r>
          </w:p>
        </w:tc>
      </w:tr>
    </w:tbl>
    <w:p>
      <w:pPr>
        <w:spacing w:after="0" w:line="3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discussion of our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Stockholders' Equity</w:t>
      </w:r>
    </w:p>
    <w:p>
      <w:pPr>
        <w:spacing w:after="0" w:line="2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tables summarize changes in the components of stockholders' equity for the three and six months ended February 28, 2019 and 2018 (in millions):</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Common Stock</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Outstanding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36"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2018</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906.3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1,999.2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1,716.8</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ASC 606 adjustments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November 30, 2018</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2,060.6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1,750.9</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66.3</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242"/>
        </w:trPr>
        <w:tc>
          <w:tcPr>
            <w:tcW w:w="4920" w:type="dxa"/>
            <w:vAlign w:val="bottom"/>
          </w:tcPr>
          <w:p>
            <w:pPr>
              <w:ind w:left="40"/>
              <w:spacing w:after="0"/>
              <w:rPr>
                <w:sz w:val="20"/>
                <w:szCs w:val="20"/>
                <w:color w:val="auto"/>
              </w:rPr>
            </w:pPr>
            <w:r>
              <w:rPr>
                <w:rFonts w:ascii="Arial" w:cs="Arial" w:eastAsia="Arial" w:hAnsi="Arial"/>
                <w:sz w:val="13"/>
                <w:szCs w:val="13"/>
                <w:color w:val="auto"/>
              </w:rPr>
              <w:t>Balance, February 28, 2019</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39.7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917.5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2,121.6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1,801.8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920" w:type="dxa"/>
            <w:vAlign w:val="bottom"/>
          </w:tcPr>
          <w:p>
            <w:pPr>
              <w:spacing w:after="0"/>
              <w:rPr>
                <w:sz w:val="24"/>
                <w:szCs w:val="2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6"/>
              </w:rPr>
              <w:t>Common Stock</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9"/>
              </w:rPr>
              <w:t>Outstanding</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9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100"/>
              <w:spacing w:after="0" w:line="127"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4"/>
              </w:rPr>
              <w:t>Treasury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2017</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881.0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(776.1)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1,665.6</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249"/>
        </w:trPr>
        <w:tc>
          <w:tcPr>
            <w:tcW w:w="4920" w:type="dxa"/>
            <w:vAlign w:val="bottom"/>
          </w:tcPr>
          <w:p>
            <w:pPr>
              <w:ind w:left="40"/>
              <w:spacing w:after="0"/>
              <w:rPr>
                <w:sz w:val="20"/>
                <w:szCs w:val="20"/>
                <w:color w:val="auto"/>
              </w:rPr>
            </w:pPr>
            <w:r>
              <w:rPr>
                <w:rFonts w:ascii="Arial" w:cs="Arial" w:eastAsia="Arial" w:hAnsi="Arial"/>
                <w:sz w:val="13"/>
                <w:szCs w:val="13"/>
                <w:color w:val="auto"/>
              </w:rPr>
              <w:t>Balance, November 30, 2017</w:t>
            </w:r>
          </w:p>
        </w:tc>
        <w:tc>
          <w:tcPr>
            <w:tcW w:w="7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41.9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884.3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1,725.9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1,726.1</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xml:space="preserve">Reclassification of stranded tax effects of the TCJA </w:t>
            </w:r>
            <w:r>
              <w:rPr>
                <w:rFonts w:ascii="Arial" w:cs="Arial" w:eastAsia="Arial" w:hAnsi="Arial"/>
                <w:sz w:val="8"/>
                <w:szCs w:val="8"/>
                <w:color w:val="auto"/>
              </w:rPr>
              <w:t>(1)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(194.3)</w:t>
            </w:r>
          </w:p>
        </w:tc>
        <w:tc>
          <w:tcPr>
            <w:tcW w:w="0" w:type="dxa"/>
            <w:vAlign w:val="bottom"/>
          </w:tcPr>
          <w:p>
            <w:pPr>
              <w:spacing w:after="0"/>
              <w:rPr>
                <w:sz w:val="1"/>
                <w:szCs w:val="1"/>
                <w:color w:val="auto"/>
              </w:rPr>
            </w:pPr>
          </w:p>
        </w:tc>
      </w:tr>
      <w:tr>
        <w:trPr>
          <w:trHeight w:val="242"/>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February 28, 2018</w:t>
            </w:r>
          </w:p>
        </w:tc>
        <w:tc>
          <w:tcPr>
            <w:tcW w:w="7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892.5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1,635.8</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footnote of the </w:t>
      </w:r>
      <w:r>
        <w:rPr>
          <w:rFonts w:ascii="Arial" w:cs="Arial" w:eastAsia="Arial" w:hAnsi="Arial"/>
          <w:sz w:val="13"/>
          <w:szCs w:val="13"/>
          <w:i w:val="1"/>
          <w:iCs w:val="1"/>
          <w:color w:val="auto"/>
        </w:rPr>
        <w:t>Notes to Consolidated Financial Statements</w:t>
      </w:r>
      <w:r>
        <w:rPr>
          <w:rFonts w:ascii="Arial" w:cs="Arial" w:eastAsia="Arial" w:hAnsi="Arial"/>
          <w:sz w:val="13"/>
          <w:szCs w:val="13"/>
          <w:color w:val="auto"/>
        </w:rPr>
        <w:t xml:space="preserve"> within our Form 10-K for additional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Comprehensive Income</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Other comprehensive income (loss) includes foreign currency translation and pension adjustments. The before tax amounts of the defined benef</w:t>
      </w:r>
    </w:p>
    <w:p>
      <w:pPr>
        <w:sectPr>
          <w:pgSz w:w="11900" w:h="16838" w:orient="portrait"/>
          <w:cols w:equalWidth="0" w:num="1">
            <w:col w:w="11420"/>
          </w:cols>
          <w:pgMar w:left="240" w:top="140" w:right="239" w:bottom="584"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40" w:right="239" w:bottom="584"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it pension plan items reclassified from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are included 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See the</w:t>
      </w:r>
      <w:r>
        <w:rPr>
          <w:rFonts w:ascii="Arial" w:cs="Arial" w:eastAsia="Arial" w:hAnsi="Arial"/>
          <w:sz w:val="18"/>
          <w:szCs w:val="18"/>
          <w:i w:val="1"/>
          <w:iCs w:val="1"/>
          <w:color w:val="auto"/>
        </w:rPr>
        <w:t xml:space="preserve"> Pension Plans </w:t>
      </w:r>
      <w:r>
        <w:rPr>
          <w:rFonts w:ascii="Arial" w:cs="Arial" w:eastAsia="Arial" w:hAnsi="Arial"/>
          <w:sz w:val="18"/>
          <w:szCs w:val="18"/>
          <w:color w:val="auto"/>
        </w:rPr>
        <w:t>footnote within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details.</w:t>
      </w:r>
    </w:p>
    <w:p>
      <w:pPr>
        <w:spacing w:after="0" w:line="10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during the six months ended February 28, 2019 and 2018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Defined Benefit</w:t>
            </w:r>
          </w:p>
        </w:tc>
        <w:tc>
          <w:tcPr>
            <w:tcW w:w="12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Comprehensive Loss</w:t>
            </w:r>
          </w:p>
        </w:tc>
      </w:tr>
      <w:tr>
        <w:trPr>
          <w:trHeight w:val="196"/>
        </w:trPr>
        <w:tc>
          <w:tcPr>
            <w:tcW w:w="6040" w:type="dxa"/>
            <w:vAlign w:val="bottom"/>
          </w:tcPr>
          <w:p>
            <w:pPr>
              <w:spacing w:after="0"/>
              <w:rPr>
                <w:sz w:val="17"/>
                <w:szCs w:val="17"/>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 Currency Items</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7"/>
                <w:szCs w:val="17"/>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r>
      <w:tr>
        <w:trPr>
          <w:trHeight w:val="256"/>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2018</w:t>
            </w:r>
          </w:p>
        </w:tc>
        <w:tc>
          <w:tcPr>
            <w:tcW w:w="70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color w:val="auto"/>
              </w:rPr>
              <w:t>Other comprehensive (loss) income before reclassifications</w:t>
            </w:r>
          </w:p>
        </w:tc>
        <w:tc>
          <w:tcPr>
            <w:tcW w:w="70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accumulated other comprehensive loss</w:t>
            </w:r>
          </w:p>
        </w:tc>
        <w:tc>
          <w:tcPr>
            <w:tcW w:w="7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r>
      <w:tr>
        <w:trPr>
          <w:trHeight w:val="250"/>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7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r>
      <w:tr>
        <w:trPr>
          <w:trHeight w:val="243"/>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February 28, 2019</w:t>
            </w:r>
          </w:p>
        </w:tc>
        <w:tc>
          <w:tcPr>
            <w:tcW w:w="70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w:t>
            </w:r>
          </w:p>
        </w:tc>
      </w:tr>
      <w:tr>
        <w:trPr>
          <w:trHeight w:val="20"/>
        </w:trPr>
        <w:tc>
          <w:tcPr>
            <w:tcW w:w="6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2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Defined Benefit</w:t>
            </w:r>
          </w:p>
        </w:tc>
        <w:tc>
          <w:tcPr>
            <w:tcW w:w="120" w:type="dxa"/>
            <w:vAlign w:val="bottom"/>
          </w:tcPr>
          <w:p>
            <w:pPr>
              <w:spacing w:after="0"/>
              <w:rPr>
                <w:sz w:val="14"/>
                <w:szCs w:val="14"/>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Foreign Currency Items</w:t>
            </w:r>
          </w:p>
        </w:tc>
        <w:tc>
          <w:tcPr>
            <w:tcW w:w="22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7"/>
                <w:szCs w:val="17"/>
                <w:color w:val="auto"/>
              </w:rPr>
            </w:pPr>
          </w:p>
        </w:tc>
        <w:tc>
          <w:tcPr>
            <w:tcW w:w="158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August 31, 2017</w:t>
            </w:r>
          </w:p>
        </w:tc>
        <w:tc>
          <w:tcPr>
            <w:tcW w:w="70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color w:val="auto"/>
              </w:rPr>
              <w:t>Other comprehensive loss before reclassifications</w:t>
            </w:r>
          </w:p>
        </w:tc>
        <w:tc>
          <w:tcPr>
            <w:tcW w:w="700" w:type="dxa"/>
            <w:vAlign w:val="bottom"/>
          </w:tcPr>
          <w:p>
            <w:pPr>
              <w:spacing w:after="0"/>
              <w:rPr>
                <w:sz w:val="22"/>
                <w:szCs w:val="22"/>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accumulated other comprehensive loss</w:t>
            </w:r>
          </w:p>
        </w:tc>
        <w:tc>
          <w:tcPr>
            <w:tcW w:w="7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50"/>
        </w:trPr>
        <w:tc>
          <w:tcPr>
            <w:tcW w:w="6040" w:type="dxa"/>
            <w:vAlign w:val="bottom"/>
          </w:tcPr>
          <w:p>
            <w:pPr>
              <w:ind w:left="40"/>
              <w:spacing w:after="0"/>
              <w:rPr>
                <w:sz w:val="20"/>
                <w:szCs w:val="20"/>
                <w:color w:val="auto"/>
              </w:rPr>
            </w:pPr>
            <w:r>
              <w:rPr>
                <w:rFonts w:ascii="Arial" w:cs="Arial" w:eastAsia="Arial" w:hAnsi="Arial"/>
                <w:sz w:val="14"/>
                <w:szCs w:val="14"/>
                <w:color w:val="auto"/>
              </w:rPr>
              <w:t>Net current period other comprehensive (loss) income</w:t>
            </w:r>
          </w:p>
        </w:tc>
        <w:tc>
          <w:tcPr>
            <w:tcW w:w="7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Reclassification of stranded tax effects of TCJA </w:t>
            </w:r>
            <w:r>
              <w:rPr>
                <w:rFonts w:ascii="Arial" w:cs="Arial" w:eastAsia="Arial" w:hAnsi="Arial"/>
                <w:sz w:val="17"/>
                <w:szCs w:val="17"/>
                <w:color w:val="auto"/>
                <w:vertAlign w:val="superscript"/>
              </w:rPr>
              <w:t>(1)</w:t>
            </w:r>
          </w:p>
        </w:tc>
        <w:tc>
          <w:tcPr>
            <w:tcW w:w="7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10"/>
        </w:trPr>
        <w:tc>
          <w:tcPr>
            <w:tcW w:w="6040" w:type="dxa"/>
            <w:vAlign w:val="bottom"/>
          </w:tcPr>
          <w:p>
            <w:pPr>
              <w:ind w:left="40"/>
              <w:spacing w:after="0"/>
              <w:rPr>
                <w:sz w:val="20"/>
                <w:szCs w:val="20"/>
                <w:color w:val="auto"/>
              </w:rPr>
            </w:pPr>
            <w:r>
              <w:rPr>
                <w:rFonts w:ascii="Arial" w:cs="Arial" w:eastAsia="Arial" w:hAnsi="Arial"/>
                <w:sz w:val="14"/>
                <w:szCs w:val="14"/>
                <w:color w:val="auto"/>
              </w:rPr>
              <w:t>Balance at February 28, 2018</w:t>
            </w:r>
          </w:p>
        </w:tc>
        <w:tc>
          <w:tcPr>
            <w:tcW w:w="7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footnote of the </w:t>
      </w:r>
      <w:r>
        <w:rPr>
          <w:rFonts w:ascii="Arial" w:cs="Arial" w:eastAsia="Arial" w:hAnsi="Arial"/>
          <w:sz w:val="13"/>
          <w:szCs w:val="13"/>
          <w:i w:val="1"/>
          <w:iCs w:val="1"/>
          <w:color w:val="auto"/>
        </w:rPr>
        <w:t>Notes to Consolidated Financial Statements</w:t>
      </w:r>
      <w:r>
        <w:rPr>
          <w:rFonts w:ascii="Arial" w:cs="Arial" w:eastAsia="Arial" w:hAnsi="Arial"/>
          <w:sz w:val="13"/>
          <w:szCs w:val="13"/>
          <w:color w:val="auto"/>
        </w:rPr>
        <w:t xml:space="preserve"> within our Form 10-K for additional details.</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for the three and six months ended February 28, 2019 and 2018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6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February 28, 2019</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2018</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75"/>
        </w:trPr>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4680" w:type="dxa"/>
            <w:vAlign w:val="bottom"/>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r>
      <w:tr>
        <w:trPr>
          <w:trHeight w:val="270"/>
        </w:trPr>
        <w:tc>
          <w:tcPr>
            <w:tcW w:w="4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r>
      <w:tr>
        <w:trPr>
          <w:trHeight w:val="250"/>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6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February 28, 2019</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2018</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75"/>
        </w:trPr>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Net of Tax</w:t>
            </w:r>
          </w:p>
        </w:tc>
      </w:tr>
      <w:tr>
        <w:trPr>
          <w:trHeight w:val="196"/>
        </w:trPr>
        <w:tc>
          <w:tcPr>
            <w:tcW w:w="46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r>
      <w:tr>
        <w:trPr>
          <w:trHeight w:val="256"/>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64"/>
        </w:trPr>
        <w:tc>
          <w:tcPr>
            <w:tcW w:w="46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 or loss</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4680" w:type="dxa"/>
            <w:vAlign w:val="bottom"/>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r>
      <w:tr>
        <w:trPr>
          <w:trHeight w:val="264"/>
        </w:trPr>
        <w:tc>
          <w:tcPr>
            <w:tcW w:w="4680" w:type="dxa"/>
            <w:vAlign w:val="bottom"/>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w:t>
            </w:r>
          </w:p>
        </w:tc>
      </w:tr>
      <w:tr>
        <w:trPr>
          <w:trHeight w:val="270"/>
        </w:trPr>
        <w:tc>
          <w:tcPr>
            <w:tcW w:w="46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Settlement losses</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Debt and Lines of Credit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$400.0 million unsecured delayed draw term loan facility (“Term Loan Facility”). We had no borrowings outstanding under the current Revolving Credit Facility or Term Loan Facility as of February 28, 2019. Additionally, we had no borrowings outstanding under our previous credit facility as of August 31, 2018.</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applicable margin is based on our leverage ratio, as defined in the Credit Agreement, with such margin ranging from 1.000% to 1.375%. Base rate advances bear interest at an alternate base rate plus an applicable margin. The base rate applicable margin is based on our leverage ratio, as defined in the Credit Agreement, with such margin ranging from 0.000% to 0.375%. The Term Loan Facility allows for borrowings to be drawn over a one-year period ending June 29,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our option, in each case plus an applicable margin. Eurocurrency Rate advances can be denominated in a variety of currencies, including U.S. Dollars, and amounts outstanding bear interest at a periodic fixed rate equal to the LIBOR or screen rate for the applicable currency plus an applicable margin. The Eurocurrency applicable margin is based on our leverage ratio, as defined in the Credit Agreement, with such margin ranging from 0.875% to 1.250%. Base Rate advances bear interest at an alternate base rate plus an applicable margin. The base rate applicable margin is based on our leverage ratio, as defined in the Credit Agreement, with such margin ranging from 0.0% to 0.25%.</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annual facility fees. The annual facility fee is payable quarterly, in arrears, and is determined by our leverage ratio as defined in the Credit Agreement. The facility fee ranges from 0.125% to 0.25% of the aggregate $800.0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were in compliance with all financial covenants under the Credit Agreement as of February 28, 2019. At February 28, 2019, we had additional borrowing capacity under the Credit Agreement of $794.7 million under the most restrictive covenant in effect at the time, which represents the full amount of the Revolving Credit Facility and the Term Loan Facility less the outstanding letters of credit of $5.3 million issued under the Revolving Credit Facility. As of February 28, 2019, we had outstanding letters of credit totaling $9.5 million, primarily for securing collateral requirements under our casualty insurance programs and for providing credit support for our industrial revenue bond (not an outstanding amount under the Revolving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At February 28, 2019, we had $ 350.0 million of publicly-traded, senior unsecured notes outstanding at a 6% interest rate that are scheduled to mature in December 2019 (the “Unsecured Notes”). Although the Unsecured Notes will mature within one year from February 28, 2019, we have the ability and intent to refinance these borrowings using availability under our Term Loan Facility, subject to satisfying the applicable conditions precedent. Currently, we plan to refinance the Unsecured Notes in full with borrowings under the Term Loan Facility, of which $343.3 million of the current carrying value would be due more than one year from the refinancing date. As such, this amount is reflected within </w:t>
      </w: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as of February 28, 2019. We also had $4.0 million of tax-exempt industrial revenue bonds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scheduled to mature in 2021 and $3.0 million outstanding under fixed-rate bank loans outstanding at February 28, 2019. Further discussion of our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obligations in connection with non-qualified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and Revolving Credit Facility borrowings, partially offset by interest income earned on cash and cash equivalents.</w:t>
      </w:r>
    </w:p>
    <w:p>
      <w:pPr>
        <w:spacing w:after="0" w:line="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summarizes the components of interest expense, net for the three and six months ended February 28, 2019 and 2018 (in millions):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Six Months Ended</w:t>
            </w:r>
          </w:p>
        </w:tc>
      </w:tr>
      <w:tr>
        <w:trPr>
          <w:trHeight w:val="250"/>
        </w:trPr>
        <w:tc>
          <w:tcPr>
            <w:tcW w:w="3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2019</w:t>
            </w:r>
          </w:p>
        </w:tc>
        <w:tc>
          <w:tcPr>
            <w:tcW w:w="200" w:type="dxa"/>
            <w:vAlign w:val="bottom"/>
          </w:tcPr>
          <w:p>
            <w:pPr>
              <w:spacing w:after="0"/>
              <w:rPr>
                <w:sz w:val="21"/>
                <w:szCs w:val="21"/>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2018</w:t>
            </w:r>
          </w:p>
        </w:tc>
        <w:tc>
          <w:tcPr>
            <w:tcW w:w="200" w:type="dxa"/>
            <w:vAlign w:val="bottom"/>
          </w:tcPr>
          <w:p>
            <w:pPr>
              <w:spacing w:after="0"/>
              <w:rPr>
                <w:sz w:val="21"/>
                <w:szCs w:val="21"/>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28, 2019</w:t>
            </w:r>
          </w:p>
        </w:tc>
        <w:tc>
          <w:tcPr>
            <w:tcW w:w="200" w:type="dxa"/>
            <w:vAlign w:val="bottom"/>
          </w:tcPr>
          <w:p>
            <w:pPr>
              <w:spacing w:after="0"/>
              <w:rPr>
                <w:sz w:val="21"/>
                <w:szCs w:val="21"/>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 2018</w:t>
            </w:r>
          </w:p>
        </w:tc>
      </w:tr>
      <w:tr>
        <w:trPr>
          <w:trHeight w:val="257"/>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r>
      <w:tr>
        <w:trPr>
          <w:trHeight w:val="264"/>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4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r>
      <w:tr>
        <w:trPr>
          <w:trHeight w:val="20"/>
        </w:trPr>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reserves and claims, legal and contractual issues, environmental laws and regulations, guarantees, and indemnities. We establish reserves when the associated costs related to uncertainties or guarantees become probable and can be reasonably estimated. For the period ended February 28, 2019, no material changes have occurred in our reserves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generally have a standard warranty term of five years that assure our products comply with agreed upon specifications. We record an allowance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allowances may be required, which could have a material adverse impact on our results of operations and cash flows.</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Reserves for these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The changes in the reserves for product warranty and recall costs during the six months ended February 28,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are summarized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7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2019</w:t>
            </w:r>
          </w:p>
        </w:tc>
        <w:tc>
          <w:tcPr>
            <w:tcW w:w="240" w:type="dxa"/>
            <w:vAlign w:val="bottom"/>
          </w:tcPr>
          <w:p>
            <w:pPr>
              <w:spacing w:after="0"/>
              <w:rPr>
                <w:sz w:val="22"/>
                <w:szCs w:val="22"/>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28, 2018</w:t>
            </w:r>
          </w:p>
        </w:tc>
      </w:tr>
      <w:tr>
        <w:trPr>
          <w:trHeight w:val="257"/>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240" w:type="dxa"/>
            <w:vAlign w:val="bottom"/>
          </w:tcPr>
          <w:p>
            <w:pPr>
              <w:spacing w:after="0"/>
              <w:rPr>
                <w:sz w:val="22"/>
                <w:szCs w:val="22"/>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15.1</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7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ASC 606 adjustments </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right="60" w:firstLine="8"/>
        <w:spacing w:after="0" w:line="281" w:lineRule="auto"/>
        <w:tabs>
          <w:tab w:leader="none" w:pos="135"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 xml:space="preserve">Certain service-type warranties accounted for as contingent liabilities prior to the adoption of ASC 606 are now reflected as contract liabilities effective September 1, 2018. Refer to the </w:t>
      </w:r>
      <w:r>
        <w:rPr>
          <w:rFonts w:ascii="Arial" w:cs="Arial" w:eastAsia="Arial" w:hAnsi="Arial"/>
          <w:sz w:val="12"/>
          <w:szCs w:val="12"/>
          <w:i w:val="1"/>
          <w:iCs w:val="1"/>
          <w:color w:val="auto"/>
        </w:rPr>
        <w:t>New Accounting Pronouncements</w:t>
      </w:r>
      <w:r>
        <w:rPr>
          <w:rFonts w:ascii="Arial" w:cs="Arial" w:eastAsia="Arial" w:hAnsi="Arial"/>
          <w:sz w:val="12"/>
          <w:szCs w:val="12"/>
          <w:color w:val="auto"/>
        </w:rPr>
        <w:t xml:space="preserve"> and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footnotes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 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the Company and certain of our current officers and one former executive violated the federal securities laws by making false or misleading statements and/or omitting to disclose material adverse facts that (i) concealed known trends negatively impacting sales of the Company’s products and (ii) overstated our ability to achieve profitable sales growth. The plaintiffs seek class certification, unspecified monetary damages, costs, and attorneys’ fees. We dispute the allegations and intend to vigorously defend against the claims in the complaints. We have filed a motion to dismiss the Consolidated Complaint.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maintain Director and Officer insurance policies that may cover any liability arising out of this litigation up to the policies’ limits, subject to a self-insured retention and other terms and conditions.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any such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reserves for legal claims when associated costs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course of routine reviews of import and export activity, we previously determined that we misclassified and/or inaccurately valued certain international shipments of products. We are conducting a detailed review of this activity to determine the extent of any liabilities and implementing the appropriate remedial measures. At this time, we are unable to determine the likelihood or amount of loss, if any, associated with these shipments.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including stock options and restricted shares (all part of our equity incentive plan), and share units representing certain deferrals into our director deferred compensation plan or our supplemental deferred savings plan.</w:t>
      </w:r>
    </w:p>
    <w:p>
      <w:pPr>
        <w:spacing w:after="0" w:line="10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presents share-based payment expense and new shares issued upon exercise of stock options for the three and six months ended February 28, 2019 and 2018 (in millions, except shares):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50"/>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2019</w:t>
            </w:r>
          </w:p>
        </w:tc>
        <w:tc>
          <w:tcPr>
            <w:tcW w:w="180" w:type="dxa"/>
            <w:vAlign w:val="bottom"/>
          </w:tcPr>
          <w:p>
            <w:pPr>
              <w:spacing w:after="0"/>
              <w:rPr>
                <w:sz w:val="21"/>
                <w:szCs w:val="21"/>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2018</w:t>
            </w:r>
          </w:p>
        </w:tc>
        <w:tc>
          <w:tcPr>
            <w:tcW w:w="200" w:type="dxa"/>
            <w:vAlign w:val="bottom"/>
          </w:tcPr>
          <w:p>
            <w:pPr>
              <w:spacing w:after="0"/>
              <w:rPr>
                <w:sz w:val="21"/>
                <w:szCs w:val="21"/>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2019</w:t>
            </w:r>
          </w:p>
        </w:tc>
        <w:tc>
          <w:tcPr>
            <w:tcW w:w="200" w:type="dxa"/>
            <w:vAlign w:val="bottom"/>
          </w:tcPr>
          <w:p>
            <w:pPr>
              <w:spacing w:after="0"/>
              <w:rPr>
                <w:sz w:val="21"/>
                <w:szCs w:val="21"/>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 2018</w:t>
            </w:r>
          </w:p>
        </w:tc>
      </w:tr>
      <w:tr>
        <w:trPr>
          <w:trHeight w:val="25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payment expense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Shares issued from option exercises</w:t>
            </w:r>
          </w:p>
        </w:tc>
        <w:tc>
          <w:tcPr>
            <w:tcW w:w="200" w:type="dxa"/>
            <w:vAlign w:val="bottom"/>
          </w:tcPr>
          <w:p>
            <w:pPr>
              <w:spacing w:after="0"/>
              <w:rPr>
                <w:sz w:val="21"/>
                <w:szCs w:val="21"/>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3,208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9,364</w:t>
            </w:r>
          </w:p>
        </w:tc>
      </w:tr>
    </w:tbl>
    <w:p>
      <w:pPr>
        <w:spacing w:after="0" w:line="3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each of these award programs and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6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annual contributions to the plans to the extent indicated by actuarial valuations and statutory requirements. Plan assets are invested primarily in equity and fixed income securities.</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during the three and six months ended February 28, 2019 and 2018 included the following components before tax (in millions):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37"/>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2019</w:t>
            </w:r>
          </w:p>
        </w:tc>
        <w:tc>
          <w:tcPr>
            <w:tcW w:w="18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2018</w:t>
            </w: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2019</w:t>
            </w:r>
          </w:p>
        </w:tc>
        <w:tc>
          <w:tcPr>
            <w:tcW w:w="200" w:type="dxa"/>
            <w:vAlign w:val="bottom"/>
          </w:tcPr>
          <w:p>
            <w:pPr>
              <w:spacing w:after="0"/>
              <w:rPr>
                <w:sz w:val="20"/>
                <w:szCs w:val="20"/>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 2018</w:t>
            </w:r>
          </w:p>
        </w:tc>
      </w:tr>
      <w:tr>
        <w:trPr>
          <w:trHeight w:val="25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0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loss</w:t>
            </w:r>
          </w:p>
        </w:tc>
        <w:tc>
          <w:tcPr>
            <w:tcW w:w="20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Recognized actuarial loss</w:t>
            </w: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r>
      <w:tr>
        <w:trPr>
          <w:trHeight w:val="24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pension cost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w:t>
      </w:r>
    </w:p>
    <w:p>
      <w:pPr>
        <w:spacing w:after="0" w:line="2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fiscal 2019, we recognized pre-tax special charges of $1.4 million. These charges primarily related to move costs associated with the previously announced transfer of activities from a planned facility closure. During fiscal 2018, we recognized special charges consisting primarily of severance and employee-related benefit costs for the elimination of certain operations and positions following a realignment of our operating structure, including positions within various selling, distribution, and administrative (“SD&amp;A”) departments. Further details regarding our special charges are included within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Costs reflected within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the three and six months ended February 28, 2019 and 2018 are summarized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Six Months Ended</w:t>
            </w:r>
          </w:p>
        </w:tc>
      </w:tr>
      <w:tr>
        <w:trPr>
          <w:trHeight w:val="264"/>
        </w:trPr>
        <w:tc>
          <w:tcPr>
            <w:tcW w:w="3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 2019</w:t>
            </w:r>
          </w:p>
        </w:tc>
        <w:tc>
          <w:tcPr>
            <w:tcW w:w="16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 2018</w:t>
            </w:r>
          </w:p>
        </w:tc>
        <w:tc>
          <w:tcPr>
            <w:tcW w:w="18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28, 2019</w:t>
            </w:r>
          </w:p>
        </w:tc>
        <w:tc>
          <w:tcPr>
            <w:tcW w:w="16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 2018</w:t>
            </w:r>
          </w:p>
        </w:tc>
      </w:tr>
      <w:tr>
        <w:trPr>
          <w:trHeight w:val="257"/>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Move and other restructuring costs</w:t>
            </w:r>
          </w:p>
        </w:tc>
        <w:tc>
          <w:tcPr>
            <w:tcW w:w="18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special charges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of February 28, 2019, remaining restructuring reserves were $4.6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related to these programs during the six months ended February 28, 2019 are summarized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millions):</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6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2018 Actions</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2017 Actions</w:t>
            </w: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7"/>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60"/>
        </w:trPr>
        <w:tc>
          <w:tcPr>
            <w:tcW w:w="6480" w:type="dxa"/>
            <w:vAlign w:val="bottom"/>
          </w:tcPr>
          <w:p>
            <w:pPr>
              <w:ind w:left="20"/>
              <w:spacing w:after="0"/>
              <w:rPr>
                <w:sz w:val="20"/>
                <w:szCs w:val="20"/>
                <w:color w:val="auto"/>
              </w:rPr>
            </w:pPr>
            <w:r>
              <w:rPr>
                <w:rFonts w:ascii="Arial" w:cs="Arial" w:eastAsia="Arial" w:hAnsi="Arial"/>
                <w:sz w:val="16"/>
                <w:szCs w:val="16"/>
                <w:color w:val="auto"/>
              </w:rPr>
              <w:t>Severance costs</w:t>
            </w:r>
          </w:p>
        </w:tc>
        <w:tc>
          <w:tcPr>
            <w:tcW w:w="1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7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made during the period</w:t>
            </w:r>
          </w:p>
        </w:tc>
        <w:tc>
          <w:tcPr>
            <w:tcW w:w="1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40"/>
        </w:trPr>
        <w:tc>
          <w:tcPr>
            <w:tcW w:w="6480" w:type="dxa"/>
            <w:vAlign w:val="bottom"/>
          </w:tcPr>
          <w:p>
            <w:pPr>
              <w:ind w:left="20"/>
              <w:spacing w:after="0"/>
              <w:rPr>
                <w:sz w:val="20"/>
                <w:szCs w:val="20"/>
                <w:color w:val="auto"/>
              </w:rPr>
            </w:pPr>
            <w:r>
              <w:rPr>
                <w:rFonts w:ascii="Arial" w:cs="Arial" w:eastAsia="Arial" w:hAnsi="Arial"/>
                <w:sz w:val="16"/>
                <w:szCs w:val="16"/>
                <w:color w:val="auto"/>
              </w:rPr>
              <w:t>Balance at February 28,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2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second quarter of fiscal 2019, we finalized our accounting for the tax effects of the Tax Cuts and Jobs Act (“TCJA”) in accordance with Staff Accounting Bulletin No. 118 (“SAB 118”). As a result, we recorded a net tax benefit of $0.9 million related to TCJA impacts including, but not limited to, our one-time transition tax, deferred income taxes, and executive compensation.</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Previously, we asserted that all undistributed earnings and original investments in foreign subsidiaries were indefinitely reinvested and, therefore, had not recorded any deferred taxes related to any outside basis differences associated with our foreign subsidiaries. As of February 28, 2019, the estimated undistributed earnings from foreign subsidiaries</w:t>
      </w:r>
    </w:p>
    <w:p>
      <w:pPr>
        <w:sectPr>
          <w:pgSz w:w="11900" w:h="16838" w:orient="portrait"/>
          <w:cols w:equalWidth="0" w:num="1">
            <w:col w:w="11420"/>
          </w:cols>
          <w:pgMar w:left="240" w:top="14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40"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was $78.3 million. A significant portion of these earnings was subject to U.S. federal taxation in fiscal 2018 as part of the one-time transition tax. We are no longer asserting indefinite reinvestment on the portion of our unremitted earnings that were previously subject to U.S. federal taxation with the one-time transition tax. Accordingly, we recognized a deferred income tax liability of $0.6 million for certain foreign withholding taxes and U.S. state taxes during the current quarter. With respect to unremitted earnings and original investments in foreign subsidiaries where we are continuing to assert indefinite reinvestment, any future remittances could be subject to additional foreign withholding taxes, U.S. state taxes, and certain tax impacts relating to foreign currency exchange effects. It is not practicable to estimate the amount of any unrecognized tax effects on these reinvested earnings and original investments in foreign subsidiaries.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elected to account for the tax on Global Intangible Low-Taxed Income (“GILTI”) as a period cost and, therefore, do not record deferred taxes related to GILTI on our foreign subsidiaries.</w:t>
      </w:r>
    </w:p>
    <w:p>
      <w:pPr>
        <w:spacing w:after="0" w:line="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Further details regarding the effects of the TCJA are included within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Supplemental Guarantor Condensed Consolidating Financial Statements</w:t>
      </w: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December 2009, ABL, the 100% owned and principal operating subsidiary of Acuity Brands, refinanced the then current outstanding debt through the issuance of the Unsecured Notes.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information.</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accordance with the registration rights agreement by and between ABL and the guarantors to the Unsecured Notes and the initial purchasers of the Unsecured Notes, ABL and the guarantors to the Notes filed a registration statement with the SEC for an offer to exchange the Unsecured Notes for an issue of SEC-registered notes with identical terms. Due to the filing of the registration statement and offer to exchange, we determined the need for compliance with Rule 3-10 of SEC Regulation S-X (“Rule 3-10”). In lieu of providing separate audited financial statements for ABL and ABL IP Holding, we have included the accompanying Condensed Consolidating Financial Statements in accordance with Rule 3-10(d) of SEC Regulation S-X since the Unsecured Notes are fully and unconditionally guaranteed by Acuity Brands and ABL IP Holding. The column marked “Parent” represents the financial condition, results of operations, and cash flows of Acuity Brands. The column marked “Subsidiary Issuer” represents the financial condition, results of operations, and cash flows of ABL. The column entitled “Subsidiary Guarantor” represents the financial condition, results of operations, and cash flows of ABL IP Holding. Lastly, the column listed as “Non-Guarantors” includes the financial condition, results of operations, and cash flows of the non-guarantor direct and indirect subsidiaries of Acuity Brands, which consist primarily of foreign subsidiaries. Consolidating adjustments were necessary in order to arrive at consolidated amounts. In addition, the equity method of accounting was used to calculate investments in subsidiaries. Accordingly, this basis of presentation is not intended to present the Company's financial condition, results of operations, or cash flows for any purpose other than to comply with the specific requirements for parent-subsidiary guarantor reporting.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February 28, 2019</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232.0</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450.9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520.1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413.0</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29.9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884.0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176.1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1,232.6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284.2</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278.8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482.4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491.4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1,907.8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2,644.2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408.2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561.6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2,991.8</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325.3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351.1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226.3</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507.7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584.4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347.1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349.7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89.8</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166.1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1,630.4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408.2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320.7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1,801.8</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2,991.8</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August 31, 2018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560.7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637.9</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162.4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1,211.1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286.7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498.7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557.3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2,988.8</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420.7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451.1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590.8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140.4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1,527.2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1,716.8</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2,988.8</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February 28, 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70"/>
              <w:spacing w:after="0"/>
              <w:rPr>
                <w:sz w:val="20"/>
                <w:szCs w:val="20"/>
                <w:color w:val="auto"/>
              </w:rPr>
            </w:pPr>
            <w:r>
              <w:rPr>
                <w:rFonts w:ascii="Arial" w:cs="Arial" w:eastAsia="Arial" w:hAnsi="Arial"/>
                <w:sz w:val="11"/>
                <w:szCs w:val="11"/>
                <w:b w:val="1"/>
                <w:bCs w:val="1"/>
                <w:color w:val="auto"/>
              </w:rPr>
              <w:t>Subsidiary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880" w:type="dxa"/>
            <w:vAlign w:val="bottom"/>
          </w:tcPr>
          <w:p>
            <w:pPr>
              <w:jc w:val="right"/>
              <w:ind w:right="290"/>
              <w:spacing w:after="0"/>
              <w:rPr>
                <w:sz w:val="20"/>
                <w:szCs w:val="20"/>
                <w:color w:val="auto"/>
              </w:rPr>
            </w:pPr>
            <w:r>
              <w:rPr>
                <w:rFonts w:ascii="Arial" w:cs="Arial" w:eastAsia="Arial" w:hAnsi="Arial"/>
                <w:sz w:val="11"/>
                <w:szCs w:val="11"/>
                <w:b w:val="1"/>
                <w:bCs w:val="1"/>
                <w:color w:val="auto"/>
              </w:rPr>
              <w:t>Issuer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756.6</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854.4</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756.6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854.4</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520.5</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333.9</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237.6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95.9</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91.9</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86.2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72.6</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66.3</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items,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78.6</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72.6</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February 28, 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170"/>
              <w:spacing w:after="0"/>
              <w:rPr>
                <w:sz w:val="20"/>
                <w:szCs w:val="20"/>
                <w:color w:val="auto"/>
              </w:rPr>
            </w:pPr>
            <w:r>
              <w:rPr>
                <w:rFonts w:ascii="Arial" w:cs="Arial" w:eastAsia="Arial" w:hAnsi="Arial"/>
                <w:sz w:val="11"/>
                <w:szCs w:val="11"/>
                <w:b w:val="1"/>
                <w:bCs w:val="1"/>
                <w:color w:val="auto"/>
              </w:rPr>
              <w:t>Subsidiary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880" w:type="dxa"/>
            <w:vAlign w:val="bottom"/>
          </w:tcPr>
          <w:p>
            <w:pPr>
              <w:jc w:val="right"/>
              <w:ind w:right="290"/>
              <w:spacing w:after="0"/>
              <w:rPr>
                <w:sz w:val="20"/>
                <w:szCs w:val="20"/>
                <w:color w:val="auto"/>
              </w:rPr>
            </w:pPr>
            <w:r>
              <w:rPr>
                <w:rFonts w:ascii="Arial" w:cs="Arial" w:eastAsia="Arial" w:hAnsi="Arial"/>
                <w:sz w:val="11"/>
                <w:szCs w:val="11"/>
                <w:b w:val="1"/>
                <w:bCs w:val="1"/>
                <w:color w:val="auto"/>
              </w:rPr>
              <w:t>Issuer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740.4</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832.1</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832.1</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497.6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334.5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244.4</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89.5</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83.6</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78.7</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96.9</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items,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102.4</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101.2</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Six Months Ended February 28, 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5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960" w:type="dxa"/>
            <w:vAlign w:val="bottom"/>
          </w:tcPr>
          <w:p>
            <w:pPr>
              <w:jc w:val="right"/>
              <w:ind w:right="37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1,585.5</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1,787.0</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103.0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1,585.5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1,787.0</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967.1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219.6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1,085.6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618.4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701.4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419.8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487.7</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212.3</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178.3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139.4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192.6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145.9</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items,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145.9</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153.6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146.0</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Six Months Ended February 28, 2018</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ind w:right="250"/>
              <w:spacing w:after="0"/>
              <w:rPr>
                <w:sz w:val="20"/>
                <w:szCs w:val="20"/>
                <w:color w:val="auto"/>
              </w:rPr>
            </w:pPr>
            <w:r>
              <w:rPr>
                <w:rFonts w:ascii="Arial" w:cs="Arial" w:eastAsia="Arial" w:hAnsi="Arial"/>
                <w:sz w:val="11"/>
                <w:szCs w:val="11"/>
                <w:b w:val="1"/>
                <w:bCs w:val="1"/>
                <w:color w:val="auto"/>
              </w:rPr>
              <w:t>Subsidiary</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ind w:left="10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Non-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960" w:type="dxa"/>
            <w:vAlign w:val="bottom"/>
          </w:tcPr>
          <w:p>
            <w:pPr>
              <w:jc w:val="right"/>
              <w:ind w:right="370"/>
              <w:spacing w:after="0"/>
              <w:rPr>
                <w:sz w:val="20"/>
                <w:szCs w:val="20"/>
                <w:color w:val="auto"/>
              </w:rPr>
            </w:pPr>
            <w:r>
              <w:rPr>
                <w:rFonts w:ascii="Arial" w:cs="Arial" w:eastAsia="Arial" w:hAnsi="Arial"/>
                <w:sz w:val="11"/>
                <w:szCs w:val="11"/>
                <w:b w:val="1"/>
                <w:bCs w:val="1"/>
                <w:color w:val="auto"/>
              </w:rPr>
              <w:t>Issuer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1,484.6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1,674.9</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1,484.6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1,674.9</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871.1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990.5</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613.5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684.4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473.9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207.0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209.7</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160.3</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189.6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168.4</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plans, net of tax</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21"/>
                <w:szCs w:val="21"/>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167.1</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163.8</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Six Months Ended February 28, 2019</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Subsidiary</w:t>
            </w: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Issuer</w:t>
            </w: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188.3</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w:t>
            </w: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(used for) investing activities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on credit facility</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86.5</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Repayments of borrowings on credit facility</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(86.5)</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0.3</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102.9</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129.1</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232.0</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Six Months Ended February 28, 2018</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Subsidiary</w:t>
            </w: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Issuer</w:t>
            </w: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177.6</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Investments in subsidiaries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business, net of cash acquired</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0.7</w:t>
            </w: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Withholding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capital</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311.1</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229.8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February 28, 2019 and for the three and six months ended February 28, 2019 and 2018. The following discussion should be read in conjunction with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the Acuity</w:t>
      </w:r>
      <w:r>
        <w:rPr>
          <w:rFonts w:ascii="Arial" w:cs="Arial" w:eastAsia="Arial" w:hAnsi="Arial"/>
          <w:sz w:val="18"/>
          <w:szCs w:val="18"/>
          <w:i w:val="1"/>
          <w:iCs w:val="1"/>
          <w:color w:val="auto"/>
        </w:rPr>
        <w:t xml:space="preserve"> </w:t>
      </w:r>
      <w:r>
        <w:rPr>
          <w:rFonts w:ascii="Arial" w:cs="Arial" w:eastAsia="Arial" w:hAnsi="Arial"/>
          <w:sz w:val="18"/>
          <w:szCs w:val="18"/>
          <w:color w:val="auto"/>
        </w:rPr>
        <w:t>Brands' Annual Report on Form 10-K for the fiscal year ended August 31, 2018, filed with the Securities and Exchange Commission (the “SEC”) on October 25, 2018 (“Form 10-K”).</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“we,” “our,” “us,” “the Company,” or similar references). Our principal office is located in Atlanta, Georgia.</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one of the world’s leading providers of lighting and building management solutions and services for commercial, institutional, industrial, infrastructure, and residential applications throughout North America and select international markets. Our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we continue to expand our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 As of February 28, 2019, we operate 18 manufacturing facilities and eight distribution facilities along with three warehouses to serve our extensive customer base.</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consider acquisitions a critical element of our strategy but seek opportunities to expand and enhance our portfolio of solutions, including the following transactions completed in the prior fiscal year:</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 2018, using cash on hand and borrowings available under existing credit arrangements, we acquired IOTA Engineering, LLC (“IOTA”). IOTA is headquartered in Tucson, Arizona and manufactures highly engineered emergency lighting products and power equipment for commercial and institutional applications both in the U.S. and internationally.</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12, 2018, using cash on hand, we acquired Lucid Design Group, Inc (“Lucid”). Lucid is headquartered in Oakland, California and provides a data and analytics platform to make data-driven decisions to improve building efficiency and drive energy conservation and savings.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were completed during the first six months of fiscal 2019.</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operations for the six months ended February 28, 2019 and 2018 are not necessarily indicative of the results to be expected for the full fiscal year due primarily to seasonality, which results in our net sales and net income generally being higher in the second half of our fiscal year, the impact of any acquisitions, and, among other reasons, the continued uncertainty of general economic conditions that may impact our key end markets for the remainder of fiscal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sources of liquidity are operating cash flows generated primarily from our business operations, cash on hand, and various sources of borrowings. Our ability to generate sufficient cash flow from operations or to access certain capital markets, including banks, is necessary to fund our operations and capital expenditures, pay dividends, repurchase shares, meet obligations as they become due, and maintain compliance with covenants contained in our financing agreements.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six months of fiscal 2019, we paid $24.9 million for property, plant, and equipment, primarily for new and enhanced information technology capabilities, equipment, tooling, and facility enhancements. We currently expect to invest approximately 1.5% of net sales in capital expenditures during fiscal 2019.</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the Company's common stock. As of February 28, 2019, 1.2 million shares had been repurchased under this authorization,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which 0.4 million shares were repurchased in fiscal 2019. We expect to repurchase the remaining shares available for repurchase on an opportunistic basis subject to various factors including stock price, Company performance, market conditions and other possible uses of cash.</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short-term cash needs are expected to include funding operations as currently planned; making capital investments as currently anticipated; paying quarterly stockholder dividends as currently anticipated; paying principal and interest on debt as currently scheduled, including our senior unsecured notes maturing in December 2019, which we expect to repay with borrowings available under existing credit arrangements; making required contributions to our employee benefit plans; funding possible acquisitions; and potentially repurchasing shares of our outstanding common stock as authorized by the Board. We believe that we will be able to meet our liquidity needs over the next 12 months based on our cash on hand, current projections of cash flow from operations, and borrowing availability under financing arrangements. Additionally, we believe that our cash flows from operations and sources of funding, including, but not limited to, future borrowings and capacity, will sufficiently support our long-term liquidity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use available cash and cash flow from operations, borrowings on credit arrangements, and proceeds from the exercise of stock options to fund operations, capital expenditures, and acquisitions if any; to repurchase Company stock; and to pay dividends.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cash position at February 28, 2019 was $232.0 million, an increase of $ 102.9 million from August 31, 2018. During the six months ended February 28, 2019, we generated net cash flows from operations of $188.3 million. Cash generated from operating activities, as well as cash on-hand, was used during the six months ended February 28, 2019 primarily to repurchase 0.4 million shares of our outstanding common stock for $48.7 million, fund capital expenditures of $24.9 million, pay dividends to stockholders of $10.5 million, and pay withholding taxes on the net settlement of equity awards of $4.3 million.</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generated $188.3 million of cash flow from operating activities during the six months ended February 28, 2019 compared with $177.6 million in the prior-year period, an increase of $10.7 million, due primarily to lower operating working capital requirements. Operating working capital (calculated by adding accounts receivable plus inventories, and subtracting accounts payable-net of acquisitions and the impact of foreign exchange rate changes) decreased approximately $35.7 million during the first six months of fiscal 2019 compared to a $26.0 million decrease during the first six months of fiscal 2018 due primarily to greater cash collections from customers year over year, partially offset by increased payments for trade payables.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investing in assets and programs that will over time increase the overall return on our invested capital is a key factor in driving stockholder value. We paid $24.9 million and $20.9 million in the first six months of fiscal 2019 and 2018, respectively, primarily related to investments in new information technology, equipment, tooling, and facility enhancements. We expect to invest approximately 1.5% of net sales primarily for new equipment, tooling, facility enhancements, and information technology capabilities during fiscal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current capital structure is comprised principally of senior unsecured notes and equity of our stockholders. Total debt outstanding was $356.7 million and $356.8 million at February 28, 2019 and August 31, 2018, respectively, and consisted primarily of fixed-rate obligations.</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On December 8, 2009, ABL issued $350.0 million of senior unsecured notes due in fiscal 2020 (the “Unsecured Notes”) in a private placement transaction. The Unsecured Notes were subsequently exchanged for Securities and Exchange Commission (“SEC”) registered notes with substantially identical terms. The Unsecured Notes bear interest at a rate of 6% per annum and were issued at a price equal to 99.797% of their face value and for a term of ten years. Although the Unsecured Notes will mature within one year from the balance sheet, we have the ability and intent to refinance these borrowings using availability under our unsecured delayed draw term loan facility (“Term Loan Facility”) as described below. Currently, we plan to refinance the Unsecured Notes in full with borrowings under the Term Loan Facility, of which $343.3 million of the carrying value would be due greater than one year from the refinancing date. As such, this amount is reflected within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 </w:t>
      </w:r>
      <w:r>
        <w:rPr>
          <w:rFonts w:ascii="Arial" w:cs="Arial" w:eastAsia="Arial" w:hAnsi="Arial"/>
          <w:sz w:val="18"/>
          <w:szCs w:val="18"/>
          <w:color w:val="auto"/>
        </w:rPr>
        <w:t>as of February 28, 2019. See the</w:t>
      </w:r>
      <w:r>
        <w:rPr>
          <w:rFonts w:ascii="Arial" w:cs="Arial" w:eastAsia="Arial" w:hAnsi="Arial"/>
          <w:sz w:val="18"/>
          <w:szCs w:val="18"/>
          <w:i w:val="1"/>
          <w:iCs w:val="1"/>
          <w:color w:val="auto"/>
        </w:rPr>
        <w:t xml:space="preserve"> Debt and Lines of 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more information.</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29, 2018, we entered into a credit agreement (“Credit Agreement”) with a syndicate of banks that provides us with a $400.0 million five-year unsecured revolving credit facility (“Revolving Credit Facility”) and a $400.0 million Term Loan Facility. On February 28, 2019, we had no borrowings outstanding under the Revolving Credit Facility and no borrowings under the Term Loan Facility. We were in compliance with all financial covenants under the Credit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Agreement as of February 28, 2019. At February 28, 2019, we had additional borrowing capacity under the Credit Agreement of $794.7 million under the most restrictive covenant in effect at the time, which represents the full amount of the Revolving Credit Facility and the Term Loan Facility less the outstanding letters of credit of $5.3 million issued on the Revolving Credit Facility. As of February 28, 2019, we had outstanding letters of credit totaling $9.5 million, primarily for securing collateral requirements under our casualty insurance programs and for providing credit support for our industrial revenue bond, including $5.3 million issued under the Revolving Credit Facility. See the </w:t>
      </w:r>
      <w:r>
        <w:rPr>
          <w:rFonts w:ascii="Arial" w:cs="Arial" w:eastAsia="Arial" w:hAnsi="Arial"/>
          <w:sz w:val="18"/>
          <w:szCs w:val="18"/>
          <w:i w:val="1"/>
          <w:iCs w:val="1"/>
          <w:color w:val="auto"/>
        </w:rPr>
        <w:t>Debt and Lines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more information.</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During the first six months of fiscal 2019, our consolidated stockholders’ equity increased $85.0 million to $1.80 billion at February 28, 2019, from $1.72 billion at August 31, 2018. The increase was due primarily to net income earned in the period, partially offset by share repurchases, adjustments related to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and the payment of dividends. Our debt to total capitalization ratio (calculated by dividing total debt by the sum of total debt and total stockholders’ equity) was 16.5% and 17.2% at February 28, 2019 and August 31, 2018, respectively. The ratio of debt, net of cash, to total capitalization, net of cash, was 6.5% and 11.7% at February 28, 2019 and August 31, 2018,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on our common stock of $10.5 million and $10.9 million ($0.26 per share) during the six months ended February 28, 2019 and 2018, respectively. All decisions regarding the declaration and payment of dividends are at the discretion of the Board and are evaluated regularly in light of our financial condition, earnings, growth prospects, funding requirements, applicable law, and any other factors the Board deems relevant.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2019 Compared with Second Quarter of Fiscal 2018</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28, 2019 and 2018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98"/>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8"/>
        </w:trPr>
        <w:tc>
          <w:tcPr>
            <w:tcW w:w="5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February 28, 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(Decrease)</w:t>
            </w:r>
          </w:p>
        </w:tc>
        <w:tc>
          <w:tcPr>
            <w:tcW w:w="4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854.4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832.1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520.5</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497.6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w:t>
            </w:r>
          </w:p>
        </w:tc>
        <w:tc>
          <w:tcPr>
            <w:tcW w:w="1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4.6 %</w:t>
            </w: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333.9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334.5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0"/>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39.1%</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40.2 %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60" w:type="dxa"/>
            <w:vAlign w:val="bottom"/>
            <w:gridSpan w:val="3"/>
          </w:tcPr>
          <w:p>
            <w:pPr>
              <w:jc w:val="right"/>
              <w:ind w:right="1519"/>
              <w:spacing w:after="0"/>
              <w:rPr>
                <w:sz w:val="20"/>
                <w:szCs w:val="20"/>
                <w:color w:val="auto"/>
              </w:rPr>
            </w:pPr>
            <w:r>
              <w:rPr>
                <w:rFonts w:ascii="Arial" w:cs="Arial" w:eastAsia="Arial" w:hAnsi="Arial"/>
                <w:sz w:val="16"/>
                <w:szCs w:val="16"/>
                <w:i w:val="1"/>
                <w:iCs w:val="1"/>
                <w:color w:val="auto"/>
              </w:rPr>
              <w:t>(110) bps</w:t>
            </w: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4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60"/>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11.2%</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10.8 %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i w:val="1"/>
                <w:iCs w:val="1"/>
                <w:color w:val="auto"/>
              </w:rPr>
              <w:t>40</w:t>
            </w:r>
          </w:p>
        </w:tc>
        <w:tc>
          <w:tcPr>
            <w:tcW w:w="1900" w:type="dxa"/>
            <w:vAlign w:val="bottom"/>
            <w:gridSpan w:val="2"/>
          </w:tcPr>
          <w:p>
            <w:pPr>
              <w:jc w:val="right"/>
              <w:ind w:right="1519"/>
              <w:spacing w:after="0"/>
              <w:rPr>
                <w:sz w:val="20"/>
                <w:szCs w:val="20"/>
                <w:color w:val="auto"/>
              </w:rPr>
            </w:pPr>
            <w:r>
              <w:rPr>
                <w:rFonts w:ascii="Arial" w:cs="Arial" w:eastAsia="Arial" w:hAnsi="Arial"/>
                <w:sz w:val="16"/>
                <w:szCs w:val="16"/>
                <w:i w:val="1"/>
                <w:iCs w:val="1"/>
                <w:color w:val="auto"/>
              </w:rPr>
              <w:t>bps</w:t>
            </w:r>
          </w:p>
        </w:tc>
      </w:tr>
      <w:tr>
        <w:trPr>
          <w:trHeight w:val="280"/>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0"/>
        </w:trPr>
        <w:tc>
          <w:tcPr>
            <w:tcW w:w="506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2"/>
                <w:szCs w:val="22"/>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7.5 %</w:t>
            </w:r>
          </w:p>
        </w:tc>
      </w:tr>
      <w:tr>
        <w:trPr>
          <w:trHeight w:val="273"/>
        </w:trPr>
        <w:tc>
          <w:tcPr>
            <w:tcW w:w="50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Miscellaneous expense, net</w:t>
            </w: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0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6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60"/>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10.1%</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9.5 %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i w:val="1"/>
                <w:iCs w:val="1"/>
                <w:color w:val="auto"/>
              </w:rPr>
              <w:t>60</w:t>
            </w:r>
          </w:p>
        </w:tc>
        <w:tc>
          <w:tcPr>
            <w:tcW w:w="1900" w:type="dxa"/>
            <w:vAlign w:val="bottom"/>
            <w:gridSpan w:val="2"/>
          </w:tcPr>
          <w:p>
            <w:pPr>
              <w:jc w:val="right"/>
              <w:ind w:right="1519"/>
              <w:spacing w:after="0"/>
              <w:rPr>
                <w:sz w:val="20"/>
                <w:szCs w:val="20"/>
                <w:color w:val="auto"/>
              </w:rPr>
            </w:pPr>
            <w:r>
              <w:rPr>
                <w:rFonts w:ascii="Arial" w:cs="Arial" w:eastAsia="Arial" w:hAnsi="Arial"/>
                <w:sz w:val="16"/>
                <w:szCs w:val="16"/>
                <w:i w:val="1"/>
                <w:iCs w:val="1"/>
                <w:color w:val="auto"/>
              </w:rPr>
              <w:t>bps</w:t>
            </w:r>
          </w:p>
        </w:tc>
      </w:tr>
      <w:tr>
        <w:trPr>
          <w:trHeight w:val="273"/>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4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47"/>
        </w:trPr>
        <w:tc>
          <w:tcPr>
            <w:tcW w:w="506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23.1%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96.9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(28.3)%</w:t>
            </w: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were $854.4 million for the three months ended February 28, 2019 compared with $832.1 million reported for the three months ended February 28, 2018, an increase of $22.3 million, or 2.7%. For the three months ended February 28, 2019, we reported net income of $66.3 million, a decrease of $30.6 million, or 31.6%, compared with</w:t>
      </w:r>
    </w:p>
    <w:p>
      <w:pPr>
        <w:sectPr>
          <w:pgSz w:w="11900" w:h="16838" w:orient="portrait"/>
          <w:cols w:equalWidth="0" w:num="1">
            <w:col w:w="11420"/>
          </w:cols>
          <w:pgMar w:left="240" w:top="26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60"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$96.9 million for the three months ended February 28, 2018. For the second quarter of fiscal 2019, diluted earnings per share decreased 28.3% to $1.67 compared with $2.33 reported in the year-ago period.</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Fiscal 2019 results were impacted by the adoption of ASC 606, which resulted in a decrease to revenues, gross profit, and operating profit of $1.6 million, $1.1 million, and $1.2 million, respectively, during the three months ended February 28, 2019. Additionally, fiscal 2018 results were restated to reflect the impact of adopting Accounting Standards Update No. 2017-07, </w:t>
      </w:r>
      <w:r>
        <w:rPr>
          <w:rFonts w:ascii="Arial" w:cs="Arial" w:eastAsia="Arial" w:hAnsi="Arial"/>
          <w:sz w:val="18"/>
          <w:szCs w:val="18"/>
          <w:i w:val="1"/>
          <w:iCs w:val="1"/>
          <w:color w:val="auto"/>
        </w:rPr>
        <w:t>Compensation — Retirement Benefits (Topic 715):</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Improving the Presentation of Net Periodic Pension Cost and Net Periodic Postretirement Benefit Cost </w:t>
      </w:r>
      <w:r>
        <w:rPr>
          <w:rFonts w:ascii="Arial" w:cs="Arial" w:eastAsia="Arial" w:hAnsi="Arial"/>
          <w:sz w:val="18"/>
          <w:szCs w:val="18"/>
          <w:color w:val="auto"/>
        </w:rPr>
        <w:t>(“ASU 2017-07”). Upon adoption of ASU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2017-07, our previously reported operating profit and other expense both increased $ 1.5 million for the three months ended February 28, 2018. The provisions of ASU 2017-07 had no impact to our previously reported net income or earnings per share. See </w:t>
      </w:r>
      <w:r>
        <w:rPr>
          <w:rFonts w:ascii="Arial" w:cs="Arial" w:eastAsia="Arial" w:hAnsi="Arial"/>
          <w:sz w:val="18"/>
          <w:szCs w:val="18"/>
          <w:i w:val="1"/>
          <w:iCs w:val="1"/>
          <w:color w:val="auto"/>
        </w:rPr>
        <w:t>New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our results of operations, which exclude the impact of manufacturing inefficiencies, acquisition related items, amortization of acquired intangible assets, share-based payment expense, special charges associated primarily with continued efforts to streamline the organization, and certain discrete income tax benefits of the U.S. Tax Cuts and Jobs Act (the “TCJA”). Although the impacts of some of these items have been recognized in prior periods and could recur in future periods, we typically exclude these charges during internal reviews of performance and use these non-U.S. GAAP measures for baseline comparative operational analysis, decision making, and other activities. These non-U.S. GAAP financial measures, including adjusted gross profit and margin, adjusted selling, distribution, and administrative (“SD&amp;A”) expenses and adjusted SD&amp;A expenses as a percent of net sales, adjusted operating profit and margin, adjusted net income, and adjusted diluted earnings per share, are provided to enhance the user’s overall understanding of our current financial performance. Specifically, we believe these non-U.S. GAAP measures provide greater comparability and enhanced visibility into our results of operations. The non-U.S. GAAP financial measures should be considered in addition to, and not as a substitute for or superior to, results prepared in accordance with U.S. GAAP.</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6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4"/>
        </w:trPr>
        <w:tc>
          <w:tcPr>
            <w:tcW w:w="5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spacing w:after="0"/>
              <w:rPr>
                <w:sz w:val="16"/>
                <w:szCs w:val="16"/>
                <w:color w:val="auto"/>
              </w:rPr>
            </w:pPr>
          </w:p>
        </w:tc>
      </w:tr>
      <w:tr>
        <w:trPr>
          <w:trHeight w:val="228"/>
        </w:trPr>
        <w:tc>
          <w:tcPr>
            <w:tcW w:w="586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Arial" w:cs="Arial" w:eastAsia="Arial" w:hAnsi="Arial"/>
                <w:sz w:val="16"/>
                <w:szCs w:val="16"/>
                <w:b w:val="1"/>
                <w:bCs w:val="1"/>
                <w:color w:val="auto"/>
              </w:rPr>
              <w:t>February 28, 2019</w:t>
            </w: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333.9</w:t>
            </w:r>
          </w:p>
        </w:tc>
        <w:tc>
          <w:tcPr>
            <w:tcW w:w="12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334.5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70"/>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r>
      <w:tr>
        <w:trPr>
          <w:trHeight w:val="23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334.8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334.5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217"/>
        </w:trPr>
        <w:tc>
          <w:tcPr>
            <w:tcW w:w="586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39.2%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40.2%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2"/>
          </w:tcPr>
          <w:p>
            <w:pPr>
              <w:jc w:val="right"/>
              <w:ind w:right="979"/>
              <w:spacing w:after="0"/>
              <w:rPr>
                <w:sz w:val="20"/>
                <w:szCs w:val="20"/>
                <w:color w:val="auto"/>
              </w:rPr>
            </w:pPr>
            <w:r>
              <w:rPr>
                <w:rFonts w:ascii="Arial" w:cs="Arial" w:eastAsia="Arial" w:hAnsi="Arial"/>
                <w:sz w:val="16"/>
                <w:szCs w:val="16"/>
                <w:i w:val="1"/>
                <w:iCs w:val="1"/>
                <w:color w:val="auto"/>
              </w:rPr>
              <w:t>(100) bps</w:t>
            </w:r>
          </w:p>
        </w:tc>
      </w:tr>
      <w:tr>
        <w:trPr>
          <w:trHeight w:val="307"/>
        </w:trPr>
        <w:tc>
          <w:tcPr>
            <w:tcW w:w="5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86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244.4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860" w:type="dxa"/>
            <w:vAlign w:val="bottom"/>
          </w:tcPr>
          <w:p>
            <w:pPr>
              <w:ind w:left="180"/>
              <w:spacing w:after="0"/>
              <w:rPr>
                <w:sz w:val="20"/>
                <w:szCs w:val="20"/>
                <w:color w:val="auto"/>
              </w:rPr>
            </w:pPr>
            <w:r>
              <w:rPr>
                <w:rFonts w:ascii="Arial" w:cs="Arial" w:eastAsia="Arial" w:hAnsi="Arial"/>
                <w:sz w:val="16"/>
                <w:szCs w:val="16"/>
                <w:color w:val="auto"/>
              </w:rPr>
              <w:t>Less: Share-based payment expense</w:t>
            </w:r>
          </w:p>
        </w:tc>
        <w:tc>
          <w:tcPr>
            <w:tcW w:w="4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4"/>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222.4</w:t>
            </w:r>
          </w:p>
        </w:tc>
        <w:tc>
          <w:tcPr>
            <w:tcW w:w="120" w:type="dxa"/>
            <w:vAlign w:val="bottom"/>
            <w:tcBorders>
              <w:bottom w:val="single" w:sz="8" w:color="CCEEFF"/>
            </w:tcBorders>
          </w:tcPr>
          <w:p>
            <w:pPr>
              <w:spacing w:after="0"/>
              <w:rPr>
                <w:sz w:val="23"/>
                <w:szCs w:val="23"/>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229.2</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(6.8)</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w:t>
            </w:r>
          </w:p>
        </w:tc>
      </w:tr>
      <w:tr>
        <w:trPr>
          <w:trHeight w:val="227"/>
        </w:trPr>
        <w:tc>
          <w:tcPr>
            <w:tcW w:w="586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i w:val="1"/>
                <w:iCs w:val="1"/>
                <w:color w:val="auto"/>
              </w:rPr>
              <w:t>(150) bps</w:t>
            </w:r>
          </w:p>
        </w:tc>
      </w:tr>
      <w:tr>
        <w:trPr>
          <w:trHeight w:val="297"/>
        </w:trPr>
        <w:tc>
          <w:tcPr>
            <w:tcW w:w="5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586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40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Add-back: Special charge</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4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operating profit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586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13.2%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i w:val="1"/>
                <w:iCs w:val="1"/>
                <w:color w:val="auto"/>
              </w:rPr>
              <w:t>50</w:t>
            </w:r>
          </w:p>
        </w:tc>
        <w:tc>
          <w:tcPr>
            <w:tcW w:w="1360" w:type="dxa"/>
            <w:vAlign w:val="bottom"/>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307"/>
        </w:trPr>
        <w:tc>
          <w:tcPr>
            <w:tcW w:w="5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8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860" w:type="dxa"/>
            <w:vAlign w:val="bottom"/>
          </w:tcPr>
          <w:p>
            <w:pPr>
              <w:ind w:left="280"/>
              <w:spacing w:after="0"/>
              <w:rPr>
                <w:sz w:val="20"/>
                <w:szCs w:val="20"/>
                <w:color w:val="auto"/>
              </w:rPr>
            </w:pPr>
            <w:r>
              <w:rPr>
                <w:rFonts w:ascii="Arial" w:cs="Arial" w:eastAsia="Arial" w:hAnsi="Arial"/>
                <w:sz w:val="16"/>
                <w:szCs w:val="16"/>
                <w:color w:val="auto"/>
              </w:rPr>
              <w:t>Add-back: Share-based payment expense</w:t>
            </w:r>
          </w:p>
        </w:tc>
        <w:tc>
          <w:tcPr>
            <w:tcW w:w="40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860" w:type="dxa"/>
            <w:vAlign w:val="bottom"/>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4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4"/>
        </w:trPr>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Special charge</w:t>
            </w: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7"/>
        </w:trPr>
        <w:tc>
          <w:tcPr>
            <w:tcW w:w="5860" w:type="dxa"/>
            <w:vAlign w:val="bottom"/>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40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0"/>
        </w:trPr>
        <w:tc>
          <w:tcPr>
            <w:tcW w:w="5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effects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(3)</w:t>
            </w:r>
          </w:p>
        </w:tc>
        <w:tc>
          <w:tcPr>
            <w:tcW w:w="400" w:type="dxa"/>
            <w:vAlign w:val="bottom"/>
          </w:tcPr>
          <w:p>
            <w:pPr>
              <w:spacing w:after="0"/>
              <w:rPr>
                <w:sz w:val="23"/>
                <w:szCs w:val="2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4"/>
        </w:trPr>
        <w:tc>
          <w:tcPr>
            <w:tcW w:w="5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78.5</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1"/>
        </w:trPr>
        <w:tc>
          <w:tcPr>
            <w:tcW w:w="5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1"/>
        </w:trPr>
        <w:tc>
          <w:tcPr>
            <w:tcW w:w="5860" w:type="dxa"/>
            <w:vAlign w:val="bottom"/>
          </w:tcPr>
          <w:p>
            <w:pPr>
              <w:ind w:left="40"/>
              <w:spacing w:after="0"/>
              <w:rPr>
                <w:sz w:val="20"/>
                <w:szCs w:val="20"/>
                <w:color w:val="auto"/>
              </w:rPr>
            </w:pPr>
            <w:r>
              <w:rPr>
                <w:rFonts w:ascii="Arial" w:cs="Arial" w:eastAsia="Arial" w:hAnsi="Arial"/>
                <w:sz w:val="16"/>
                <w:szCs w:val="16"/>
                <w:color w:val="auto"/>
              </w:rPr>
              <w:t>Adjusted diluted earnings per share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1.89</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136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146"/>
        </w:trPr>
        <w:tc>
          <w:tcPr>
            <w:tcW w:w="586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60" w:type="dxa"/>
            <w:vAlign w:val="bottom"/>
          </w:tcPr>
          <w:p>
            <w:pPr>
              <w:spacing w:after="0"/>
              <w:rPr>
                <w:sz w:val="12"/>
                <w:szCs w:val="12"/>
                <w:color w:val="auto"/>
              </w:rPr>
            </w:pPr>
          </w:p>
        </w:tc>
      </w:tr>
    </w:tbl>
    <w:p>
      <w:pPr>
        <w:spacing w:after="0" w:line="72"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left="140" w:hanging="132"/>
        <w:spacing w:after="0" w:line="211"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professional fees.</w:t>
      </w:r>
    </w:p>
    <w:p>
      <w:pPr>
        <w:ind w:right="540" w:firstLine="8"/>
        <w:spacing w:after="0" w:line="281" w:lineRule="auto"/>
        <w:tabs>
          <w:tab w:leader="none" w:pos="135" w:val="left"/>
        </w:tabs>
        <w:numPr>
          <w:ilvl w:val="0"/>
          <w:numId w:val="5"/>
        </w:numPr>
        <w:rPr>
          <w:rFonts w:ascii="Arial" w:cs="Arial" w:eastAsia="Arial" w:hAnsi="Arial"/>
          <w:sz w:val="15"/>
          <w:szCs w:val="15"/>
          <w:color w:val="auto"/>
          <w:vertAlign w:val="superscript"/>
        </w:rPr>
      </w:pPr>
      <w:r>
        <w:rPr>
          <w:rFonts w:ascii="Arial" w:cs="Arial" w:eastAsia="Arial" w:hAnsi="Arial"/>
          <w:sz w:val="12"/>
          <w:szCs w:val="12"/>
          <w:color w:val="auto"/>
        </w:rPr>
        <w:t xml:space="preserve">Discrete income tax benefits of the TCJA recognized within </w:t>
      </w:r>
      <w:r>
        <w:rPr>
          <w:rFonts w:ascii="Arial" w:cs="Arial" w:eastAsia="Arial" w:hAnsi="Arial"/>
          <w:sz w:val="12"/>
          <w:szCs w:val="12"/>
          <w:i w:val="1"/>
          <w:iCs w:val="1"/>
          <w:color w:val="auto"/>
        </w:rPr>
        <w:t>Income tax expense (benefit)</w:t>
      </w:r>
      <w:r>
        <w:rPr>
          <w:rFonts w:ascii="Arial" w:cs="Arial" w:eastAsia="Arial" w:hAnsi="Arial"/>
          <w:sz w:val="12"/>
          <w:szCs w:val="12"/>
          <w:color w:val="auto"/>
        </w:rPr>
        <w:t xml:space="preserve"> on the </w:t>
      </w:r>
      <w:r>
        <w:rPr>
          <w:rFonts w:ascii="Arial" w:cs="Arial" w:eastAsia="Arial" w:hAnsi="Arial"/>
          <w:sz w:val="12"/>
          <w:szCs w:val="12"/>
          <w:i w:val="1"/>
          <w:iCs w:val="1"/>
          <w:color w:val="auto"/>
        </w:rPr>
        <w:t>Consolidated Statements of Comprehensive Income</w:t>
      </w:r>
      <w:r>
        <w:rPr>
          <w:rFonts w:ascii="Arial" w:cs="Arial" w:eastAsia="Arial" w:hAnsi="Arial"/>
          <w:sz w:val="12"/>
          <w:szCs w:val="12"/>
          <w:color w:val="auto"/>
        </w:rPr>
        <w:t xml:space="preserve">. See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footnote within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for additional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February 28, 2019 increased 2.7% compared with the prior-year period due primarily to a sales volume increase of over 3%, partially offset by a less than 1% unfavorable change in product prices and mix of products sold (“price/mix”) as the benefits from recently announced price increases were more than offset by changes primarily in sales channel mix and to a much lesser degree in the mix of products sold; the realization from recent price increases was estimated to have contributed low single-digit growth to overall net sales for the quarter. Also impacting second quarter net sales was a less than 1% favorable impact of acquired revenues from acquisitions net of lost revenues from divestitures, which was largely offset by a combination of unfavorable changes in foreign exchange rates and the impact of the adoption of ASC 606. Each of our sales channels experienced solid growth</w:t>
      </w:r>
    </w:p>
    <w:p>
      <w:pPr>
        <w:sectPr>
          <w:pgSz w:w="11900" w:h="16838" w:orient="portrait"/>
          <w:cols w:equalWidth="0" w:num="1">
            <w:col w:w="11420"/>
          </w:cols>
          <w:pgMar w:left="240" w:top="260" w:right="2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260"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with the exception of the independent sales network, which was relatively flat year-over-year. Due to the changing dynamics of our product portfolio, including the increase of integrated lighting and building management solutions, it is not possible to precisely quantify or differentiate the individual components of volume, price, and mix. We also believe our current period net sales were adversely impacted by customers buying products during the first quarter of fiscal 2019 in advance of the effective dates of recently announced price increases.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Gross profit for the second quarter of fiscal 2019 decreased $0.6 million, or 0.2%, to $333.9 million compared with $334.5 million in the prior-year period as the contribution from higher sales volume, realized price increases, and benefits from productivity improvements were offset by both a shift in key customers and changes in sales channel mix described below as well as higher input costs. Gross profit margin decreased 110 basis points to 39.1% for the three months ended February 28, 2019 compared with 40.2% in the prior-year period. The decline in gross profit margin was due primarily to a shift in sales among key customers within the retail channel as well as changes in sales channel mix. Although current quarter gross profit reflected a mix shift towards certain sales channels and customers that generate lower gross profit margins as compared with our historical consolidated gross profit margin profile, the decline was generally offset by proportionally lower SD&amp;A expenses as freight and commissions associated with such sales were lower. Adjusted gross profit margin for the three months ended February 28, 2019 declined 100 basis points to 39.2% compared with 40.2% in the prior year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SD&amp;A expenses for the three months ended February 28, 2019 were $237.6 million compared with $244.4 million in the prior-year period, a decrease of $6.8 million, or 2.8%. The decrease in SD&amp;A expenses was due primarily to a decrease in outbound freight and commission expense as well as certain cost containment and productivity improvements, which were partially offset by higher costs to support the increase in net sales, and to a lesser degree, additional expenses associated with acquired businesses. The decline in outbound freight and commission expense was partially due to the customer mix shift within the retail sales channel as previously noted. SD&amp;A expenses for the second quarter of fiscal 2019 were 27.8% of net sales compared with 29.4% for the prior-year period. Adjusted SD&amp;A expenses for the three months ended February 28, 2019 were $222.4 million (26.0% of net sales) compared with $229.2 million (27.5% of net sales) in the prior-year period.</w:t>
      </w:r>
    </w:p>
    <w:p>
      <w:pPr>
        <w:spacing w:after="0" w:line="11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We recognized pre-tax special charges of $ 0.4 million during the second quarter of fiscal 2019 compared with pre-tax special charges of $0.6 million recorded during the second quarter of fiscal 2018.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profit for the second quarter of fiscal 2019 was $95.9 million (11.2% of net sales) compared with $89.5 million (10.8% of net sales) for the prior-year period, an increase of $6.4 million, or 7.2%. The increase in operating profit was primarily due to lower SD&amp;A expenses, partially offset by lower gross profit.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profit increased by $7.1 million, or 6.7%, to $112.4 million for the second quarter of fiscal 2019 compared with $ 105.3 million for the second quarter of fiscal 2018. Adjusted operating profit margin increased to 13.2% for the second quarter of fiscal 2019 compared with 12.7% for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expense (income) consists principally of net interest expense and net miscellaneous expense, which includes non-service related components of net periodic pension cost, gains and losses associated with foreign currency-related transactions, and non-operating gains and losses. Interest expense, net, was $8.6 million and $8.0 million for the three months ended February 28, 2019 and 2018, respectively. We reported net miscellaneous expense of $1.1 million and $2.8 million for the three months ended February 28, 2019 and 2018,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effective income tax rate was 23.1% and (23.1)% for the three months ended February 28, 2019 and 2018, respectively. The effective income tax rate for the three months ended February 28, 2018 was significantly impacted by the provisions of the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We currently estimate that our blended consolidated effective income tax rate, before any discrete items,</w:t>
      </w:r>
      <w:r>
        <w:rPr>
          <w:rFonts w:ascii="Arial" w:cs="Arial" w:eastAsia="Arial" w:hAnsi="Arial"/>
          <w:sz w:val="18"/>
          <w:szCs w:val="18"/>
          <w:i w:val="1"/>
          <w:iCs w:val="1"/>
          <w:color w:val="auto"/>
        </w:rPr>
        <w:t xml:space="preserve"> </w:t>
      </w:r>
      <w:r>
        <w:rPr>
          <w:rFonts w:ascii="Arial" w:cs="Arial" w:eastAsia="Arial" w:hAnsi="Arial"/>
          <w:sz w:val="18"/>
          <w:szCs w:val="18"/>
          <w:color w:val="auto"/>
        </w:rPr>
        <w:t>will approximate 24% to 26% for the remainder of fiscal 2019.</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for the second quarter of fiscal 2019 decreased $30.6 million to $66.3 million from $96.9 million reported for the prior-year period. The decrease in net income resulted primarily from a one-time tax benefit for income taxes related to the TCJA recorded in 2018 that did not recur in the current fiscal year, partially offset by increased operating profit compared to the prior-year period. Diluted earnings per share for the three months ended February 28, 2019 decreased $0.66 to $1.67 compared with diluted earnings per share of $2.33 for the prior-year period. This decrease reflects higher net income tax expense, partially offset by a reduced share count.</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net income for the second quarter of fiscal 2019 was $79.0 million, compared with $ 78.5 million in the prior-year period, which represented an increase of $0.5 million, or 0.6%. Adjusted diluted earnings per share for the three months ended February 28, 2019 increased $0.10, or 5.3%, to $1.99 compared with $1.89 for the prior-year period.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Fiscal 2019 Compared with First Six Months of Fiscal 2018</w:t>
      </w:r>
    </w:p>
    <w:p>
      <w:pPr>
        <w:spacing w:after="0" w:line="15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28, 2019 and 2018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8"/>
        </w:trPr>
        <w:tc>
          <w:tcPr>
            <w:tcW w:w="5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w:t>
            </w:r>
          </w:p>
        </w:tc>
        <w:tc>
          <w:tcPr>
            <w:tcW w:w="1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w:t>
            </w:r>
          </w:p>
        </w:tc>
        <w:tc>
          <w:tcPr>
            <w:tcW w:w="180" w:type="dxa"/>
            <w:vAlign w:val="bottom"/>
          </w:tcPr>
          <w:p>
            <w:pPr>
              <w:spacing w:after="0"/>
              <w:rPr>
                <w:sz w:val="17"/>
                <w:szCs w:val="17"/>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spacing w:after="0"/>
              <w:rPr>
                <w:sz w:val="17"/>
                <w:szCs w:val="17"/>
                <w:color w:val="auto"/>
              </w:rPr>
            </w:pPr>
          </w:p>
        </w:tc>
      </w:tr>
      <w:tr>
        <w:trPr>
          <w:trHeight w:val="228"/>
        </w:trPr>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5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1,787.0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1,674.9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112.1</w:t>
            </w:r>
          </w:p>
        </w:tc>
        <w:tc>
          <w:tcPr>
            <w:tcW w:w="4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1,085.6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990.5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95.1</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9.6 %</w:t>
            </w: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39.3%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40.9%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(160) bps</w:t>
            </w:r>
          </w:p>
        </w:tc>
        <w:tc>
          <w:tcPr>
            <w:tcW w:w="136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(60) bps</w:t>
            </w:r>
          </w:p>
        </w:tc>
        <w:tc>
          <w:tcPr>
            <w:tcW w:w="136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50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2"/>
                <w:szCs w:val="22"/>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73"/>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expense, net</w:t>
            </w: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5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4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i w:val="1"/>
                <w:iCs w:val="1"/>
                <w:color w:val="auto"/>
              </w:rPr>
              <w:t>(50) bps</w:t>
            </w:r>
          </w:p>
        </w:tc>
        <w:tc>
          <w:tcPr>
            <w:tcW w:w="1360" w:type="dxa"/>
            <w:vAlign w:val="bottom"/>
          </w:tcPr>
          <w:p>
            <w:pPr>
              <w:spacing w:after="0"/>
              <w:rPr>
                <w:sz w:val="22"/>
                <w:szCs w:val="22"/>
                <w:color w:val="auto"/>
              </w:rPr>
            </w:pPr>
          </w:p>
        </w:tc>
      </w:tr>
      <w:tr>
        <w:trPr>
          <w:trHeight w:val="273"/>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47"/>
        </w:trPr>
        <w:tc>
          <w:tcPr>
            <w:tcW w:w="550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4"/>
        </w:trPr>
        <w:tc>
          <w:tcPr>
            <w:tcW w:w="550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were $1.79 billion for the six months ended February 28, 2019 compared with $1.67 billion reported for the six months ended February 28, 2018, an increase of $ 112.1 million, or 6.7%. For the six months ended February 28, 2019, we reported net income of $145.9 million, a decrease of $22.5 million, or 13.4%, compared with $168.4 million for the six months ended February 28, 2018. For the first six months of fiscal 2019, diluted earnings per share decreased 9.4% to $3.66 compared with $4.04 reported in the year-ago period.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Fiscal 2019 results were impacted by the adoption of ASC 606, which resulted in a decrease to revenues, gross profit, and operating profit of $4.0 million, $2.2 million, and $ 2.4 million, respectively, during the six months ended February 28, 2019. Additionally, fiscal 2018 results were restated to reflect the impact of adopting ASU 2017-07. Upon adoption of</w:t>
      </w:r>
    </w:p>
    <w:p>
      <w:pPr>
        <w:sectPr>
          <w:pgSz w:w="11900" w:h="16838" w:orient="portrait"/>
          <w:cols w:equalWidth="0" w:num="1">
            <w:col w:w="11420"/>
          </w:cols>
          <w:pgMar w:left="240" w:top="26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260"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ASU 2017-07, our previously reported operating profit and other expense both increased $3.1 million for the six months ended February 28, 2018. The provisions of ASU 2017-07 had no impact to our previously reported net income or earnings per share. See </w:t>
      </w:r>
      <w:r>
        <w:rPr>
          <w:rFonts w:ascii="Arial" w:cs="Arial" w:eastAsia="Arial" w:hAnsi="Arial"/>
          <w:sz w:val="18"/>
          <w:szCs w:val="18"/>
          <w:i w:val="1"/>
          <w:iCs w:val="1"/>
          <w:color w:val="auto"/>
        </w:rPr>
        <w:t>New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1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reconciles certain U.S. GAAP financial measures to the corresponding non-U.S. GAAP measures referred to in the discussion of our results of operations, which exclude the impact of manufacturing inefficiencies, acquisition-related items, amortization of acquired intangible assets, share-based payment expense, special charges associated primarily with continued efforts to streamline the organization, and certain discrete income tax benefits of the TCJA. These non-U.S. GAAP financial measures, including adjusted gross profit and margin, adjusted SD&amp;A expenses and adjusted SD&amp;A expenses as a percent of net sales, adjusted operating profit and margin, adjusted net income, and adjusted diluted earnings per share, are provided to enhance the user’s overall understanding of the Company’s current financial performance. Specifically, we believe these non-U.S. GAAP measures provide greater comparability and enhanced visibility into the results of operations. The non-U.S. GAAP financial measures should be considered in addition to, and not as a substitute for or superior to, results prepared in accordance with U.S. GAAP.</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84"/>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rPr>
              <w:t>Increase</w:t>
            </w:r>
          </w:p>
        </w:tc>
        <w:tc>
          <w:tcPr>
            <w:tcW w:w="1340" w:type="dxa"/>
            <w:vAlign w:val="bottom"/>
          </w:tcPr>
          <w:p>
            <w:pPr>
              <w:spacing w:after="0"/>
              <w:rPr>
                <w:sz w:val="16"/>
                <w:szCs w:val="16"/>
                <w:color w:val="auto"/>
              </w:rPr>
            </w:pPr>
          </w:p>
        </w:tc>
      </w:tr>
      <w:tr>
        <w:trPr>
          <w:trHeight w:val="228"/>
        </w:trPr>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2019</w:t>
            </w:r>
          </w:p>
        </w:tc>
        <w:tc>
          <w:tcPr>
            <w:tcW w:w="140" w:type="dxa"/>
            <w:vAlign w:val="bottom"/>
          </w:tcPr>
          <w:p>
            <w:pPr>
              <w:spacing w:after="0"/>
              <w:rPr>
                <w:sz w:val="19"/>
                <w:szCs w:val="19"/>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b w:val="1"/>
                <w:bCs w:val="1"/>
                <w:color w:val="auto"/>
              </w:rPr>
              <w:t>February 28, 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(Decrease)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701.4</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684.4</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703.5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684.4</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w:t>
            </w:r>
          </w:p>
        </w:tc>
      </w:tr>
      <w:tr>
        <w:trPr>
          <w:trHeight w:val="227"/>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i w:val="1"/>
                <w:iCs w:val="1"/>
                <w:color w:val="auto"/>
              </w:rPr>
              <w:t>(150) bps</w:t>
            </w:r>
          </w:p>
        </w:tc>
      </w:tr>
      <w:tr>
        <w:trPr>
          <w:trHeight w:val="297"/>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5120" w:type="dxa"/>
            <w:vAlign w:val="bottom"/>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16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Share-based payment expense</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4"/>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443.6</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i w:val="1"/>
                <w:iCs w:val="1"/>
                <w:color w:val="auto"/>
              </w:rPr>
              <w:t>25.6%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i w:val="1"/>
                <w:iCs w:val="1"/>
                <w:color w:val="auto"/>
              </w:rPr>
              <w:t>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tcPr>
          <w:p>
            <w:pPr>
              <w:jc w:val="right"/>
              <w:ind w:right="939"/>
              <w:spacing w:after="0"/>
              <w:rPr>
                <w:sz w:val="20"/>
                <w:szCs w:val="20"/>
                <w:color w:val="auto"/>
              </w:rPr>
            </w:pPr>
            <w:r>
              <w:rPr>
                <w:rFonts w:ascii="Arial" w:cs="Arial" w:eastAsia="Arial" w:hAnsi="Arial"/>
                <w:sz w:val="16"/>
                <w:szCs w:val="16"/>
                <w:i w:val="1"/>
                <w:iCs w:val="1"/>
                <w:color w:val="auto"/>
              </w:rPr>
              <w:t>(90) bps</w:t>
            </w:r>
          </w:p>
        </w:tc>
      </w:tr>
      <w:tr>
        <w:trPr>
          <w:trHeight w:val="307"/>
        </w:trPr>
        <w:tc>
          <w:tcPr>
            <w:tcW w:w="5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209.7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5120" w:type="dxa"/>
            <w:vAlign w:val="bottom"/>
          </w:tcPr>
          <w:p>
            <w:pPr>
              <w:ind w:left="180"/>
              <w:spacing w:after="0"/>
              <w:rPr>
                <w:sz w:val="20"/>
                <w:szCs w:val="20"/>
                <w:color w:val="auto"/>
              </w:rPr>
            </w:pPr>
            <w:r>
              <w:rPr>
                <w:rFonts w:ascii="Arial" w:cs="Arial" w:eastAsia="Arial" w:hAnsi="Arial"/>
                <w:sz w:val="16"/>
                <w:szCs w:val="16"/>
                <w:color w:val="auto"/>
              </w:rPr>
              <w:t>Add-back: Share-based payment expense</w:t>
            </w:r>
          </w:p>
        </w:tc>
        <w:tc>
          <w:tcPr>
            <w:tcW w:w="160" w:type="dxa"/>
            <w:vAlign w:val="bottom"/>
          </w:tcPr>
          <w:p>
            <w:pPr>
              <w:spacing w:after="0"/>
              <w:rPr>
                <w:sz w:val="22"/>
                <w:szCs w:val="22"/>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12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64"/>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w:t>
            </w:r>
          </w:p>
        </w:tc>
        <w:tc>
          <w:tcPr>
            <w:tcW w:w="1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80"/>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246.5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240.8</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w:t>
            </w:r>
          </w:p>
        </w:tc>
      </w:tr>
      <w:tr>
        <w:trPr>
          <w:trHeight w:val="227"/>
        </w:trPr>
        <w:tc>
          <w:tcPr>
            <w:tcW w:w="512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i w:val="1"/>
                <w:iCs w:val="1"/>
                <w:color w:val="auto"/>
              </w:rPr>
              <w:t>(60) bps</w:t>
            </w:r>
          </w:p>
        </w:tc>
      </w:tr>
      <w:tr>
        <w:trPr>
          <w:trHeight w:val="297"/>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5120" w:type="dxa"/>
            <w:vAlign w:val="bottom"/>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160" w:type="dxa"/>
            <w:vAlign w:val="bottom"/>
          </w:tcPr>
          <w:p>
            <w:pPr>
              <w:spacing w:after="0"/>
              <w:rPr>
                <w:sz w:val="22"/>
                <w:szCs w:val="22"/>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Share-based payment expense</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5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Add-back: Special charge</w:t>
            </w: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7"/>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0"/>
        </w:trPr>
        <w:tc>
          <w:tcPr>
            <w:tcW w:w="5120" w:type="dxa"/>
            <w:vAlign w:val="bottom"/>
          </w:tcPr>
          <w:p>
            <w:pPr>
              <w:ind w:left="180"/>
              <w:spacing w:after="0"/>
              <w:rPr>
                <w:sz w:val="20"/>
                <w:szCs w:val="20"/>
                <w:color w:val="auto"/>
              </w:rPr>
            </w:pPr>
            <w:r>
              <w:rPr>
                <w:rFonts w:ascii="Arial" w:cs="Arial" w:eastAsia="Arial" w:hAnsi="Arial"/>
                <w:sz w:val="16"/>
                <w:szCs w:val="16"/>
                <w:color w:val="auto"/>
              </w:rPr>
              <w:t>Income tax effect</w:t>
            </w:r>
          </w:p>
        </w:tc>
        <w:tc>
          <w:tcPr>
            <w:tcW w:w="16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7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171.8</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160.0</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11.8</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7.4%</w:t>
            </w:r>
          </w:p>
        </w:tc>
      </w:tr>
      <w:tr>
        <w:trPr>
          <w:trHeight w:val="254"/>
        </w:trPr>
        <w:tc>
          <w:tcPr>
            <w:tcW w:w="5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0"/>
        </w:trPr>
        <w:tc>
          <w:tcPr>
            <w:tcW w:w="512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130"/>
        </w:trPr>
        <w:tc>
          <w:tcPr>
            <w:tcW w:w="512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40" w:type="dxa"/>
            <w:vAlign w:val="bottom"/>
          </w:tcPr>
          <w:p>
            <w:pPr>
              <w:spacing w:after="0"/>
              <w:rPr>
                <w:sz w:val="11"/>
                <w:szCs w:val="11"/>
                <w:color w:val="auto"/>
              </w:rPr>
            </w:pPr>
          </w:p>
        </w:tc>
      </w:tr>
    </w:tbl>
    <w:p>
      <w:pPr>
        <w:spacing w:after="0" w:line="6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left="140" w:hanging="132"/>
        <w:spacing w:after="0" w:line="211"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ind w:right="540" w:firstLine="8"/>
        <w:spacing w:after="0" w:line="225" w:lineRule="auto"/>
        <w:tabs>
          <w:tab w:leader="none" w:pos="150"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 xml:space="preserve">Discrete income tax benefits of the TCJA recognized within </w:t>
      </w:r>
      <w:r>
        <w:rPr>
          <w:rFonts w:ascii="Arial" w:cs="Arial" w:eastAsia="Arial" w:hAnsi="Arial"/>
          <w:sz w:val="14"/>
          <w:szCs w:val="14"/>
          <w:i w:val="1"/>
          <w:iCs w:val="1"/>
          <w:color w:val="auto"/>
        </w:rPr>
        <w:t>Income tax expense (benefit)</w:t>
      </w:r>
      <w:r>
        <w:rPr>
          <w:rFonts w:ascii="Arial" w:cs="Arial" w:eastAsia="Arial" w:hAnsi="Arial"/>
          <w:sz w:val="14"/>
          <w:szCs w:val="14"/>
          <w:color w:val="auto"/>
        </w:rPr>
        <w:t xml:space="preserve"> on the </w:t>
      </w:r>
      <w:r>
        <w:rPr>
          <w:rFonts w:ascii="Arial" w:cs="Arial" w:eastAsia="Arial" w:hAnsi="Arial"/>
          <w:sz w:val="14"/>
          <w:szCs w:val="14"/>
          <w:i w:val="1"/>
          <w:iCs w:val="1"/>
          <w:color w:val="auto"/>
        </w:rPr>
        <w:t>Consolidated Statements of Comprehensive Income</w:t>
      </w:r>
      <w:r>
        <w:rPr>
          <w:rFonts w:ascii="Arial" w:cs="Arial" w:eastAsia="Arial" w:hAnsi="Arial"/>
          <w:sz w:val="14"/>
          <w:szCs w:val="14"/>
          <w:color w:val="auto"/>
        </w:rPr>
        <w:t xml:space="preserve">. See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within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details.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six months ended February 28, 2019 increased $112.1 million, or 6.7%, compared with the prior-year period due primarily to an increase in sales volume of approximately 7% and a 1% favorable impact of acquired revenues from acquisitions net of lost revenues from divestitures. This increase was partially offset by the combined unfavorable impacts of adopting ASC 606 and movements in foreign exchange rates of 1%. The increase in net sales was due primarily to greater shipments across our key sales channels. Changes in product prices and the mix of products sold (“price/mix”) were flat year over year as the benefits from recently announced price increases were offset by unfavorable changes primarily in sales channel mix and to a much lesser degree in the mix of products sold. Due to the changing dynamics of our product portfolio, including the increase of integrated lighting and building management solutions, it is not possible to precisely quantify or differentiate the individual components of volume, price, and mix.</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for the first six months of fiscal 2019 increased $17.0 million compared to the prior-year period. Gross profit margin decreased to 39.3% for the six months ended February 28, 2019 compared with 40.9% in the prior-year period. The decline in gross profit margin was due primarily to a shift in sales among key customers within the retail channel as well as changes in sales channel mix. Additionally, gross profit margin was impacted by higher materials and freight costs. Adjusted gross profit for the six months ended February 28, 2019 was $703.5 million (39.4% of net sales) compared with $684.4 million (40.9% of net sales) in the prior-year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SD&amp;A expenses for the six months ended February 28, 2019 were $487.7 million compared with $473.9 million in the prior-year period, an increase of $13.8 million, or 2.9%. The increase in SD&amp;A expenses was primarily due to higher employee related costs, increased commissions to support the greater sales volume, and expenses associated with acquired businesses. SD&amp;A expenses for the first six months of fiscal 2019 were 27.3% of net sales compared with 28.3% for the prior-year period. Adjusted SD&amp;A expenses for the six months ended February 28, 2019 were $457.0 million (25.6% of net sales) compared with $443.6 million (26.5% of net sales) in the prior-year period.</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recognized a pre-tax special charge of $1.4 million during the first six months of fiscal 2019, compared with a pre-tax special charge of $0.8 million during the first six months of fiscal 2018. Further details regarding our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profit for the first six months of fiscal 2019 was $212.3 million compared with $209.7 million for the prior-year period, an increase of $2.6 million, or 1.2%. The increase in operating profit was due primarily to an increase in gross profit, partially offset by an increase in SD&amp;A expenses and a higher special charge.</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operating profit increased by $5.7 million, or 2.4%, to $246.5 million for the first six months of fiscal 2019 compared with $240.8 million for the first six months of fiscal 2018. Adjusted operating profit margin for the first six months of fiscal 2019 decreased 60 basis points to 13.8% compared with 14.4% in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expense (income) consists principally of net interest expense and net miscellaneous expense, which includes non-service related components of net periodic pension cost, gains and losses associated with foreign currency-related transactions, and non-operating gains and losses. Interest expense, net, was $17.3 million and $ 16.1 million for the six months ended February 28, 2019 and 2018, respectively. We reported net miscellaneous expense of $2.4 million and $4.0 million for the six months ended February 28, 2019 and 2018,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effective income tax rate was 24.2% and 11.2% for the six months ended February 28, 2019 and 2018, respectively. The effective income rate for the six months ended February 28, 2019 was significantly impacted by the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for the first six months of fiscal 2019 decreased $22.5 million to $145.9 million from $168.4 million reported for the prior-year period. The decrease in net income resulted primarily from a one-time tax benefit for income taxes related to the TCJA recorded in 2018 that did not recur in the current fiscal year. Diluted earnings per share for the six months ended February 28, 2019 decreased $0.38 to $3.66 compared with diluted earnings per share of $4.04 for the prior-year period. This decrease reflects higher net income tax expense, partially offset by a reduced share count.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net income for the first six months of fiscal 2019 was $ 171.8 million compared with $ 160.0 million in the prior-year period, which represented a increase of $11.8 million, or 7.4%. Adjusted diluted earnings per share for the six months ended February 28, 2019 increased $0.47, or 12.2%, to $4.31 compared with $3.84 for the prior-year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believe the execution of our strategy will provide attractive opportunities for profitable growth over the long-term. Our strategy is to capitalize on market growth and share gain opportunities by continuing to expand and leverage our industry-leading lighting and building management solutions portfolio, coupled with our extensive market presence and financial strength, to produce attractive financial performance over the long-term.</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Third-party forecasts and leading indicators suggest that the North American lighting market, our primary market, will increase in the low-single digit range in fiscal 2019. We continue to believe that the forecasts reflect reasonable growth expectations, but we remain cautiously optimistic given the angst in the marketplace due to the uncertainties around political, trade, and economic policies, including the Trump administration’s recent comments about possibly closing the U.S./Mexico border, as well as increases in input costs and volatility in interest rates. We expect to continue to outperform the growth rates of the markets that we serve by executing strategies focused on growth opportunities for new construction and renovation projects, expansion into underpenetrated geographies and channels, and growth from the continued introduction of new lighting and building management solutions as part of our integrated, tiered solutions strategy, including leveraging our unique, technology driven solutions portfolio to capture market share in the nascent, but rapidly growing, market for data capture, analytics, and other services, assisting in transforming buildings and campuses from cost centers to strategic assets.</w:t>
      </w:r>
    </w:p>
    <w:p>
      <w:pPr>
        <w:spacing w:after="0" w:line="1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expect the pricing environment to continue to be challenging in portions of the market, particularly for more basic, lesser-featured products sold through certain sales channels as well as shifts in product mix, both of which are expected to continue to negatively impact net sales and margins. We expect recently announced price increases to mitigate some of the pricing pressures in the market but not to have any material impact on product substitution trends to lower priced alternatives. We expect to continue to introduce products and solutions to more effectively compete in these portions of the market and to accelerate programs to reduce product costs in order to maintain our competitiveness and drive improved profitability. We expect the shift in customers within the retail sales channel to continue to have a dampening effect on gross profit dollars and gross profit margin but be largely offset by lower freight and commission costs, which are included in SD&amp;A expenses. Additionally, in an effort to enhance our margin profile, we have initiated a review of a small portion of our product portfolio and services offering with the objective of eliminating those items and activities that do not meet our return objectives.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U.S. federal government has recently imposed tariffs on certain Chinese imports. Certain components used in our products as well as certain sourced finished products are sourced from China and are impacted by the recently imposed tariffs. Our efforts to mitigate the impact of these added costs include a variety of activities, such as finding alternative suppliers, in-sourcing the production of certain products, and raising prices. We believe that our mitigation activities, including recently announced price increases once fully enacted, will assist to offset the added costs. Future U.S. policy changes that may be implemented, including additional tariffs, could have a positive or negative consequence on our financial performance depending on how the changes influence many factors, including business and consumer sentiment.</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2018, we announced the planned consolidation of certain facilities and associated reduction in employee workforce. We recognized $12.0 million to date in special charges for this initiative primarily related to severance, employee benefit costs, and relocation costs. We expect to incur additional costs in future periods primarily related to early lease termination and additional relocation costs. Annual savings realized from the streamlining activities, once fully completed, are expected to exceed the amount of the special charges recognized. We expect to reinvest most of the savings in activities to support higher-growth opportunities, as well as drive improved profitability.</w:t>
      </w:r>
    </w:p>
    <w:p>
      <w:pPr>
        <w:spacing w:after="0" w:line="1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fourth quarter of fiscal 2018, we entered into a new credit agreement with a syndicate of banks that increased our borrowing capacity under such agreements from $250 million to $800 million. The increase in borrowing capacity provides us with the resources to support growth opportunities, including acquisitions, accommodate the current stock repurchase program, of which 4.8 million shares remain available for repurchase as of April 3, 2019, and refinance our outstanding senior unsecured notes that mature in late calendar 2019. The extent and timing of actual stock repurchases will be subject to various factors, including stock price, company performance, expected future market conditions, and other possible uses of cash, including acquisitions. We may increase our leverage to accommodate the stock repurchase program.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a longer term perspective, we expect that our addressable markets have the potential to experience solid growth over the next decade, particularly as energy and environmental concerns continue to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We remain positive about the future prospects of the Company and our ability to outperform the markets we serve.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us to make estimates and 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amortization and the recoverability of long-lived assets, including goodwill and intangible assets; share-based payment expense; medical, product warranty and recall, and other reserves; retirement benefits; and litigation.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accounting estimates with the Audit Committee of the Board.</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There have been no material changes in our critical accounting estimates during the current period. We adopted ASC 606 during the current fiscal year, which required changes to our revenue policies but did not have a material impact to our financial condition, results of operations, or cash flows. Refer to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within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regarding our accounting policies and critical accounting estimates under ASC 606.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other significant accounting policies that may involve a higher degree of judgment, refer to our Form 10-K.</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liquidity, capital structure, capital expenditures, investments, share repurchases, and dividends, including our intent and ability to refinance our senior unsecured notes; (b) expectations about the impact of any changes in demand as well as volatility and uncertainty in general economic conditions and the pricing environment; (c) external forecasts projecting the North American lighting and building management solutions market growth rate and growth in our addressable markets; (d) our ability to execute and realize benefits from initiatives related to streamlining our operations, capitalize on growth opportunities, expand in key markets as well as underpenetrated geographies and channels, and introduce new lighting and building management solutions; (e) our estimate of our fiscal 2019 effective income tax rate, results of operations, and cash flows; (f) our estimate of future amortization expense; (g) our ability to achieve our long-term financial goals and measures and outperform the markets we serve; (h) the impact of changes in the political landscape and related policy changes, including monetary, regulatory, and trade policies, including the Trump administration's recent comments about possibly closing the U.S./Mexico border; (i) our expectations related to mitigating efforts around recently imposed tariffs; and</w:t>
      </w:r>
    </w:p>
    <w:p>
      <w:pPr>
        <w:spacing w:after="0" w:line="7" w:lineRule="exact"/>
        <w:rPr>
          <w:sz w:val="20"/>
          <w:szCs w:val="20"/>
          <w:color w:val="auto"/>
        </w:rPr>
      </w:pPr>
    </w:p>
    <w:p>
      <w:pPr>
        <w:jc w:val="both"/>
        <w:ind w:firstLine="8"/>
        <w:spacing w:after="0" w:line="252" w:lineRule="auto"/>
        <w:tabs>
          <w:tab w:leader="none" w:pos="21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about the resolution of trade compliance, securities class action, and/or other legal matters.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include, but are not limited to, customer and supplier relationships and prices; competition; ability to realize anticipated benefits from initiatives taken and timing of benefits;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market demand; litigation and other contingent liabilities; and economic, political, governmental, and technological factors affecting us. Also, additional risks that could cause our actual results to differ materially from those expressed in our forward-looking statements are discussed in </w:t>
      </w:r>
      <w:r>
        <w:rPr>
          <w:rFonts w:ascii="Arial" w:cs="Arial" w:eastAsia="Arial" w:hAnsi="Arial"/>
          <w:sz w:val="18"/>
          <w:szCs w:val="18"/>
          <w:i w:val="1"/>
          <w:iCs w:val="1"/>
          <w:color w:val="auto"/>
        </w:rPr>
        <w:t xml:space="preserve">Part I, Item 1a. Risk Factors </w:t>
      </w:r>
      <w:r>
        <w:rPr>
          <w:rFonts w:ascii="Arial" w:cs="Arial" w:eastAsia="Arial" w:hAnsi="Arial"/>
          <w:sz w:val="18"/>
          <w:szCs w:val="18"/>
          <w:color w:val="auto"/>
        </w:rPr>
        <w:t>of our Form 10-K, and are specifically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There have been no material changes to our exposure from market risks from those disclosed in </w:t>
      </w:r>
      <w:r>
        <w:rPr>
          <w:rFonts w:ascii="Arial" w:cs="Arial" w:eastAsia="Arial" w:hAnsi="Arial"/>
          <w:sz w:val="18"/>
          <w:szCs w:val="18"/>
          <w:i w:val="1"/>
          <w:iCs w:val="1"/>
          <w:color w:val="auto"/>
        </w:rPr>
        <w:t>Part II, Item 7a.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of our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February 28, 2019.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February 28, 2019.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our officers on behalf of all persons who purchased or otherwise acquired our stock between June 29, 2016 and April 3, 2017. On February 20, 2018, a different shareholder filed a second class action complaint in the same venue against the same parties on behalf of all persons who purchased or otherwise acquired our stock between October 15, 2015 and April 3, 2017. The cases were transferred on April 30, 2018, to the United States District Court for the Northern District of Georgia and subsequently were consolidated as In re Acuity Brands, Inc. Securities Litigation, Civil Action No. 1:18-cv-02140-MHC (N.D. Ga.). On October 5, 2018, the court appointed lead plaintiff filed a consolidated amended class action complaint (the “Consolidated Complaint”), which supersedes the initial complaints. The Consolidated Complaint is brought on behalf of all persons who purchased our common stock between October 7, 2015 and April 3, 2017 and alleges that the Company and certain of our current officers and one former executive violated the federal securities laws by making false or misleading statements and/or omitting to disclose material adverse facts that (i) concealed known trends negatively impacting sales of the Company’s products and (ii) overstated our ability to achieve profitable sales growth. The plaintiffs seek class certification, unspecified monetary damages, costs, and attorneys’ fees. We dispute the allegations and intend to vigorously defend against the claims in the complaints. We have filed a motion to dismiss the Consolidated Complaint.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 We maintain Director and Officer insurance policies that may cover any liability arising out of this litigation up to the policies’ limits, subject to a self-insured retention and other terms and conditions.</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subject to various other legal claims arising in the normal course of business, including, but not limited to, patent infringement, product liability claims, and employment matters. We are self-insured up to specified limits for certain types of claims, including product liability, and are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our financial condition, results of operations, or cash flows in future periods. We establish reserves for legal claims when the costs associated with the claims become probable and can be reasonably estimated. The actual costs of resolving legal claims may be substantially higher than the amounts reserved for such claims. However, we cannot make a meaningful estimate of actual costs to be incurred that could possibly be higher or lower than the amounts reserved.</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the Company’s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February 28, 2019,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6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2018, the Board of Directors authorized the repurchase of up to six million shares of the Company's common stock. As of February 28, 2019, we repurchased a total of 1.2 million shares under this plan. The following table reflects activity related to equity securities we repurchased during the quarter ended February 28,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40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Purchases of Equity Securities</w:t>
            </w:r>
          </w:p>
        </w:tc>
        <w:tc>
          <w:tcPr>
            <w:tcW w:w="20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8"/>
        </w:trPr>
        <w:tc>
          <w:tcPr>
            <w:tcW w:w="3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r>
      <w:tr>
        <w:trPr>
          <w:trHeight w:val="189"/>
        </w:trPr>
        <w:tc>
          <w:tcPr>
            <w:tcW w:w="3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3340" w:type="dxa"/>
            <w:vAlign w:val="bottom"/>
          </w:tcPr>
          <w:p>
            <w:pPr>
              <w:spacing w:after="0"/>
              <w:rPr>
                <w:sz w:val="16"/>
                <w:szCs w:val="16"/>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Number of Shares</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Average Price Paid per</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Purchased</w:t>
            </w: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12/1/2018 through 12/31/2018</w:t>
            </w:r>
          </w:p>
        </w:tc>
        <w:tc>
          <w:tcPr>
            <w:tcW w:w="1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200,000</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118.41</w:t>
            </w:r>
          </w:p>
        </w:tc>
        <w:tc>
          <w:tcPr>
            <w:tcW w:w="2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200,000</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4,800,000</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1/1/2019 through 1/31/2019</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4,800,000</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2/1/2019 through 2/28/2019</w:t>
            </w:r>
          </w:p>
        </w:tc>
        <w:tc>
          <w:tcPr>
            <w:tcW w:w="1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4,800,000</w:t>
            </w: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Total</w:t>
            </w:r>
          </w:p>
        </w:tc>
        <w:tc>
          <w:tcPr>
            <w:tcW w:w="1980" w:type="dxa"/>
            <w:vAlign w:val="bottom"/>
          </w:tcPr>
          <w:p>
            <w:pPr>
              <w:jc w:val="right"/>
              <w:ind w:right="79"/>
              <w:spacing w:after="0"/>
              <w:rPr>
                <w:sz w:val="20"/>
                <w:szCs w:val="20"/>
                <w:color w:val="auto"/>
              </w:rPr>
            </w:pPr>
            <w:r>
              <w:rPr>
                <w:rFonts w:ascii="Arial" w:cs="Arial" w:eastAsia="Arial" w:hAnsi="Arial"/>
                <w:sz w:val="16"/>
                <w:szCs w:val="16"/>
                <w:color w:val="auto"/>
              </w:rPr>
              <w:t>200,000</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118.41</w:t>
            </w:r>
          </w:p>
        </w:tc>
        <w:tc>
          <w:tcPr>
            <w:tcW w:w="2060" w:type="dxa"/>
            <w:vAlign w:val="bottom"/>
          </w:tcPr>
          <w:p>
            <w:pPr>
              <w:jc w:val="right"/>
              <w:ind w:right="79"/>
              <w:spacing w:after="0"/>
              <w:rPr>
                <w:sz w:val="20"/>
                <w:szCs w:val="20"/>
                <w:color w:val="auto"/>
              </w:rPr>
            </w:pPr>
            <w:r>
              <w:rPr>
                <w:rFonts w:ascii="Arial" w:cs="Arial" w:eastAsia="Arial" w:hAnsi="Arial"/>
                <w:sz w:val="16"/>
                <w:szCs w:val="16"/>
                <w:color w:val="auto"/>
              </w:rPr>
              <w:t>200,000</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4,800,000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On March 29, 2019, the Board declared a quarterly dividend of $0.13 per share. The dividend is payable on May 1, 2019 to stockholders of record on April 17,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5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46">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6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40" w:type="dxa"/>
            <w:vAlign w:val="bottom"/>
            <w:gridSpan w:val="14"/>
          </w:tcPr>
          <w:p>
            <w:pPr>
              <w:ind w:left="360"/>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380" w:type="dxa"/>
            <w:vAlign w:val="bottom"/>
          </w:tcPr>
          <w:p>
            <w:pPr>
              <w:spacing w:after="0"/>
              <w:rPr>
                <w:sz w:val="20"/>
                <w:szCs w:val="20"/>
                <w:color w:val="auto"/>
              </w:rPr>
            </w:pPr>
            <w:r>
              <w:rPr>
                <w:rFonts w:ascii="Arial" w:cs="Arial" w:eastAsia="Arial" w:hAnsi="Arial"/>
                <w:sz w:val="16"/>
                <w:szCs w:val="16"/>
                <w:color w:val="auto"/>
              </w:rPr>
              <w:t>EXHIBIT 3</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360" w:type="dxa"/>
            <w:vAlign w:val="bottom"/>
            <w:gridSpan w:val="18"/>
          </w:tcPr>
          <w:p>
            <w:pPr>
              <w:spacing w:after="0"/>
              <w:rPr>
                <w:rFonts w:ascii="Arial" w:cs="Arial" w:eastAsia="Arial" w:hAnsi="Arial"/>
                <w:sz w:val="16"/>
                <w:szCs w:val="16"/>
                <w:color w:val="0000FF"/>
              </w:rPr>
            </w:pPr>
            <w:hyperlink r:id="rId39">
              <w:r>
                <w:rPr>
                  <w:rFonts w:ascii="Arial" w:cs="Arial" w:eastAsia="Arial" w:hAnsi="Arial"/>
                  <w:sz w:val="16"/>
                  <w:szCs w:val="16"/>
                  <w:color w:val="0000FF"/>
                </w:rPr>
                <w:t>Restated Certificate of Incorporation of Acuity Brands, Inc.</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6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(formerly Acuity Brands Holdings, Inc.), dated as of</w:t>
              </w:r>
            </w:hyperlink>
          </w:p>
        </w:tc>
        <w:tc>
          <w:tcPr>
            <w:tcW w:w="200" w:type="dxa"/>
            <w:vAlign w:val="bottom"/>
            <w:gridSpan w:val="5"/>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4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39">
              <w:r>
                <w:rPr>
                  <w:rFonts w:ascii="Arial" w:cs="Arial" w:eastAsia="Arial" w:hAnsi="Arial"/>
                  <w:sz w:val="16"/>
                  <w:szCs w:val="16"/>
                  <w:color w:val="0000FF"/>
                </w:rPr>
                <w:t>September 26, 2007.</w:t>
              </w:r>
            </w:hyperlink>
          </w:p>
        </w:tc>
        <w:tc>
          <w:tcPr>
            <w:tcW w:w="720" w:type="dxa"/>
            <w:vAlign w:val="bottom"/>
            <w:gridSpan w:val="11"/>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60" w:type="dxa"/>
            <w:vAlign w:val="bottom"/>
            <w:gridSpan w:val="18"/>
          </w:tcPr>
          <w:p>
            <w:pPr>
              <w:spacing w:after="0"/>
              <w:rPr>
                <w:rFonts w:ascii="Arial" w:cs="Arial" w:eastAsia="Arial" w:hAnsi="Arial"/>
                <w:sz w:val="16"/>
                <w:szCs w:val="16"/>
                <w:color w:val="0000FF"/>
              </w:rPr>
            </w:pPr>
            <w:hyperlink r:id="rId40">
              <w:r>
                <w:rPr>
                  <w:rFonts w:ascii="Arial" w:cs="Arial" w:eastAsia="Arial" w:hAnsi="Arial"/>
                  <w:sz w:val="16"/>
                  <w:szCs w:val="16"/>
                  <w:color w:val="0000FF"/>
                </w:rPr>
                <w:t>Certificate of Amendment of Acuity Brands, Inc. (formerly</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40">
              <w:r>
                <w:rPr>
                  <w:rFonts w:ascii="Arial" w:cs="Arial" w:eastAsia="Arial" w:hAnsi="Arial"/>
                  <w:sz w:val="16"/>
                  <w:szCs w:val="16"/>
                  <w:color w:val="0000FF"/>
                </w:rPr>
                <w:t>Acuity Brands Holdings, Inc.), dated as of September 26,</w:t>
              </w:r>
            </w:hyperlink>
          </w:p>
        </w:tc>
        <w:tc>
          <w:tcPr>
            <w:tcW w:w="280" w:type="dxa"/>
            <w:vAlign w:val="bottom"/>
            <w:gridSpan w:val="7"/>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Arial" w:cs="Arial" w:eastAsia="Arial" w:hAnsi="Arial"/>
                <w:sz w:val="16"/>
                <w:szCs w:val="16"/>
                <w:color w:val="0000FF"/>
                <w:w w:val="94"/>
              </w:rPr>
            </w:pPr>
            <w:hyperlink r:id="rId40">
              <w:r>
                <w:rPr>
                  <w:rFonts w:ascii="Arial" w:cs="Arial" w:eastAsia="Arial" w:hAnsi="Arial"/>
                  <w:sz w:val="16"/>
                  <w:szCs w:val="16"/>
                  <w:color w:val="0000FF"/>
                  <w:w w:val="94"/>
                </w:rPr>
                <w:t>2007.</w:t>
              </w:r>
            </w:hyperlink>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(c)</w:t>
            </w:r>
          </w:p>
        </w:tc>
        <w:tc>
          <w:tcPr>
            <w:tcW w:w="3920" w:type="dxa"/>
            <w:vAlign w:val="bottom"/>
            <w:tcBorders>
              <w:bottom w:val="single" w:sz="8" w:color="0000FF"/>
            </w:tcBorders>
            <w:gridSpan w:val="9"/>
          </w:tcPr>
          <w:p>
            <w:pPr>
              <w:spacing w:after="0"/>
              <w:rPr>
                <w:rFonts w:ascii="Arial" w:cs="Arial" w:eastAsia="Arial" w:hAnsi="Arial"/>
                <w:sz w:val="16"/>
                <w:szCs w:val="16"/>
                <w:color w:val="0000FF"/>
              </w:rPr>
            </w:pPr>
            <w:hyperlink r:id="rId41">
              <w:r>
                <w:rPr>
                  <w:rFonts w:ascii="Arial" w:cs="Arial" w:eastAsia="Arial" w:hAnsi="Arial"/>
                  <w:sz w:val="16"/>
                  <w:szCs w:val="16"/>
                  <w:color w:val="0000FF"/>
                </w:rPr>
                <w:t>Certificate of Amendment to the Restated Certificate of</w:t>
              </w:r>
            </w:hyperlink>
          </w:p>
        </w:tc>
        <w:tc>
          <w:tcPr>
            <w:tcW w:w="440" w:type="dxa"/>
            <w:vAlign w:val="bottom"/>
            <w:gridSpan w:val="9"/>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r:id="rId41">
              <w:r>
                <w:rPr>
                  <w:rFonts w:ascii="Arial" w:cs="Arial" w:eastAsia="Arial" w:hAnsi="Arial"/>
                  <w:sz w:val="16"/>
                  <w:szCs w:val="16"/>
                  <w:color w:val="0000FF"/>
                </w:rPr>
                <w:t>Incorporation of Acuity Brands, Inc., dated as of January 6,</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41">
              <w:r>
                <w:rPr>
                  <w:rFonts w:ascii="Arial" w:cs="Arial" w:eastAsia="Arial" w:hAnsi="Arial"/>
                  <w:sz w:val="16"/>
                  <w:szCs w:val="16"/>
                  <w:color w:val="0000FF"/>
                  <w:w w:val="94"/>
                </w:rPr>
                <w:t>2017.</w:t>
              </w:r>
            </w:hyperlink>
          </w:p>
        </w:tc>
        <w:tc>
          <w:tcPr>
            <w:tcW w:w="1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(d)</w:t>
            </w:r>
          </w:p>
        </w:tc>
        <w:tc>
          <w:tcPr>
            <w:tcW w:w="4360" w:type="dxa"/>
            <w:vAlign w:val="bottom"/>
            <w:gridSpan w:val="18"/>
          </w:tcPr>
          <w:p>
            <w:pPr>
              <w:spacing w:after="0"/>
              <w:rPr>
                <w:rFonts w:ascii="Arial" w:cs="Arial" w:eastAsia="Arial" w:hAnsi="Arial"/>
                <w:sz w:val="16"/>
                <w:szCs w:val="16"/>
                <w:color w:val="0000FF"/>
              </w:rPr>
            </w:pPr>
            <w:hyperlink r:id="rId42">
              <w:r>
                <w:rPr>
                  <w:rFonts w:ascii="Arial" w:cs="Arial" w:eastAsia="Arial" w:hAnsi="Arial"/>
                  <w:sz w:val="16"/>
                  <w:szCs w:val="16"/>
                  <w:color w:val="0000FF"/>
                </w:rPr>
                <w:t>Amended and Restated Bylaws of Acuity Brands, Inc., dated</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9"/>
              </w:rPr>
            </w:pPr>
            <w:hyperlink r:id="rId42">
              <w:r>
                <w:rPr>
                  <w:rFonts w:ascii="Arial" w:cs="Arial" w:eastAsia="Arial" w:hAnsi="Arial"/>
                  <w:sz w:val="16"/>
                  <w:szCs w:val="16"/>
                  <w:color w:val="0000FF"/>
                  <w:w w:val="99"/>
                </w:rPr>
                <w:t>as of January 6, 2017.</w:t>
              </w:r>
            </w:hyperlink>
          </w:p>
        </w:tc>
        <w:tc>
          <w:tcPr>
            <w:tcW w:w="272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6"/>
                <w:szCs w:val="16"/>
                <w:color w:val="auto"/>
              </w:rPr>
              <w:t>EXHIBIT 10</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360" w:type="dxa"/>
            <w:vAlign w:val="bottom"/>
            <w:gridSpan w:val="18"/>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Amendment No. 5 to Acuity Brands, Inc. Amended and</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w:anchor="page48">
              <w:r>
                <w:rPr>
                  <w:rFonts w:ascii="Arial" w:cs="Arial" w:eastAsia="Arial" w:hAnsi="Arial"/>
                  <w:sz w:val="16"/>
                  <w:szCs w:val="16"/>
                  <w:color w:val="0000FF"/>
                </w:rPr>
                <w:t>Restated Severance Agreement between Acuity Brands, Inc.</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w:anchor="page48">
              <w:r>
                <w:rPr>
                  <w:rFonts w:ascii="Arial" w:cs="Arial" w:eastAsia="Arial" w:hAnsi="Arial"/>
                  <w:sz w:val="16"/>
                  <w:szCs w:val="16"/>
                  <w:color w:val="0000FF"/>
                </w:rPr>
                <w:t>and Vernon J. Nagel dated March 29, 2019.</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3700" w:type="dxa"/>
            <w:vAlign w:val="bottom"/>
            <w:tcBorders>
              <w:bottom w:val="single" w:sz="8" w:color="0000FF"/>
            </w:tcBorders>
            <w:gridSpan w:val="8"/>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Amendment No. 9 to Acuity Brands, Inc. Severance</w:t>
              </w:r>
            </w:hyperlink>
          </w:p>
        </w:tc>
        <w:tc>
          <w:tcPr>
            <w:tcW w:w="660" w:type="dxa"/>
            <w:vAlign w:val="bottom"/>
            <w:gridSpan w:val="10"/>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960" w:type="dxa"/>
            <w:vAlign w:val="bottom"/>
            <w:tcBorders>
              <w:bottom w:val="single" w:sz="8" w:color="0000FF"/>
            </w:tcBorders>
            <w:gridSpan w:val="10"/>
          </w:tcPr>
          <w:p>
            <w:pPr>
              <w:spacing w:after="0" w:line="169" w:lineRule="exact"/>
              <w:rPr>
                <w:rFonts w:ascii="Arial" w:cs="Arial" w:eastAsia="Arial" w:hAnsi="Arial"/>
                <w:sz w:val="16"/>
                <w:szCs w:val="16"/>
                <w:color w:val="0000FF"/>
              </w:rPr>
            </w:pPr>
            <w:hyperlink w:anchor="page50">
              <w:r>
                <w:rPr>
                  <w:rFonts w:ascii="Arial" w:cs="Arial" w:eastAsia="Arial" w:hAnsi="Arial"/>
                  <w:sz w:val="16"/>
                  <w:szCs w:val="16"/>
                  <w:color w:val="0000FF"/>
                </w:rPr>
                <w:t>Agreement between Acuity Brands, Inc. and Richard K.</w:t>
              </w:r>
            </w:hyperlink>
          </w:p>
        </w:tc>
        <w:tc>
          <w:tcPr>
            <w:tcW w:w="400" w:type="dxa"/>
            <w:vAlign w:val="bottom"/>
            <w:gridSpan w:val="8"/>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w:anchor="page50">
              <w:r>
                <w:rPr>
                  <w:rFonts w:ascii="Arial" w:cs="Arial" w:eastAsia="Arial" w:hAnsi="Arial"/>
                  <w:sz w:val="16"/>
                  <w:szCs w:val="16"/>
                  <w:color w:val="0000FF"/>
                </w:rPr>
                <w:t>Reece dated March 29, 2019.</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EXHIBIT 31</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4"/>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Certification of the Chief Executive Officer of the Company</w:t>
              </w:r>
            </w:hyperlink>
          </w:p>
        </w:tc>
        <w:tc>
          <w:tcPr>
            <w:tcW w:w="180" w:type="dxa"/>
            <w:vAlign w:val="bottom"/>
            <w:gridSpan w:val="4"/>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51">
              <w:r>
                <w:rPr>
                  <w:rFonts w:ascii="Arial" w:cs="Arial" w:eastAsia="Arial" w:hAnsi="Arial"/>
                  <w:sz w:val="16"/>
                  <w:szCs w:val="16"/>
                  <w:color w:val="0000FF"/>
                </w:rPr>
                <w:t>pursuant to Section 302 of the Sarbanes-Oxley Act of 2002.</w:t>
              </w:r>
            </w:hyperlink>
          </w:p>
        </w:tc>
        <w:tc>
          <w:tcPr>
            <w:tcW w:w="80" w:type="dxa"/>
            <w:vAlign w:val="bottom"/>
            <w:gridSpan w:val="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60" w:type="dxa"/>
            <w:vAlign w:val="bottom"/>
            <w:gridSpan w:val="18"/>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20" w:type="dxa"/>
            <w:vAlign w:val="bottom"/>
            <w:gridSpan w:val="6"/>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Borders>
              <w:bottom w:val="single" w:sz="8" w:color="0000FF"/>
            </w:tcBorders>
            <w:gridSpan w:val="16"/>
          </w:tcPr>
          <w:p>
            <w:pPr>
              <w:spacing w:after="0" w:line="169" w:lineRule="exact"/>
              <w:rPr>
                <w:rFonts w:ascii="Arial" w:cs="Arial" w:eastAsia="Arial" w:hAnsi="Arial"/>
                <w:sz w:val="16"/>
                <w:szCs w:val="16"/>
                <w:color w:val="0000FF"/>
              </w:rPr>
            </w:pPr>
            <w:hyperlink w:anchor="page52">
              <w:r>
                <w:rPr>
                  <w:rFonts w:ascii="Arial" w:cs="Arial" w:eastAsia="Arial" w:hAnsi="Arial"/>
                  <w:sz w:val="16"/>
                  <w:szCs w:val="16"/>
                  <w:color w:val="0000FF"/>
                </w:rPr>
                <w:t>pursuant to Section 302 of the Sarbanes-Oxley Act of 2002.</w:t>
              </w:r>
            </w:hyperlink>
          </w:p>
        </w:tc>
        <w:tc>
          <w:tcPr>
            <w:tcW w:w="80" w:type="dxa"/>
            <w:vAlign w:val="bottom"/>
            <w:gridSpan w:val="2"/>
          </w:tcPr>
          <w:p>
            <w:pPr>
              <w:spacing w:after="0"/>
              <w:rPr>
                <w:sz w:val="14"/>
                <w:szCs w:val="14"/>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6"/>
                <w:szCs w:val="16"/>
                <w:color w:val="auto"/>
              </w:rPr>
              <w:t>EXHIBIT 32</w:t>
            </w:r>
          </w:p>
        </w:tc>
        <w:tc>
          <w:tcPr>
            <w:tcW w:w="1040" w:type="dxa"/>
            <w:vAlign w:val="bottom"/>
          </w:tcPr>
          <w:p>
            <w:pPr>
              <w:ind w:left="46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4"/>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Certification of the Chief Executive Officer of the Company</w:t>
              </w:r>
            </w:hyperlink>
          </w:p>
        </w:tc>
        <w:tc>
          <w:tcPr>
            <w:tcW w:w="180" w:type="dxa"/>
            <w:vAlign w:val="bottom"/>
            <w:gridSpan w:val="4"/>
          </w:tcPr>
          <w:p>
            <w:pPr>
              <w:spacing w:after="0"/>
              <w:rPr>
                <w:sz w:val="19"/>
                <w:szCs w:val="19"/>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w:anchor="page53">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w:anchor="page53">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0"/>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23"/>
        </w:trPr>
        <w:tc>
          <w:tcPr>
            <w:tcW w:w="138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(b)</w:t>
            </w:r>
          </w:p>
        </w:tc>
        <w:tc>
          <w:tcPr>
            <w:tcW w:w="4360" w:type="dxa"/>
            <w:vAlign w:val="bottom"/>
            <w:gridSpan w:val="18"/>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the Chief Financial Officer of the Company</w:t>
              </w:r>
            </w:hyperlink>
          </w:p>
        </w:tc>
      </w:tr>
      <w:tr>
        <w:trPr>
          <w:trHeight w:val="20"/>
        </w:trPr>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20" w:type="dxa"/>
            <w:vAlign w:val="bottom"/>
            <w:gridSpan w:val="12"/>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6"/>
                <w:szCs w:val="16"/>
                <w:color w:val="0000FF"/>
              </w:rPr>
            </w:pPr>
            <w:hyperlink w:anchor="page54">
              <w:r>
                <w:rPr>
                  <w:rFonts w:ascii="Arial" w:cs="Arial" w:eastAsia="Arial" w:hAnsi="Arial"/>
                  <w:sz w:val="16"/>
                  <w:szCs w:val="16"/>
                  <w:color w:val="0000FF"/>
                </w:rPr>
                <w:t>pursuant to 18 U.S.C. Section 1350, as adopted pursuant to</w:t>
              </w:r>
            </w:hyperlink>
          </w:p>
        </w:tc>
      </w:tr>
      <w:tr>
        <w:trPr>
          <w:trHeight w:val="169"/>
        </w:trPr>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w:anchor="page54">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0"/>
          </w:tcPr>
          <w:p>
            <w:pPr>
              <w:spacing w:after="0"/>
              <w:rPr>
                <w:sz w:val="14"/>
                <w:szCs w:val="14"/>
                <w:color w:val="auto"/>
              </w:rPr>
            </w:pPr>
          </w:p>
        </w:tc>
        <w:tc>
          <w:tcPr>
            <w:tcW w:w="80" w:type="dxa"/>
            <w:vAlign w:val="bottom"/>
            <w:gridSpan w:val="2"/>
          </w:tcPr>
          <w:p>
            <w:pPr>
              <w:spacing w:after="0"/>
              <w:rPr>
                <w:sz w:val="14"/>
                <w:szCs w:val="14"/>
                <w:color w:val="auto"/>
              </w:rPr>
            </w:pPr>
          </w:p>
        </w:tc>
      </w:tr>
      <w:tr>
        <w:trPr>
          <w:trHeight w:val="258"/>
        </w:trPr>
        <w:tc>
          <w:tcPr>
            <w:tcW w:w="1380" w:type="dxa"/>
            <w:vAlign w:val="bottom"/>
          </w:tcPr>
          <w:p>
            <w:pPr>
              <w:spacing w:after="0"/>
              <w:rPr>
                <w:sz w:val="20"/>
                <w:szCs w:val="20"/>
                <w:color w:val="auto"/>
              </w:rPr>
            </w:pPr>
            <w:r>
              <w:rPr>
                <w:rFonts w:ascii="Arial" w:cs="Arial" w:eastAsia="Arial" w:hAnsi="Arial"/>
                <w:sz w:val="16"/>
                <w:szCs w:val="16"/>
                <w:color w:val="auto"/>
              </w:rPr>
              <w:t>EXHIBIT 101</w:t>
            </w:r>
          </w:p>
        </w:tc>
        <w:tc>
          <w:tcPr>
            <w:tcW w:w="1040" w:type="dxa"/>
            <w:vAlign w:val="bottom"/>
          </w:tcPr>
          <w:p>
            <w:pPr>
              <w:ind w:left="460"/>
              <w:spacing w:after="0"/>
              <w:rPr>
                <w:sz w:val="20"/>
                <w:szCs w:val="20"/>
                <w:color w:val="auto"/>
              </w:rPr>
            </w:pPr>
            <w:r>
              <w:rPr>
                <w:rFonts w:ascii="Arial" w:cs="Arial" w:eastAsia="Arial" w:hAnsi="Arial"/>
                <w:sz w:val="16"/>
                <w:szCs w:val="16"/>
                <w:color w:val="auto"/>
              </w:rPr>
              <w:t>.INS</w:t>
            </w:r>
          </w:p>
        </w:tc>
        <w:tc>
          <w:tcPr>
            <w:tcW w:w="4360" w:type="dxa"/>
            <w:vAlign w:val="bottom"/>
            <w:gridSpan w:val="18"/>
          </w:tcPr>
          <w:p>
            <w:pPr>
              <w:spacing w:after="0"/>
              <w:rPr>
                <w:sz w:val="20"/>
                <w:szCs w:val="20"/>
                <w:color w:val="auto"/>
              </w:rPr>
            </w:pPr>
            <w:r>
              <w:rPr>
                <w:rFonts w:ascii="Arial" w:cs="Arial" w:eastAsia="Arial" w:hAnsi="Arial"/>
                <w:sz w:val="16"/>
                <w:szCs w:val="16"/>
                <w:color w:val="auto"/>
              </w:rPr>
              <w:t>XBRL Instance Document</w:t>
            </w:r>
          </w:p>
        </w:tc>
      </w:tr>
      <w:tr>
        <w:trPr>
          <w:trHeight w:val="621"/>
        </w:trPr>
        <w:tc>
          <w:tcPr>
            <w:tcW w:w="138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.SCH</w:t>
            </w:r>
          </w:p>
        </w:tc>
        <w:tc>
          <w:tcPr>
            <w:tcW w:w="4360" w:type="dxa"/>
            <w:vAlign w:val="bottom"/>
            <w:gridSpan w:val="18"/>
          </w:tcPr>
          <w:p>
            <w:pPr>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.CAL</w:t>
            </w:r>
          </w:p>
        </w:tc>
        <w:tc>
          <w:tcPr>
            <w:tcW w:w="436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.DEF</w:t>
            </w:r>
          </w:p>
        </w:tc>
        <w:tc>
          <w:tcPr>
            <w:tcW w:w="4360" w:type="dxa"/>
            <w:vAlign w:val="bottom"/>
            <w:gridSpan w:val="18"/>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.LAB</w:t>
            </w:r>
          </w:p>
        </w:tc>
        <w:tc>
          <w:tcPr>
            <w:tcW w:w="436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65"/>
        </w:trPr>
        <w:tc>
          <w:tcPr>
            <w:tcW w:w="1380" w:type="dxa"/>
            <w:vAlign w:val="bottom"/>
          </w:tcPr>
          <w:p>
            <w:pPr>
              <w:spacing w:after="0"/>
              <w:rPr>
                <w:sz w:val="23"/>
                <w:szCs w:val="23"/>
                <w:color w:val="auto"/>
              </w:rPr>
            </w:pPr>
          </w:p>
        </w:tc>
        <w:tc>
          <w:tcPr>
            <w:tcW w:w="1040" w:type="dxa"/>
            <w:vAlign w:val="bottom"/>
          </w:tcPr>
          <w:p>
            <w:pPr>
              <w:ind w:left="460"/>
              <w:spacing w:after="0"/>
              <w:rPr>
                <w:sz w:val="20"/>
                <w:szCs w:val="20"/>
                <w:color w:val="auto"/>
              </w:rPr>
            </w:pPr>
            <w:r>
              <w:rPr>
                <w:rFonts w:ascii="Arial" w:cs="Arial" w:eastAsia="Arial" w:hAnsi="Arial"/>
                <w:sz w:val="16"/>
                <w:szCs w:val="16"/>
                <w:color w:val="auto"/>
              </w:rPr>
              <w:t>.PRE</w:t>
            </w:r>
          </w:p>
        </w:tc>
        <w:tc>
          <w:tcPr>
            <w:tcW w:w="4360" w:type="dxa"/>
            <w:vAlign w:val="bottom"/>
            <w:gridSpan w:val="18"/>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95"/>
        </w:trPr>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360" w:type="dxa"/>
            <w:vAlign w:val="bottom"/>
            <w:gridSpan w:val="18"/>
          </w:tcPr>
          <w:p>
            <w:pPr>
              <w:spacing w:after="0"/>
              <w:rPr>
                <w:sz w:val="20"/>
                <w:szCs w:val="20"/>
                <w:color w:val="auto"/>
              </w:rPr>
            </w:pPr>
            <w:r>
              <w:rPr>
                <w:rFonts w:ascii="Arial" w:cs="Arial" w:eastAsia="Arial" w:hAnsi="Arial"/>
                <w:sz w:val="16"/>
                <w:szCs w:val="16"/>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820" w:space="420"/>
            <w:col w:w="4140"/>
          </w:cols>
          <w:pgMar w:left="240" w:top="260"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80"/>
        <w:spacing w:after="0"/>
        <w:tabs>
          <w:tab w:leader="none" w:pos="4480" w:val="left"/>
          <w:tab w:leader="none" w:pos="7340" w:val="left"/>
        </w:tabs>
        <w:rPr>
          <w:sz w:val="20"/>
          <w:szCs w:val="20"/>
          <w:color w:val="auto"/>
        </w:rPr>
      </w:pPr>
      <w:r>
        <w:rPr>
          <w:rFonts w:ascii="Arial" w:cs="Arial" w:eastAsia="Arial" w:hAnsi="Arial"/>
          <w:sz w:val="16"/>
          <w:szCs w:val="16"/>
          <w:color w:val="auto"/>
        </w:rPr>
        <w:t>Date: April 3,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VERNON J. NAGEL</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4480" w:val="left"/>
          <w:tab w:leader="none" w:pos="7300" w:val="left"/>
        </w:tabs>
        <w:rPr>
          <w:sz w:val="20"/>
          <w:szCs w:val="20"/>
          <w:color w:val="auto"/>
        </w:rPr>
      </w:pPr>
      <w:r>
        <w:rPr>
          <w:rFonts w:ascii="Arial" w:cs="Arial" w:eastAsia="Arial" w:hAnsi="Arial"/>
          <w:sz w:val="16"/>
          <w:szCs w:val="16"/>
          <w:color w:val="auto"/>
        </w:rPr>
        <w:t>Date: April 3,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RICHARD K. REECE</w:t>
      </w:r>
    </w:p>
    <w:p>
      <w:pPr>
        <w:spacing w:after="0" w:line="2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EXECUTIVE VICE PRESIDENT AND</w:t>
      </w:r>
    </w:p>
    <w:p>
      <w:pPr>
        <w:spacing w:after="0" w:line="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502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240" w:top="260" w:right="5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SEVERANCE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as of the 29th day of March, 2019, by and between ACUITY BRANDS, INC. (the “Company”) and VERNON J. NAGEL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Company and Executive entered into an Amended and Restated Severance Agreement, dated as of January 20, 2004 (“Severance Agreement”), and amended as of April 21, 2006, September 26, 2006, October 28, 2009 and March 28, 2014, providing for the payment of certain compensation and benefits to Executive if Executive’s employment is terminated under certain circumstances; and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22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is hereby replaced in its entirety by the following:</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2.8  “</w:t>
      </w:r>
      <w:r>
        <w:rPr>
          <w:rFonts w:ascii="Arial" w:cs="Arial" w:eastAsia="Arial" w:hAnsi="Arial"/>
          <w:sz w:val="22"/>
          <w:szCs w:val="22"/>
          <w:u w:val="single" w:color="auto"/>
          <w:color w:val="auto"/>
        </w:rPr>
        <w:t>Severance Period</w:t>
      </w:r>
      <w:r>
        <w:rPr>
          <w:rFonts w:ascii="Arial" w:cs="Arial" w:eastAsia="Arial" w:hAnsi="Arial"/>
          <w:sz w:val="22"/>
          <w:szCs w:val="22"/>
          <w:color w:val="auto"/>
        </w:rPr>
        <w:t>” - A period equal to twenty-four (24) months from the Executive’s Date of Termination.</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is hereby replaced in its entirety by the following:</w:t>
      </w:r>
    </w:p>
    <w:p>
      <w:pPr>
        <w:spacing w:after="0" w:line="21" w:lineRule="exact"/>
        <w:rPr>
          <w:rFonts w:ascii="Arial" w:cs="Arial" w:eastAsia="Arial" w:hAnsi="Arial"/>
          <w:sz w:val="18"/>
          <w:szCs w:val="18"/>
          <w:color w:val="auto"/>
        </w:rPr>
      </w:pPr>
    </w:p>
    <w:p>
      <w:pPr>
        <w:jc w:val="both"/>
        <w:ind w:left="660"/>
        <w:spacing w:after="0" w:line="258" w:lineRule="auto"/>
        <w:rPr>
          <w:rFonts w:ascii="Arial" w:cs="Arial" w:eastAsia="Arial" w:hAnsi="Arial"/>
          <w:sz w:val="18"/>
          <w:szCs w:val="18"/>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Annual Bonus</w:t>
      </w:r>
      <w:r>
        <w:rPr>
          <w:rFonts w:ascii="Arial" w:cs="Arial" w:eastAsia="Arial" w:hAnsi="Arial"/>
          <w:sz w:val="21"/>
          <w:szCs w:val="21"/>
          <w:color w:val="auto"/>
        </w:rPr>
        <w:t>. Executive shall be paid an amount equal to the greater of (i) 200% of employee’s gross salary, multiplied by a 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multiplied by the Pro Rata Fraction. The bonus amount determined pursuant to Section 4.2(i) shall be paid to Executive within ten (10) days of Executive’s Date of Termination and any additional amount payable pursuant to Section 4.2(ii) shall be payable at the same time as bonuses are payable to other executives under the Incentive Plan. “Incentive Plan” shall mean the Acuity Brands, Inc. Management Compensation and Incentive Plan for the fiscal year in which the Executive's Termination of Employment occurs. Terms used in this Section 4.2 shall have the meaning ascribed them in the Incentive Plan.</w:t>
      </w:r>
    </w:p>
    <w:p>
      <w:pPr>
        <w:spacing w:after="0" w:line="181" w:lineRule="exact"/>
        <w:rPr>
          <w:rFonts w:ascii="Arial" w:cs="Arial" w:eastAsia="Arial" w:hAnsi="Arial"/>
          <w:sz w:val="18"/>
          <w:szCs w:val="18"/>
          <w:color w:val="auto"/>
        </w:rPr>
      </w:pPr>
    </w:p>
    <w:p>
      <w:pPr>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spacing w:after="0" w:line="17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IN WITNESS WHEREOF, the parties have executed this Amendment as of the day and year first above written.</w:t>
      </w:r>
    </w:p>
    <w:p>
      <w:pPr>
        <w:sectPr>
          <w:pgSz w:w="11900" w:h="16838" w:orient="portrait"/>
          <w:cols w:equalWidth="0" w:num="1">
            <w:col w:w="11420"/>
          </w:cols>
          <w:pgMar w:left="240" w:top="11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10(a)</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COMPANY</w:t>
            </w:r>
          </w:p>
        </w:tc>
      </w:tr>
      <w:tr>
        <w:trPr>
          <w:trHeight w:val="50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ACUITY BRANDS, INC.</w:t>
            </w:r>
          </w:p>
        </w:tc>
      </w:tr>
      <w:tr>
        <w:trPr>
          <w:trHeight w:val="486"/>
        </w:trPr>
        <w:tc>
          <w:tcPr>
            <w:tcW w:w="5040" w:type="dxa"/>
            <w:vAlign w:val="bottom"/>
          </w:tcPr>
          <w:p>
            <w:pPr>
              <w:ind w:left="20"/>
              <w:spacing w:after="0"/>
              <w:rPr>
                <w:sz w:val="20"/>
                <w:szCs w:val="20"/>
                <w:color w:val="auto"/>
              </w:rPr>
            </w:pPr>
            <w:r>
              <w:rPr>
                <w:rFonts w:ascii="Arial" w:cs="Arial" w:eastAsia="Arial" w:hAnsi="Arial"/>
                <w:sz w:val="18"/>
                <w:szCs w:val="18"/>
                <w:color w:val="auto"/>
              </w:rPr>
              <w:t>/s/ Vernon J. Nagel</w:t>
            </w: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By: /s/ Richard K. Reece</w:t>
            </w:r>
          </w:p>
        </w:tc>
      </w:tr>
      <w:tr>
        <w:trPr>
          <w:trHeight w:val="27"/>
        </w:trPr>
        <w:tc>
          <w:tcPr>
            <w:tcW w:w="50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VERNON J. NAGEL</w:t>
            </w:r>
          </w:p>
        </w:tc>
        <w:tc>
          <w:tcPr>
            <w:tcW w:w="7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RICHARD K. REECE</w:t>
            </w:r>
          </w:p>
        </w:tc>
      </w:tr>
      <w:tr>
        <w:trPr>
          <w:trHeight w:val="276"/>
        </w:trPr>
        <w:tc>
          <w:tcPr>
            <w:tcW w:w="5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Executive Vice President and</w:t>
            </w:r>
          </w:p>
        </w:tc>
      </w:tr>
      <w:tr>
        <w:trPr>
          <w:trHeight w:val="275"/>
        </w:trPr>
        <w:tc>
          <w:tcPr>
            <w:tcW w:w="5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bl>
    <w:p>
      <w:pPr>
        <w:sectPr>
          <w:pgSz w:w="11900" w:h="16838" w:orient="portrait"/>
          <w:cols w:equalWidth="0" w:num="1">
            <w:col w:w="11040"/>
          </w:cols>
          <w:pgMar w:left="620" w:top="118"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AMENDMENT made and entered into as of the 29th day of March, 2019, by and between ACUITY BRANDS, INC. (the “Company”) and RICHARD K. REECE (“Executive”);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the Company and Executive entered into a Severance Agreement, dated as of April 21, 2006 (“Severance Agreement”), and amended as of October 28, 2009, March 30, 2010, March 28, 2014, October 27, 2014, October 26, 2015, October 25, 2016, October 25, 2017 and January 4, 2019, providing for the payment of certain compensation and benefits to Executive if Executive’s employment is terminated under certain circumstances;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now desire to amend the Severance Agreement in the manner hereinafter provided;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Severance Agreement is hereby amended, as follows:</w:t>
      </w:r>
    </w:p>
    <w:p>
      <w:pPr>
        <w:spacing w:after="0" w:line="22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is hereby replaced in its entirety by the following:</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2.11  “</w:t>
      </w:r>
      <w:r>
        <w:rPr>
          <w:rFonts w:ascii="Arial" w:cs="Arial" w:eastAsia="Arial" w:hAnsi="Arial"/>
          <w:sz w:val="22"/>
          <w:szCs w:val="22"/>
          <w:u w:val="single" w:color="auto"/>
          <w:color w:val="auto"/>
        </w:rPr>
        <w:t>Severance Period</w:t>
      </w:r>
      <w:r>
        <w:rPr>
          <w:rFonts w:ascii="Arial" w:cs="Arial" w:eastAsia="Arial" w:hAnsi="Arial"/>
          <w:sz w:val="22"/>
          <w:szCs w:val="22"/>
          <w:color w:val="auto"/>
        </w:rPr>
        <w:t>” - A period equal to eighteen (18) months from the Executive’s Date of Termination.</w:t>
      </w:r>
    </w:p>
    <w:p>
      <w:pPr>
        <w:spacing w:after="0" w:line="215" w:lineRule="exact"/>
        <w:rPr>
          <w:rFonts w:ascii="Arial" w:cs="Arial" w:eastAsia="Arial" w:hAnsi="Arial"/>
          <w:sz w:val="18"/>
          <w:szCs w:val="18"/>
          <w:color w:val="auto"/>
        </w:rPr>
      </w:pPr>
    </w:p>
    <w:p>
      <w:pPr>
        <w:ind w:left="66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22"/>
          <w:szCs w:val="22"/>
          <w:color w:val="auto"/>
        </w:rPr>
        <w:t>This Amendment to the Severance Agreement shall be effective as of the date of this Amendment. Except as hereby modified, the Severance Agreement shall remain in full force and effect.</w:t>
      </w:r>
    </w:p>
    <w:p>
      <w:pPr>
        <w:spacing w:after="0" w:line="17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1"/>
          <w:szCs w:val="21"/>
          <w:color w:val="auto"/>
        </w:rPr>
        <w:t>IN WITNESS WHEREOF, the parties have executed this Amendment as of the day and year first above written.</w:t>
      </w:r>
    </w:p>
    <w:p>
      <w:pPr>
        <w:spacing w:after="0" w:line="200" w:lineRule="exact"/>
        <w:rPr>
          <w:sz w:val="20"/>
          <w:szCs w:val="20"/>
          <w:color w:val="auto"/>
        </w:rPr>
      </w:pPr>
    </w:p>
    <w:p>
      <w:pPr>
        <w:spacing w:after="0" w:line="399"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COMPANY</w:t>
            </w:r>
          </w:p>
        </w:tc>
      </w:tr>
      <w:tr>
        <w:trPr>
          <w:trHeight w:val="50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EXECUTIVE</w:t>
            </w:r>
          </w:p>
        </w:tc>
        <w:tc>
          <w:tcPr>
            <w:tcW w:w="5640" w:type="dxa"/>
            <w:vAlign w:val="bottom"/>
            <w:gridSpan w:val="2"/>
          </w:tcPr>
          <w:p>
            <w:pPr>
              <w:ind w:left="340"/>
              <w:spacing w:after="0"/>
              <w:rPr>
                <w:sz w:val="20"/>
                <w:szCs w:val="20"/>
                <w:color w:val="auto"/>
              </w:rPr>
            </w:pPr>
            <w:r>
              <w:rPr>
                <w:rFonts w:ascii="Arial" w:cs="Arial" w:eastAsia="Arial" w:hAnsi="Arial"/>
                <w:sz w:val="18"/>
                <w:szCs w:val="18"/>
                <w:b w:val="1"/>
                <w:bCs w:val="1"/>
                <w:color w:val="auto"/>
              </w:rPr>
              <w:t>ACUITY BRANDS, INC.</w:t>
            </w:r>
          </w:p>
        </w:tc>
      </w:tr>
      <w:tr>
        <w:trPr>
          <w:trHeight w:val="486"/>
        </w:trPr>
        <w:tc>
          <w:tcPr>
            <w:tcW w:w="5040" w:type="dxa"/>
            <w:vAlign w:val="bottom"/>
          </w:tcPr>
          <w:p>
            <w:pPr>
              <w:ind w:left="20"/>
              <w:spacing w:after="0"/>
              <w:rPr>
                <w:sz w:val="20"/>
                <w:szCs w:val="20"/>
                <w:color w:val="auto"/>
              </w:rPr>
            </w:pPr>
            <w:r>
              <w:rPr>
                <w:rFonts w:ascii="Arial" w:cs="Arial" w:eastAsia="Arial" w:hAnsi="Arial"/>
                <w:sz w:val="18"/>
                <w:szCs w:val="18"/>
                <w:color w:val="auto"/>
              </w:rPr>
              <w:t>/s/ Richard K. Reece</w:t>
            </w: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By: /s/ Vernon J. Nagel</w:t>
            </w:r>
          </w:p>
        </w:tc>
      </w:tr>
      <w:tr>
        <w:trPr>
          <w:trHeight w:val="27"/>
        </w:trPr>
        <w:tc>
          <w:tcPr>
            <w:tcW w:w="50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RICHARD K. REECE</w:t>
            </w:r>
          </w:p>
        </w:tc>
        <w:tc>
          <w:tcPr>
            <w:tcW w:w="7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VERNON J. NAGEL</w:t>
            </w:r>
          </w:p>
        </w:tc>
      </w:tr>
      <w:tr>
        <w:trPr>
          <w:trHeight w:val="270"/>
        </w:trPr>
        <w:tc>
          <w:tcPr>
            <w:tcW w:w="5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Chairman, President and CEO</w:t>
            </w:r>
          </w:p>
        </w:tc>
      </w:tr>
    </w:tbl>
    <w:p>
      <w:pPr>
        <w:sectPr>
          <w:pgSz w:w="11900" w:h="16838" w:orient="portrait"/>
          <w:cols w:equalWidth="0" w:num="1">
            <w:col w:w="11420"/>
          </w:cols>
          <w:pgMar w:left="240" w:top="11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80" w:hanging="644"/>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Richard K. Reece, certify that:</w:t>
      </w:r>
    </w:p>
    <w:p>
      <w:pPr>
        <w:spacing w:after="0" w:line="11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80" w:hanging="644"/>
        <w:spacing w:after="0" w:line="25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2019,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 2019</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2019, as filed with the Securities and Exchange Commission on the date hereof (the “Report”), the undersigned, the Executive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April 3, 2019</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0"/>
    </w:lvl>
  </w:abstractNum>
  <w:abstractNum w:abstractNumId="7">
    <w:nsid w:val="216231B"/>
    <w:multiLevelType w:val="hybridMultilevel"/>
    <w:lvl w:ilvl="0">
      <w:lvlJc w:val="left"/>
      <w:lvlText w:val="%1."/>
      <w:numFmt w:val="decimal"/>
      <w:start w:val="1"/>
    </w:lvl>
    <w:lvl w:ilvl="1">
      <w:lvlJc w:val="left"/>
      <w:lvlText w:val="%2."/>
      <w:numFmt w:val="decimal"/>
      <w:start w:val="3"/>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39" Type="http://schemas.openxmlformats.org/officeDocument/2006/relationships/hyperlink" Target="http://www.sec.gov/Archives/edgar/data/1144215/000119312507208062/dex31.htm" TargetMode="External"/><Relationship Id="rId40" Type="http://schemas.openxmlformats.org/officeDocument/2006/relationships/hyperlink" Target="http://www.sec.gov/Archives/edgar/data/1144215/000119312507208062/dex32.htm" TargetMode="External"/><Relationship Id="rId41" Type="http://schemas.openxmlformats.org/officeDocument/2006/relationships/hyperlink" Target="http://www.sec.gov/Archives/edgar/data/1144215/000114421517000005/ex3ccertificateofamendment.htm" TargetMode="External"/><Relationship Id="rId42" Type="http://schemas.openxmlformats.org/officeDocument/2006/relationships/hyperlink" Target="http://www.sec.gov/Archives/edgar/data/1144215/000114421517000005/ex3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2019-12-28T14:12:05Z</dcterms:created>
  <dcterms:modified xsi:type="dcterms:W3CDTF">2019-12-28T14:12:05Z</dcterms:modified>
</cp:coreProperties>
</file>