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280" w:type="dxa"/>
        <w:tblCellMar>
          <w:top w:w="0" w:type="dxa"/>
          <w:left w:w="0" w:type="dxa"/>
          <w:bottom w:w="0" w:type="dxa"/>
          <w:right w:w="0" w:type="dxa"/>
        </w:tblCellMar>
      </w:tblPr>
      <w:tr>
        <w:trPr>
          <w:trHeight w:val="308"/>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80"/>
        </w:trPr>
        <w:tc>
          <w:tcPr>
            <w:tcW w:w="1200" w:type="dxa"/>
            <w:vAlign w:val="bottom"/>
          </w:tcPr>
          <w:p>
            <w:pPr>
              <w:spacing w:after="0"/>
              <w:rPr>
                <w:sz w:val="24"/>
                <w:szCs w:val="24"/>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419"/>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76"/>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quarterly period ended May 31, 2021.</w:t>
            </w:r>
          </w:p>
        </w:tc>
        <w:tc>
          <w:tcPr>
            <w:tcW w:w="0" w:type="dxa"/>
            <w:vAlign w:val="bottom"/>
          </w:tcPr>
          <w:p>
            <w:pPr>
              <w:spacing w:after="0"/>
              <w:rPr>
                <w:sz w:val="1"/>
                <w:szCs w:val="1"/>
                <w:color w:val="auto"/>
              </w:rPr>
            </w:pPr>
          </w:p>
        </w:tc>
      </w:tr>
      <w:tr>
        <w:trPr>
          <w:trHeight w:val="296"/>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18" w:lineRule="exact"/>
        <w:rPr>
          <w:sz w:val="24"/>
          <w:szCs w:val="24"/>
          <w:color w:val="auto"/>
        </w:rPr>
      </w:pPr>
    </w:p>
    <w:tbl>
      <w:tblPr>
        <w:tblLayout w:type="fixed"/>
        <w:tblInd w:w="1780" w:type="dxa"/>
        <w:tblCellMar>
          <w:top w:w="0" w:type="dxa"/>
          <w:left w:w="0" w:type="dxa"/>
          <w:bottom w:w="0" w:type="dxa"/>
          <w:right w:w="0" w:type="dxa"/>
        </w:tblCellMar>
      </w:tblPr>
      <w:tr>
        <w:trPr>
          <w:trHeight w:val="190"/>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47"/>
        </w:trPr>
        <w:tc>
          <w:tcPr>
            <w:tcW w:w="3960" w:type="dxa"/>
            <w:vAlign w:val="bottom"/>
          </w:tcPr>
          <w:p>
            <w:pPr>
              <w:jc w:val="center"/>
              <w:ind w:right="200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47" w:lineRule="exact"/>
              <w:rPr>
                <w:sz w:val="20"/>
                <w:szCs w:val="20"/>
                <w:color w:val="auto"/>
              </w:rPr>
            </w:pPr>
            <w:r>
              <w:rPr>
                <w:rFonts w:ascii="Arial" w:cs="Arial" w:eastAsia="Arial" w:hAnsi="Arial"/>
                <w:sz w:val="14"/>
                <w:szCs w:val="14"/>
                <w:i w:val="1"/>
                <w:iCs w:val="1"/>
                <w:color w:val="auto"/>
              </w:rPr>
              <w:t>(I.R.S. Employer</w:t>
            </w:r>
          </w:p>
        </w:tc>
      </w:tr>
      <w:tr>
        <w:trPr>
          <w:trHeight w:val="186"/>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b w:val="1"/>
          <w:bCs w:val="1"/>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0" w:right="339" w:bottom="1440" w:gutter="0" w:footer="0" w:header="0"/>
        </w:sectPr>
      </w:pPr>
    </w:p>
    <w:p>
      <w:pPr>
        <w:spacing w:after="0" w:line="123" w:lineRule="exact"/>
        <w:rPr>
          <w:sz w:val="24"/>
          <w:szCs w:val="24"/>
          <w:color w:val="auto"/>
        </w:rPr>
      </w:pPr>
    </w:p>
    <w:p>
      <w:pPr>
        <w:ind w:left="20" w:right="840"/>
        <w:spacing w:after="0" w:line="298"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81" w:lineRule="exact"/>
        <w:rPr>
          <w:sz w:val="24"/>
          <w:szCs w:val="24"/>
          <w:color w:val="auto"/>
        </w:rPr>
      </w:pPr>
    </w:p>
    <w:p>
      <w:pPr>
        <w:sectPr>
          <w:pgSz w:w="11900" w:h="16838" w:orient="portrait"/>
          <w:cols w:equalWidth="0" w:num="5">
            <w:col w:w="2580" w:space="720"/>
            <w:col w:w="140" w:space="280"/>
            <w:col w:w="2580" w:space="720"/>
            <w:col w:w="3160" w:space="720"/>
            <w:col w:w="340"/>
          </w:cols>
          <w:pgMar w:left="320" w:top="260" w:right="339" w:bottom="1440" w:gutter="0" w:footer="0" w:header="0"/>
          <w:type w:val="continuous"/>
        </w:sect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35,708,130 shares as of June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120" w:type="dxa"/>
            <w:vAlign w:val="bottom"/>
            <w:gridSpan w:val="9"/>
            <w:vMerge w:val="restart"/>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120" w:type="dxa"/>
            <w:vAlign w:val="bottom"/>
            <w:gridSpan w:val="9"/>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2">
              <w:r>
                <w:rPr>
                  <w:rFonts w:ascii="Arial" w:cs="Arial" w:eastAsia="Arial" w:hAnsi="Arial"/>
                  <w:sz w:val="16"/>
                  <w:szCs w:val="16"/>
                  <w:color w:val="0000FF"/>
                </w:rPr>
                <w:t>Financial Statements</w:t>
              </w:r>
            </w:hyperlink>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 -- May 31, 2021 (Unaudited) and August 31, 2020</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(Unaudited) -- Three and nine months ended May 31, 2021 and 2020</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 (Unaudited) -- Nine months ended May 31, 2021 and 2020</w:t>
              </w:r>
            </w:hyperlink>
          </w:p>
        </w:tc>
        <w:tc>
          <w:tcPr>
            <w:tcW w:w="1040" w:type="dxa"/>
            <w:vAlign w:val="bottom"/>
            <w:gridSpan w:val="4"/>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5">
              <w:r>
                <w:rPr>
                  <w:rFonts w:ascii="Arial" w:cs="Arial" w:eastAsia="Arial" w:hAnsi="Arial"/>
                  <w:sz w:val="16"/>
                  <w:szCs w:val="16"/>
                  <w:color w:val="0000FF"/>
                </w:rPr>
                <w:t>Notes to Consolidated Financial Statements (Unaudited)</w:t>
              </w:r>
            </w:hyperlink>
          </w:p>
        </w:tc>
        <w:tc>
          <w:tcPr>
            <w:tcW w:w="1040" w:type="dxa"/>
            <w:vAlign w:val="bottom"/>
            <w:gridSpan w:val="4"/>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1 — Description of Business and Basis of Presentation</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2 — Significant Accounting Policies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3 — Acquisitions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4 — New Accounting Pronouncements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5 — Fair Value Measurements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6 — Inventories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7 — Property, Plant, and Equipment</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8 — Goodwill and Intangible Assets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9 — Debt and Lines of Credit</w:t>
              </w:r>
            </w:hyperlink>
          </w:p>
        </w:tc>
        <w:tc>
          <w:tcPr>
            <w:tcW w:w="104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2">
              <w:r>
                <w:rPr>
                  <w:rFonts w:ascii="Arial" w:cs="Arial" w:eastAsia="Arial" w:hAnsi="Arial"/>
                  <w:sz w:val="16"/>
                  <w:szCs w:val="16"/>
                  <w:color w:val="0000FF"/>
                </w:rPr>
                <w:t>Note 10 — Commitments and Contingencies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11 — Changes in Stockholders' Equity</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4">
              <w:r>
                <w:rPr>
                  <w:rFonts w:ascii="Arial" w:cs="Arial" w:eastAsia="Arial" w:hAnsi="Arial"/>
                  <w:sz w:val="16"/>
                  <w:szCs w:val="16"/>
                  <w:color w:val="0000FF"/>
                  <w:w w:val="89"/>
                </w:rPr>
                <w:t>12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5">
              <w:r>
                <w:rPr>
                  <w:rFonts w:ascii="Arial" w:cs="Arial" w:eastAsia="Arial" w:hAnsi="Arial"/>
                  <w:sz w:val="16"/>
                  <w:szCs w:val="16"/>
                  <w:color w:val="0000FF"/>
                </w:rPr>
                <w:t>Note 12 — Revenue Recognition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13 — Share-based Payments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14 — Pension Plans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15 — Special Charges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16 — Earnings Per Share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Note 17 — Comprehensive Income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9">
              <w:r>
                <w:rPr>
                  <w:rFonts w:ascii="Arial" w:cs="Arial" w:eastAsia="Arial" w:hAnsi="Arial"/>
                  <w:sz w:val="16"/>
                  <w:szCs w:val="16"/>
                  <w:color w:val="0000FF"/>
                </w:rPr>
                <w:t>Note 18 — Segment Information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17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20">
              <w:r>
                <w:rPr>
                  <w:rFonts w:ascii="Arial" w:cs="Arial" w:eastAsia="Arial" w:hAnsi="Arial"/>
                  <w:sz w:val="16"/>
                  <w:szCs w:val="16"/>
                  <w:color w:val="0000FF"/>
                </w:rPr>
                <w:t>Note 19 — Subsequent Event</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19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w:t>
              </w:r>
            </w:hyperlink>
          </w:p>
        </w:tc>
        <w:tc>
          <w:tcPr>
            <w:tcW w:w="9000" w:type="dxa"/>
            <w:vAlign w:val="bottom"/>
            <w:gridSpan w:val="4"/>
          </w:tcPr>
          <w:p>
            <w:pPr>
              <w:ind w:left="60"/>
              <w:spacing w:after="0"/>
              <w:rPr>
                <w:rFonts w:ascii="Arial" w:cs="Arial" w:eastAsia="Arial" w:hAnsi="Arial"/>
                <w:sz w:val="16"/>
                <w:szCs w:val="16"/>
                <w:color w:val="0000FF"/>
              </w:rPr>
            </w:pPr>
            <w:hyperlink w:anchor="page21">
              <w:r>
                <w:rPr>
                  <w:rFonts w:ascii="Arial" w:cs="Arial" w:eastAsia="Arial" w:hAnsi="Arial"/>
                  <w:sz w:val="16"/>
                  <w:szCs w:val="16"/>
                  <w:color w:val="0000FF"/>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6"/>
                <w:szCs w:val="16"/>
                <w:color w:val="0000FF"/>
              </w:rPr>
            </w:pPr>
            <w:hyperlink w:anchor="page21">
              <w:r>
                <w:rPr>
                  <w:rFonts w:ascii="Arial" w:cs="Arial" w:eastAsia="Arial" w:hAnsi="Arial"/>
                  <w:sz w:val="16"/>
                  <w:szCs w:val="16"/>
                  <w:color w:val="0000FF"/>
                </w:rPr>
                <w:t>20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3.</w:t>
              </w:r>
            </w:hyperlink>
          </w:p>
        </w:tc>
        <w:tc>
          <w:tcPr>
            <w:tcW w:w="9000" w:type="dxa"/>
            <w:vAlign w:val="bottom"/>
            <w:gridSpan w:val="4"/>
          </w:tcPr>
          <w:p>
            <w:pPr>
              <w:ind w:left="60"/>
              <w:spacing w:after="0"/>
              <w:rPr>
                <w:rFonts w:ascii="Arial" w:cs="Arial" w:eastAsia="Arial" w:hAnsi="Arial"/>
                <w:sz w:val="16"/>
                <w:szCs w:val="16"/>
                <w:color w:val="0000FF"/>
              </w:rPr>
            </w:pPr>
            <w:hyperlink w:anchor="page34">
              <w:r>
                <w:rPr>
                  <w:rFonts w:ascii="Arial" w:cs="Arial" w:eastAsia="Arial" w:hAnsi="Arial"/>
                  <w:sz w:val="16"/>
                  <w:szCs w:val="16"/>
                  <w:color w:val="0000FF"/>
                </w:rPr>
                <w:t>Quantitative and Qualitative Disclosures about Market Risk</w:t>
              </w:r>
            </w:hyperlink>
          </w:p>
        </w:tc>
        <w:tc>
          <w:tcPr>
            <w:tcW w:w="1040" w:type="dxa"/>
            <w:vAlign w:val="bottom"/>
            <w:gridSpan w:val="4"/>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4.</w:t>
              </w:r>
            </w:hyperlink>
          </w:p>
        </w:tc>
        <w:tc>
          <w:tcPr>
            <w:tcW w:w="9000" w:type="dxa"/>
            <w:vAlign w:val="bottom"/>
            <w:gridSpan w:val="4"/>
          </w:tcPr>
          <w:p>
            <w:pPr>
              <w:ind w:left="60"/>
              <w:spacing w:after="0"/>
              <w:rPr>
                <w:rFonts w:ascii="Arial" w:cs="Arial" w:eastAsia="Arial" w:hAnsi="Arial"/>
                <w:sz w:val="16"/>
                <w:szCs w:val="16"/>
                <w:color w:val="0000FF"/>
              </w:rPr>
            </w:pPr>
            <w:hyperlink w:anchor="page35">
              <w:r>
                <w:rPr>
                  <w:rFonts w:ascii="Arial" w:cs="Arial" w:eastAsia="Arial" w:hAnsi="Arial"/>
                  <w:sz w:val="16"/>
                  <w:szCs w:val="16"/>
                  <w:color w:val="0000FF"/>
                </w:rPr>
                <w:t>Controls and Procedures</w:t>
              </w:r>
            </w:hyperlink>
          </w:p>
        </w:tc>
        <w:tc>
          <w:tcPr>
            <w:tcW w:w="1040" w:type="dxa"/>
            <w:vAlign w:val="bottom"/>
            <w:gridSpan w:val="4"/>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35">
              <w:r>
                <w:rPr>
                  <w:rFonts w:ascii="Arial" w:cs="Arial" w:eastAsia="Arial" w:hAnsi="Arial"/>
                  <w:sz w:val="16"/>
                  <w:szCs w:val="16"/>
                  <w:b w:val="1"/>
                  <w:bCs w:val="1"/>
                  <w:color w:val="0000FF"/>
                </w:rPr>
                <w:t>Part II.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36">
              <w:r>
                <w:rPr>
                  <w:rFonts w:ascii="Arial" w:cs="Arial" w:eastAsia="Arial" w:hAnsi="Arial"/>
                  <w:sz w:val="16"/>
                  <w:szCs w:val="16"/>
                  <w:color w:val="0000FF"/>
                </w:rPr>
                <w:t>Legal Proceedings</w:t>
              </w:r>
            </w:hyperlink>
          </w:p>
        </w:tc>
        <w:tc>
          <w:tcPr>
            <w:tcW w:w="1040" w:type="dxa"/>
            <w:vAlign w:val="bottom"/>
            <w:gridSpan w:val="4"/>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1a.</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6">
              <w:r>
                <w:rPr>
                  <w:rFonts w:ascii="Arial" w:cs="Arial" w:eastAsia="Arial" w:hAnsi="Arial"/>
                  <w:sz w:val="16"/>
                  <w:szCs w:val="16"/>
                  <w:color w:val="0000FF"/>
                </w:rPr>
                <w:t>Risk Factors</w:t>
              </w:r>
            </w:hyperlink>
          </w:p>
        </w:tc>
        <w:tc>
          <w:tcPr>
            <w:tcW w:w="1040" w:type="dxa"/>
            <w:vAlign w:val="bottom"/>
            <w:gridSpan w:val="4"/>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2.</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6">
              <w:r>
                <w:rPr>
                  <w:rFonts w:ascii="Arial" w:cs="Arial" w:eastAsia="Arial" w:hAnsi="Arial"/>
                  <w:sz w:val="16"/>
                  <w:szCs w:val="16"/>
                  <w:color w:val="0000FF"/>
                </w:rPr>
                <w:t>Unregistered Sales of Equity Securities and Use of Proceeds</w:t>
              </w:r>
            </w:hyperlink>
          </w:p>
        </w:tc>
        <w:tc>
          <w:tcPr>
            <w:tcW w:w="1040" w:type="dxa"/>
            <w:vAlign w:val="bottom"/>
            <w:gridSpan w:val="4"/>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5.</w:t>
              </w:r>
            </w:hyperlink>
          </w:p>
        </w:tc>
        <w:tc>
          <w:tcPr>
            <w:tcW w:w="9000" w:type="dxa"/>
            <w:vAlign w:val="bottom"/>
            <w:gridSpan w:val="4"/>
          </w:tcPr>
          <w:p>
            <w:pPr>
              <w:ind w:left="60"/>
              <w:spacing w:after="0"/>
              <w:rPr>
                <w:rFonts w:ascii="Arial" w:cs="Arial" w:eastAsia="Arial" w:hAnsi="Arial"/>
                <w:sz w:val="16"/>
                <w:szCs w:val="16"/>
                <w:color w:val="0000FF"/>
              </w:rPr>
            </w:pPr>
            <w:hyperlink w:anchor="page37">
              <w:r>
                <w:rPr>
                  <w:rFonts w:ascii="Arial" w:cs="Arial" w:eastAsia="Arial" w:hAnsi="Arial"/>
                  <w:sz w:val="16"/>
                  <w:szCs w:val="16"/>
                  <w:color w:val="0000FF"/>
                </w:rPr>
                <w:t>Other Information</w:t>
              </w:r>
            </w:hyperlink>
          </w:p>
        </w:tc>
        <w:tc>
          <w:tcPr>
            <w:tcW w:w="1040" w:type="dxa"/>
            <w:vAlign w:val="bottom"/>
            <w:gridSpan w:val="4"/>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6.</w:t>
              </w:r>
            </w:hyperlink>
          </w:p>
        </w:tc>
        <w:tc>
          <w:tcPr>
            <w:tcW w:w="9000" w:type="dxa"/>
            <w:vAlign w:val="bottom"/>
            <w:gridSpan w:val="4"/>
          </w:tcPr>
          <w:p>
            <w:pPr>
              <w:ind w:left="60"/>
              <w:spacing w:after="0"/>
              <w:rPr>
                <w:rFonts w:ascii="Arial" w:cs="Arial" w:eastAsia="Arial" w:hAnsi="Arial"/>
                <w:sz w:val="16"/>
                <w:szCs w:val="16"/>
                <w:color w:val="0000FF"/>
              </w:rPr>
            </w:pPr>
            <w:hyperlink w:anchor="page37">
              <w:r>
                <w:rPr>
                  <w:rFonts w:ascii="Arial" w:cs="Arial" w:eastAsia="Arial" w:hAnsi="Arial"/>
                  <w:sz w:val="16"/>
                  <w:szCs w:val="16"/>
                  <w:color w:val="0000FF"/>
                </w:rPr>
                <w:t>Exhibits</w:t>
              </w:r>
            </w:hyperlink>
          </w:p>
        </w:tc>
        <w:tc>
          <w:tcPr>
            <w:tcW w:w="1040" w:type="dxa"/>
            <w:vAlign w:val="bottom"/>
            <w:gridSpan w:val="4"/>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INDEX TO EXHIBITS</w:t>
              </w:r>
            </w:hyperlink>
          </w:p>
        </w:tc>
        <w:tc>
          <w:tcPr>
            <w:tcW w:w="1040" w:type="dxa"/>
            <w:vAlign w:val="bottom"/>
            <w:gridSpan w:val="4"/>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SIGNATURES</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share data)</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May 31,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August 31, 2020</w:t>
            </w:r>
          </w:p>
        </w:tc>
      </w:tr>
      <w:tr>
        <w:trPr>
          <w:trHeight w:val="183"/>
        </w:trPr>
        <w:tc>
          <w:tcPr>
            <w:tcW w:w="7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$2.1 and $2.6, respectively</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r>
      <w:tr>
        <w:trPr>
          <w:trHeight w:val="18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183"/>
        </w:trPr>
        <w:tc>
          <w:tcPr>
            <w:tcW w:w="7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1,439.7</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1,080.0</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3"/>
        </w:trPr>
        <w:tc>
          <w:tcPr>
            <w:tcW w:w="75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3,560.3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56"/>
        </w:trPr>
        <w:tc>
          <w:tcPr>
            <w:tcW w:w="7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85.4</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r>
      <w:tr>
        <w:trPr>
          <w:trHeight w:val="183"/>
        </w:trPr>
        <w:tc>
          <w:tcPr>
            <w:tcW w:w="75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617.6</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376.8</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89"/>
        </w:trPr>
        <w:tc>
          <w:tcPr>
            <w:tcW w:w="75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94.9</w:t>
            </w: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Self-insurance reserves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183"/>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1,364.2</w:t>
            </w:r>
          </w:p>
        </w:tc>
      </w:tr>
      <w:tr>
        <w:trPr>
          <w:trHeight w:val="16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$0.01 par value; 500,000,000 shares authorized; 54,004,441 and 53,885,165 issued, respectively</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963.6</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2,523.3</w:t>
            </w:r>
          </w:p>
        </w:tc>
      </w:tr>
      <w:tr>
        <w:trPr>
          <w:trHeight w:val="189"/>
        </w:trPr>
        <w:tc>
          <w:tcPr>
            <w:tcW w:w="75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(132.7)</w:t>
            </w:r>
          </w:p>
        </w:tc>
      </w:tr>
      <w:tr>
        <w:trPr>
          <w:trHeight w:val="189"/>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 18,265,031 and 15,012,449 shares, respectively</w:t>
            </w: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(1,227.2)</w:t>
            </w:r>
          </w:p>
        </w:tc>
      </w:tr>
      <w:tr>
        <w:trPr>
          <w:trHeight w:val="18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2,127.5</w:t>
            </w:r>
          </w:p>
        </w:tc>
      </w:tr>
      <w:tr>
        <w:trPr>
          <w:trHeight w:val="208"/>
        </w:trPr>
        <w:tc>
          <w:tcPr>
            <w:tcW w:w="7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5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2021</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31,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2021</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2020</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2,435.1</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1,407.8</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767.5</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248.0</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51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6"/>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(income), net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r>
      <w:tr>
        <w:trPr>
          <w:trHeight w:val="23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1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 2021</w:t>
            </w:r>
          </w:p>
        </w:tc>
        <w:tc>
          <w:tcPr>
            <w:tcW w:w="300" w:type="dxa"/>
            <w:vAlign w:val="bottom"/>
          </w:tcPr>
          <w:p>
            <w:pPr>
              <w:spacing w:after="0"/>
              <w:rPr>
                <w:sz w:val="18"/>
                <w:szCs w:val="18"/>
                <w:color w:val="auto"/>
              </w:rPr>
            </w:pPr>
          </w:p>
        </w:tc>
        <w:tc>
          <w:tcPr>
            <w:tcW w:w="168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31, 2020</w:t>
            </w:r>
          </w:p>
        </w:tc>
      </w:tr>
      <w:tr>
        <w:trPr>
          <w:trHeight w:val="197"/>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174.6</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71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0"/>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(303.0)</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Acuity Brands, Inc. (referred to herein as “we,” “our,” “us,” the “Company,” or similar references) was incorporated in 2001 under the laws of the State of Delaware. We are a market-leading industrial technology company that develops, manufactures, and brings to market products and services including building management systems, lighting, lighting controls, and location-aware applications. These products and services provide commercial, institutional, industrial, infrastructure, and residential applications throughout North America and select international markets. Beginning the third quarter of fiscal 2021, we have two reportable segments consisting of Acuity Brands Lighting and Lighting Controls (“ABL”) and Intelligent Spaces Group (“ISG”).</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ABL offers devices such as luminaires, lighting controls, power supplies, prismatic skylights, and drivers as well as integrated systems designed to optimize energy efficiency and comfort for various indoor and outdoor applications. 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Our lighting and lighting controls solutions are sold primarily through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 ABL products and solutions are marketed under numerous brand names, including but not limited to Lithonia Lighting</w:t>
      </w:r>
      <w:r>
        <w:rPr>
          <w:rFonts w:ascii="Arial" w:cs="Arial" w:eastAsia="Arial" w:hAnsi="Arial"/>
          <w:sz w:val="22"/>
          <w:szCs w:val="22"/>
          <w:color w:val="auto"/>
          <w:vertAlign w:val="superscript"/>
        </w:rPr>
        <w:t>®</w:t>
      </w:r>
      <w:r>
        <w:rPr>
          <w:rFonts w:ascii="Arial" w:cs="Arial" w:eastAsia="Arial" w:hAnsi="Arial"/>
          <w:sz w:val="17"/>
          <w:szCs w:val="17"/>
          <w:color w:val="auto"/>
        </w:rPr>
        <w:t>, Holophane</w:t>
      </w:r>
      <w:r>
        <w:rPr>
          <w:rFonts w:ascii="Arial" w:cs="Arial" w:eastAsia="Arial" w:hAnsi="Arial"/>
          <w:sz w:val="22"/>
          <w:szCs w:val="22"/>
          <w:color w:val="auto"/>
          <w:vertAlign w:val="superscript"/>
        </w:rPr>
        <w:t>®</w:t>
      </w:r>
      <w:r>
        <w:rPr>
          <w:rFonts w:ascii="Arial" w:cs="Arial" w:eastAsia="Arial" w:hAnsi="Arial"/>
          <w:sz w:val="17"/>
          <w:szCs w:val="17"/>
          <w:color w:val="auto"/>
        </w:rPr>
        <w:t>, Peerless</w:t>
      </w:r>
      <w:r>
        <w:rPr>
          <w:rFonts w:ascii="Arial" w:cs="Arial" w:eastAsia="Arial" w:hAnsi="Arial"/>
          <w:sz w:val="22"/>
          <w:szCs w:val="22"/>
          <w:color w:val="auto"/>
          <w:vertAlign w:val="superscript"/>
        </w:rPr>
        <w:t>®</w:t>
      </w:r>
      <w:r>
        <w:rPr>
          <w:rFonts w:ascii="Arial" w:cs="Arial" w:eastAsia="Arial" w:hAnsi="Arial"/>
          <w:sz w:val="17"/>
          <w:szCs w:val="17"/>
          <w:color w:val="auto"/>
        </w:rPr>
        <w:t>,Gotham</w:t>
      </w:r>
      <w:r>
        <w:rPr>
          <w:rFonts w:ascii="Arial" w:cs="Arial" w:eastAsia="Arial" w:hAnsi="Arial"/>
          <w:sz w:val="22"/>
          <w:szCs w:val="22"/>
          <w:color w:val="auto"/>
          <w:vertAlign w:val="superscript"/>
        </w:rPr>
        <w:t>®</w:t>
      </w:r>
      <w:r>
        <w:rPr>
          <w:rFonts w:ascii="Arial" w:cs="Arial" w:eastAsia="Arial" w:hAnsi="Arial"/>
          <w:sz w:val="17"/>
          <w:szCs w:val="17"/>
          <w:color w:val="auto"/>
        </w:rPr>
        <w:t>, Mark Architectural Lighting</w:t>
      </w:r>
      <w:r>
        <w:rPr>
          <w:rFonts w:ascii="Arial" w:cs="Arial" w:eastAsia="Arial" w:hAnsi="Arial"/>
          <w:sz w:val="22"/>
          <w:szCs w:val="22"/>
          <w:color w:val="auto"/>
          <w:vertAlign w:val="superscript"/>
        </w:rPr>
        <w:t>TM</w:t>
      </w:r>
      <w:r>
        <w:rPr>
          <w:rFonts w:ascii="Arial" w:cs="Arial" w:eastAsia="Arial" w:hAnsi="Arial"/>
          <w:sz w:val="17"/>
          <w:szCs w:val="17"/>
          <w:color w:val="auto"/>
        </w:rPr>
        <w:t>, Winona</w:t>
      </w:r>
      <w:r>
        <w:rPr>
          <w:rFonts w:ascii="Arial" w:cs="Arial" w:eastAsia="Arial" w:hAnsi="Arial"/>
          <w:sz w:val="22"/>
          <w:szCs w:val="22"/>
          <w:color w:val="auto"/>
          <w:vertAlign w:val="superscript"/>
        </w:rPr>
        <w:t>®</w:t>
      </w:r>
      <w:r>
        <w:rPr>
          <w:rFonts w:ascii="Arial" w:cs="Arial" w:eastAsia="Arial" w:hAnsi="Arial"/>
          <w:sz w:val="17"/>
          <w:szCs w:val="17"/>
          <w:color w:val="auto"/>
        </w:rPr>
        <w:t>Lighitng, Juno</w:t>
      </w:r>
      <w:r>
        <w:rPr>
          <w:rFonts w:ascii="Arial" w:cs="Arial" w:eastAsia="Arial" w:hAnsi="Arial"/>
          <w:sz w:val="22"/>
          <w:szCs w:val="22"/>
          <w:color w:val="auto"/>
          <w:vertAlign w:val="superscript"/>
        </w:rPr>
        <w:t>®</w:t>
      </w:r>
      <w:r>
        <w:rPr>
          <w:rFonts w:ascii="Arial" w:cs="Arial" w:eastAsia="Arial" w:hAnsi="Arial"/>
          <w:sz w:val="17"/>
          <w:szCs w:val="17"/>
          <w:color w:val="auto"/>
        </w:rPr>
        <w:t>, Indy</w:t>
      </w:r>
      <w:r>
        <w:rPr>
          <w:rFonts w:ascii="Arial" w:cs="Arial" w:eastAsia="Arial" w:hAnsi="Arial"/>
          <w:sz w:val="22"/>
          <w:szCs w:val="22"/>
          <w:color w:val="auto"/>
          <w:vertAlign w:val="superscript"/>
        </w:rPr>
        <w:t>TM</w:t>
      </w:r>
      <w:r>
        <w:rPr>
          <w:rFonts w:ascii="Arial" w:cs="Arial" w:eastAsia="Arial" w:hAnsi="Arial"/>
          <w:sz w:val="17"/>
          <w:szCs w:val="17"/>
          <w:color w:val="auto"/>
        </w:rPr>
        <w:t>, Aculux</w:t>
      </w:r>
      <w:r>
        <w:rPr>
          <w:rFonts w:ascii="Arial" w:cs="Arial" w:eastAsia="Arial" w:hAnsi="Arial"/>
          <w:sz w:val="22"/>
          <w:szCs w:val="22"/>
          <w:color w:val="auto"/>
          <w:vertAlign w:val="superscript"/>
        </w:rPr>
        <w:t>TM</w:t>
      </w:r>
      <w:r>
        <w:rPr>
          <w:rFonts w:ascii="Arial" w:cs="Arial" w:eastAsia="Arial" w:hAnsi="Arial"/>
          <w:sz w:val="17"/>
          <w:szCs w:val="17"/>
          <w:color w:val="auto"/>
        </w:rPr>
        <w:t>, Healthcare Lighting</w:t>
      </w:r>
      <w:r>
        <w:rPr>
          <w:rFonts w:ascii="Arial" w:cs="Arial" w:eastAsia="Arial" w:hAnsi="Arial"/>
          <w:sz w:val="22"/>
          <w:szCs w:val="22"/>
          <w:color w:val="auto"/>
          <w:vertAlign w:val="superscript"/>
        </w:rPr>
        <w:t>®</w:t>
      </w:r>
      <w:r>
        <w:rPr>
          <w:rFonts w:ascii="Arial" w:cs="Arial" w:eastAsia="Arial" w:hAnsi="Arial"/>
          <w:sz w:val="17"/>
          <w:szCs w:val="17"/>
          <w:color w:val="auto"/>
        </w:rPr>
        <w:t>, Hydrel</w:t>
      </w:r>
      <w:r>
        <w:rPr>
          <w:rFonts w:ascii="Arial" w:cs="Arial" w:eastAsia="Arial" w:hAnsi="Arial"/>
          <w:sz w:val="22"/>
          <w:szCs w:val="22"/>
          <w:color w:val="auto"/>
          <w:vertAlign w:val="superscript"/>
        </w:rPr>
        <w:t>®</w:t>
      </w:r>
      <w:r>
        <w:rPr>
          <w:rFonts w:ascii="Arial" w:cs="Arial" w:eastAsia="Arial" w:hAnsi="Arial"/>
          <w:sz w:val="17"/>
          <w:szCs w:val="17"/>
          <w:color w:val="auto"/>
        </w:rPr>
        <w:t>, American Electric Lighting</w:t>
      </w:r>
      <w:r>
        <w:rPr>
          <w:rFonts w:ascii="Arial" w:cs="Arial" w:eastAsia="Arial" w:hAnsi="Arial"/>
          <w:sz w:val="22"/>
          <w:szCs w:val="22"/>
          <w:color w:val="auto"/>
          <w:vertAlign w:val="superscript"/>
        </w:rPr>
        <w:t>®</w:t>
      </w:r>
      <w:r>
        <w:rPr>
          <w:rFonts w:ascii="Arial" w:cs="Arial" w:eastAsia="Arial" w:hAnsi="Arial"/>
          <w:sz w:val="17"/>
          <w:szCs w:val="17"/>
          <w:color w:val="auto"/>
        </w:rPr>
        <w:t>, Sunoptics</w:t>
      </w:r>
      <w:r>
        <w:rPr>
          <w:rFonts w:ascii="Arial" w:cs="Arial" w:eastAsia="Arial" w:hAnsi="Arial"/>
          <w:sz w:val="22"/>
          <w:szCs w:val="22"/>
          <w:color w:val="auto"/>
          <w:vertAlign w:val="superscript"/>
        </w:rPr>
        <w:t>®</w:t>
      </w:r>
      <w:r>
        <w:rPr>
          <w:rFonts w:ascii="Arial" w:cs="Arial" w:eastAsia="Arial" w:hAnsi="Arial"/>
          <w:sz w:val="17"/>
          <w:szCs w:val="17"/>
          <w:color w:val="auto"/>
        </w:rPr>
        <w:t>, eldoLED</w:t>
      </w:r>
      <w:r>
        <w:rPr>
          <w:rFonts w:ascii="Arial" w:cs="Arial" w:eastAsia="Arial" w:hAnsi="Arial"/>
          <w:sz w:val="22"/>
          <w:szCs w:val="22"/>
          <w:color w:val="auto"/>
          <w:vertAlign w:val="superscript"/>
        </w:rPr>
        <w:t>®</w:t>
      </w:r>
      <w:r>
        <w:rPr>
          <w:rFonts w:ascii="Arial" w:cs="Arial" w:eastAsia="Arial" w:hAnsi="Arial"/>
          <w:sz w:val="17"/>
          <w:szCs w:val="17"/>
          <w:color w:val="auto"/>
        </w:rPr>
        <w:t>, nLight</w:t>
      </w:r>
      <w:r>
        <w:rPr>
          <w:rFonts w:ascii="Arial" w:cs="Arial" w:eastAsia="Arial" w:hAnsi="Arial"/>
          <w:sz w:val="22"/>
          <w:szCs w:val="22"/>
          <w:color w:val="auto"/>
          <w:vertAlign w:val="superscript"/>
        </w:rPr>
        <w:t>®</w:t>
      </w:r>
      <w:r>
        <w:rPr>
          <w:rFonts w:ascii="Arial" w:cs="Arial" w:eastAsia="Arial" w:hAnsi="Arial"/>
          <w:sz w:val="17"/>
          <w:szCs w:val="17"/>
          <w:color w:val="auto"/>
        </w:rPr>
        <w:t>, Sensor Switch</w:t>
      </w:r>
      <w:r>
        <w:rPr>
          <w:rFonts w:ascii="Arial" w:cs="Arial" w:eastAsia="Arial" w:hAnsi="Arial"/>
          <w:sz w:val="22"/>
          <w:szCs w:val="22"/>
          <w:color w:val="auto"/>
          <w:vertAlign w:val="superscript"/>
        </w:rPr>
        <w:t>®</w:t>
      </w:r>
      <w:r>
        <w:rPr>
          <w:rFonts w:ascii="Arial" w:cs="Arial" w:eastAsia="Arial" w:hAnsi="Arial"/>
          <w:sz w:val="17"/>
          <w:szCs w:val="17"/>
          <w:color w:val="auto"/>
        </w:rPr>
        <w:t>, IOTA</w:t>
      </w:r>
      <w:r>
        <w:rPr>
          <w:rFonts w:ascii="Arial" w:cs="Arial" w:eastAsia="Arial" w:hAnsi="Arial"/>
          <w:sz w:val="22"/>
          <w:szCs w:val="22"/>
          <w:color w:val="auto"/>
          <w:vertAlign w:val="superscript"/>
        </w:rPr>
        <w:t>®</w:t>
      </w:r>
      <w:r>
        <w:rPr>
          <w:rFonts w:ascii="Arial" w:cs="Arial" w:eastAsia="Arial" w:hAnsi="Arial"/>
          <w:sz w:val="17"/>
          <w:szCs w:val="17"/>
          <w:color w:val="auto"/>
        </w:rPr>
        <w:t>, A-Light</w:t>
      </w:r>
      <w:r>
        <w:rPr>
          <w:rFonts w:ascii="Arial" w:cs="Arial" w:eastAsia="Arial" w:hAnsi="Arial"/>
          <w:sz w:val="22"/>
          <w:szCs w:val="22"/>
          <w:color w:val="auto"/>
          <w:vertAlign w:val="superscript"/>
        </w:rPr>
        <w:t>TM</w:t>
      </w:r>
      <w:r>
        <w:rPr>
          <w:rFonts w:ascii="Arial" w:cs="Arial" w:eastAsia="Arial" w:hAnsi="Arial"/>
          <w:sz w:val="17"/>
          <w:szCs w:val="17"/>
          <w:color w:val="auto"/>
        </w:rPr>
        <w:t>, Cyclone</w:t>
      </w:r>
      <w:r>
        <w:rPr>
          <w:rFonts w:ascii="Arial" w:cs="Arial" w:eastAsia="Arial" w:hAnsi="Arial"/>
          <w:sz w:val="22"/>
          <w:szCs w:val="22"/>
          <w:color w:val="auto"/>
          <w:vertAlign w:val="superscript"/>
        </w:rPr>
        <w:t>TM</w:t>
      </w:r>
      <w:r>
        <w:rPr>
          <w:rFonts w:ascii="Arial" w:cs="Arial" w:eastAsia="Arial" w:hAnsi="Arial"/>
          <w:sz w:val="17"/>
          <w:szCs w:val="17"/>
          <w:color w:val="auto"/>
        </w:rPr>
        <w:t>, Eureka</w:t>
      </w:r>
      <w:r>
        <w:rPr>
          <w:rFonts w:ascii="Arial" w:cs="Arial" w:eastAsia="Arial" w:hAnsi="Arial"/>
          <w:sz w:val="22"/>
          <w:szCs w:val="22"/>
          <w:color w:val="auto"/>
          <w:vertAlign w:val="superscript"/>
        </w:rPr>
        <w:t>®</w:t>
      </w:r>
      <w:r>
        <w:rPr>
          <w:rFonts w:ascii="Arial" w:cs="Arial" w:eastAsia="Arial" w:hAnsi="Arial"/>
          <w:sz w:val="17"/>
          <w:szCs w:val="17"/>
          <w:color w:val="auto"/>
        </w:rPr>
        <w:t>, Lumniaire LED</w:t>
      </w:r>
      <w:r>
        <w:rPr>
          <w:rFonts w:ascii="Arial" w:cs="Arial" w:eastAsia="Arial" w:hAnsi="Arial"/>
          <w:sz w:val="22"/>
          <w:szCs w:val="22"/>
          <w:color w:val="auto"/>
          <w:vertAlign w:val="superscript"/>
        </w:rPr>
        <w:t>TM</w:t>
      </w:r>
      <w:r>
        <w:rPr>
          <w:rFonts w:ascii="Arial" w:cs="Arial" w:eastAsia="Arial" w:hAnsi="Arial"/>
          <w:sz w:val="17"/>
          <w:szCs w:val="17"/>
          <w:color w:val="auto"/>
        </w:rPr>
        <w:t>, Luminis</w:t>
      </w:r>
      <w:r>
        <w:rPr>
          <w:rFonts w:ascii="Arial" w:cs="Arial" w:eastAsia="Arial" w:hAnsi="Arial"/>
          <w:sz w:val="22"/>
          <w:szCs w:val="22"/>
          <w:color w:val="auto"/>
          <w:vertAlign w:val="superscript"/>
        </w:rPr>
        <w:t>®</w:t>
      </w:r>
      <w:r>
        <w:rPr>
          <w:rFonts w:ascii="Arial" w:cs="Arial" w:eastAsia="Arial" w:hAnsi="Arial"/>
          <w:sz w:val="17"/>
          <w:szCs w:val="17"/>
          <w:color w:val="auto"/>
        </w:rPr>
        <w:t>, Dark to Light</w:t>
      </w:r>
      <w:r>
        <w:rPr>
          <w:rFonts w:ascii="Arial" w:cs="Arial" w:eastAsia="Arial" w:hAnsi="Arial"/>
          <w:sz w:val="22"/>
          <w:szCs w:val="22"/>
          <w:color w:val="auto"/>
          <w:vertAlign w:val="superscript"/>
        </w:rPr>
        <w:t>®</w:t>
      </w:r>
      <w:r>
        <w:rPr>
          <w:rFonts w:ascii="Arial" w:cs="Arial" w:eastAsia="Arial" w:hAnsi="Arial"/>
          <w:sz w:val="17"/>
          <w:szCs w:val="17"/>
          <w:color w:val="auto"/>
        </w:rPr>
        <w:t>, and RELOC Wiring Solutions.</w:t>
      </w:r>
    </w:p>
    <w:p>
      <w:pPr>
        <w:spacing w:after="0" w:line="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ISG offers building management systems and location-aware applications and sells predominantly through system integrators. Our building management system includes Distech Controls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for controlling heating, ventilation, and air conditioning (“HVAC”), lighting, shades, and access control that deliver end-to-end optimization of those building systems. We also offer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that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Principal customers of ISG include system integrators, electrical distributors, retail centers, airports, and enterprise campuses throughout North America and select international locations. ISG products and solutions are marketed under numerous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DGLogik</w:t>
      </w:r>
      <w:r>
        <w:rPr>
          <w:rFonts w:ascii="Arial" w:cs="Arial" w:eastAsia="Arial" w:hAnsi="Arial"/>
          <w:sz w:val="23"/>
          <w:szCs w:val="23"/>
          <w:color w:val="auto"/>
          <w:vertAlign w:val="superscript"/>
        </w:rPr>
        <w:t>TM</w:t>
      </w:r>
      <w:r>
        <w:rPr>
          <w:rFonts w:ascii="Arial" w:cs="Arial" w:eastAsia="Arial" w:hAnsi="Arial"/>
          <w:sz w:val="18"/>
          <w:szCs w:val="18"/>
          <w:color w:val="auto"/>
        </w:rPr>
        <w:t>, Atruis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BuildingOS</w:t>
      </w:r>
      <w:r>
        <w:rPr>
          <w:rFonts w:ascii="Arial" w:cs="Arial" w:eastAsia="Arial" w:hAnsi="Arial"/>
          <w:sz w:val="23"/>
          <w:szCs w:val="23"/>
          <w:color w:val="auto"/>
          <w:vertAlign w:val="superscript"/>
        </w:rPr>
        <w:t>®</w:t>
      </w:r>
      <w:r>
        <w:rPr>
          <w:rFonts w:ascii="Arial" w:cs="Arial" w:eastAsia="Arial" w:hAnsi="Arial"/>
          <w:sz w:val="18"/>
          <w:szCs w:val="18"/>
          <w:color w:val="auto"/>
        </w:rPr>
        <w:t>, and LocusLabs</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ABL and ISG comprised approximately 95% and 5% of consolidated revenues, respectively, during the three and nine months ended May 31, 2021 and 2020.</w:t>
      </w:r>
    </w:p>
    <w:p>
      <w:pPr>
        <w:spacing w:after="0" w:line="9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2021, our consolidated comprehensive income for the three and nine months ended May 31, 2021 and 2020, and our consolidated cash flows for the nine months ended May 31, 2021 and 2020.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2020 and notes thereto included in our Annual Report on Form 10-K filed with the Securities and Exchange Commission (the “SEC”) on October 23, 2020 (File No. 001-16583) (“Form 10-K”).</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results of operations for the three and nine months ended May 31, 2021 and 2020 are not necessarily indicative of the results to be expected for the full fiscal year due primarily to continued uncertainty of general economic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that may impact our key end markets for the remainder of fiscal 2021, seasonality, and the impact of any acquisitions, among other reasons. Additionally, we are uncertain of the future impact of the ongoing COVID-19 pandemic or recovery of prior deterioration in economic conditions to our sales channels, supply chain, manufacturing, and distribution as well as overall construction, renovation, and consumer spending.</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have recast prior period segment and disaggregated revenue information to conform to the current year presentation. See </w:t>
      </w:r>
      <w:r>
        <w:rPr>
          <w:rFonts w:ascii="Arial" w:cs="Arial" w:eastAsia="Arial" w:hAnsi="Arial"/>
          <w:sz w:val="18"/>
          <w:szCs w:val="18"/>
          <w:i w:val="1"/>
          <w:iCs w:val="1"/>
          <w:color w:val="auto"/>
        </w:rPr>
        <w:t>Note 18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for further details. No other material reclassifications occurred during the current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3"/>
          <w:szCs w:val="23"/>
          <w:color w:val="auto"/>
          <w:vertAlign w:val="superscript"/>
        </w:rPr>
        <w:t>®</w:t>
      </w:r>
      <w:r>
        <w:rPr>
          <w:rFonts w:ascii="Arial" w:cs="Arial" w:eastAsia="Arial" w:hAnsi="Arial"/>
          <w:sz w:val="18"/>
          <w:szCs w:val="18"/>
          <w:color w:val="auto"/>
        </w:rPr>
        <w:t>, Luminaire LED™, and Luminis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accounted for the acquisition of Rockpile Ventures as well as the acquisitions of TLG and LocusLabs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TLG and LocusLabs acquisitions are referred to herein collectively as the “2020 Acquisitions.” Acquired assets and liabilities were recorded at their estimated acquisition-date fair values, and acquisition-related costs were expensed as incurred. Amounts recognized for the acquisition of Rockpile Ventures are deemed to be provisional until disclosed otherwise, as we continue to gather information related to the identification and valuation of Rockpile Ventures' equity interests in AI startups as well as other acquired assets and liabilities.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finalized the acquisition accounting for the 2020 Acquisitions during the first quarter of fiscal 2021. There were no material changes to our financial statements as a result of the finalization of the acquisition accounting for the 2020 Acquisitions. The aggregate purchase price of the 2020 Acquisitions reflects total goodwill and identified intangible assets of approximately $ 107.6 million and $180.6 million, respectively. Identified intangible assets consist of indefinite-lived marketing-related intangibles as well as definite-lived customer-based and technology-based assets, which have a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of the acquired businesses with our operations. Goodwill from these acquisitions totaling $77.7 million is expected to be tax deductible.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2021</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assess impairment of its financial instruments based on the entity's estimate of expected credit losses. Since the issuance of ASU 2016-13, the FASB released several amendments to improve and clarify the implementation guidance. These standards have been collectively codified within ASC Topic 326,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(“ASC 326”). The provisions of ASC 326 are effective for fiscal years, and interim reporting periods within those years, beginning after December 15, 2019. We adopted the provisions of ASC 326 as of September 1, 2020 and applied these changes through an immaterial cumulative-effect adjustment of $ 0.2 million to retained earnings as of the date of adoption. Our estimation of current expected credit losses reflects our considerations of the impact of general economic conditions, including construction spending, unemployment rates, the effects of the COVID-19 pandemic, and macroeconomic growth, on our customers' ability to meet their obligations.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requires customers to apply internal-use software guidance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that are able to be capitalized. Capitalized implementation costs are required to be amortized over the term of the arrangement, beginning when the cloud computing arrangement is ready for its intended use. ASU 2018-15 is effective for fiscal years, and interim reporting periods within those years, beginning after December 15, 2019. We adopted ASU 2018-15 as of September 1, 2020 on a prospective basis. This standard did not have a material effect on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provisions of ASU 2019-12 on our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categorizes market participant assumptions based on</w:t>
      </w:r>
    </w:p>
    <w:p>
      <w:pPr>
        <w:spacing w:after="0" w:line="1" w:lineRule="exact"/>
        <w:rPr>
          <w:sz w:val="20"/>
          <w:szCs w:val="20"/>
          <w:color w:val="auto"/>
        </w:rPr>
      </w:pPr>
    </w:p>
    <w:p>
      <w:pPr>
        <w:jc w:val="both"/>
        <w:ind w:firstLine="8"/>
        <w:spacing w:after="0" w:line="256" w:lineRule="auto"/>
        <w:tabs>
          <w:tab w:leader="none" w:pos="219"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$593.5 million and $560.7 million as of May 31, 2021 and August 31, 2020, respectively.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such as the discount rate and estimates of future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estimated fair values of certain of our financial instruments were as follows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May 31, 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August 31, 2020</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5"/>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Term Loan Facility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3"/>
        </w:trPr>
        <w:tc>
          <w:tcPr>
            <w:tcW w:w="6880" w:type="dxa"/>
            <w:vAlign w:val="bottom"/>
          </w:tcPr>
          <w:p>
            <w:pPr>
              <w:ind w:left="2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hold equity investments in unconsolidated affiliates without readily determinable fair values. These strategic investments represent less than a 20% ownership interest in each of the privately-held affiliates, and we do not maintain power over or control of the entities.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Based on these considerations, we estimate that the carrying value of the acquired shares represents the fair value of the investment as of May 31, 2021. During the first quarter of fiscal 2021, we recorded an impairment charge for one of these investments of $4.0 million as a recapitalization of the underlying company diluted our holding value. This impairment is reflected 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for the nine months ended May 31, 2021 within our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Our industrial revenue bond (“IRB”) is carried at the outstanding balance as of the end of the reporting period. The IRB was a variable-rate instrument that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reset on a frequent short-term basis and matured within one month from balance sheet date; therefore, we estimate that the face amount of this bond approximates its fair value as of May 31, 2021 based on instruments of similar terms and maturity (Level 2). See </w:t>
      </w:r>
      <w:r>
        <w:rPr>
          <w:rFonts w:ascii="Arial" w:cs="Arial" w:eastAsia="Arial" w:hAnsi="Arial"/>
          <w:sz w:val="18"/>
          <w:szCs w:val="18"/>
          <w:i w:val="1"/>
          <w:iCs w:val="1"/>
          <w:color w:val="auto"/>
        </w:rPr>
        <w:t>Note 9 —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Lines of Credit </w:t>
      </w:r>
      <w:r>
        <w:rPr>
          <w:rFonts w:ascii="Arial" w:cs="Arial" w:eastAsia="Arial" w:hAnsi="Arial"/>
          <w:sz w:val="18"/>
          <w:szCs w:val="18"/>
          <w:color w:val="auto"/>
        </w:rPr>
        <w:t>for further details on our borrowings.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2"/>
        </w:trPr>
        <w:tc>
          <w:tcPr>
            <w:tcW w:w="720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r>
      <w:tr>
        <w:trPr>
          <w:trHeight w:val="213"/>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261" w:lineRule="auto"/>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2021</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588.4</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802.8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w:t>
            </w:r>
          </w:p>
        </w:tc>
      </w:tr>
      <w:tr>
        <w:trPr>
          <w:trHeight w:val="213"/>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 to May 31, 2021, one of our facilities, included within property, plant, and equipment, with a carrying value of $6.6 million met the criteria to be classified as held for sale and is expected to be sold within one year. We concluded the fair value less cost to sell of this asset exceeded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have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$10.2 million and $10.8 million during the three months ended May 31, 2021 and 2020, respectively, and $30.4 million and $30.8 million during the nine months ended May 31, 2021 and 2020, respectively. Amortization expense is generally recorded on a straight-line basis and is expected to be approximately $40.7 million in fiscal 2021, $40.6 million in fiscal 2022, $40.3 million in fiscal 2023, $40.1 million in fiscal 2024, and $33.3 million in fiscal 2025.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millions):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2021</w:t>
            </w: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2020</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967.3</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Provisional additions from acquired businesses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will be paid semi-annually in arrears on June 15 and December 15 of each year, beginning on June 15, 2021. The Unsecured Notes are fully and unconditionally guaranteed on a senior unsecured basis by Acuity Brands, Inc. and ABL IP Holding LLC, a wholly-owned subsidiary of Acuity Brands, Inc. Additionally, we recorded $4.8 million of deferred issuance costs related to the Unsecured Notes as a direct deduction from the face amount of the Unsecured Notes. These issuance costs are amortized over the 10-year term of the Unsecured Notes. As of May 31, 2021, the balance of the Unsecured Notes net of unamortized discount and deferred issuance costs was $494.2 million.</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May 31, 2021, we also had $4.0 million of tax-exempt industrial revenue bonds that were paid at maturity on June 1,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2021. Additionally, we had $2.1 million outstanding under fixed-rate bank loans at August 31, 2020 that we repaid during the second quarter of fiscal 2021, prior to their maturity date.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and provided us with a $400.0 million unsecured delayed draw term loan facility (the “Term Loan Facility”). We had no borrowings outstanding under the Revolving Credit Facility as of May 31, 2021 or August 31, 2020. We had $395.0 million of borrowings under the Term Loan Facility as of August 31, 2020, which we fully repaid during the first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quarter of fiscal 2021 using the proceeds from the Unsecured Notes. The Credit Agreement allows for no future borrowings under the Term Loan Facility.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with such margin ranging from 0.000% to 0.375%.</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 annual facility fee. The annual facility fee is payable quarterly, in arrears, and is determined by our leverage ratio. The annual facility fee ranges from 0.125% to 0.250% of the aggregate $400.0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May 31, 2021. At May 31, 2021,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 As of May 31, 2021, we had outstanding letters of credit totaling $8.3 million, primarily for securing collateral requirements under our casualty insurance programs and for providing credit support for our industrial revenue bond, which includes the $4.1 million issued under the Revolving Credit Facility.</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tcBorders>
              <w:bottom w:val="single" w:sz="8" w:color="auto"/>
            </w:tcBorders>
          </w:tcPr>
          <w:p>
            <w:pPr>
              <w:spacing w:after="0"/>
              <w:rPr>
                <w:sz w:val="18"/>
                <w:szCs w:val="18"/>
                <w:color w:val="auto"/>
              </w:rPr>
            </w:pPr>
          </w:p>
        </w:tc>
      </w:tr>
      <w:tr>
        <w:trPr>
          <w:trHeight w:val="212"/>
        </w:trPr>
        <w:tc>
          <w:tcPr>
            <w:tcW w:w="3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20" w:type="dxa"/>
            <w:vAlign w:val="bottom"/>
            <w:tcBorders>
              <w:bottom w:val="single" w:sz="8" w:color="auto"/>
            </w:tcBorders>
          </w:tcPr>
          <w:p>
            <w:pPr>
              <w:spacing w:after="0"/>
              <w:rPr>
                <w:sz w:val="18"/>
                <w:szCs w:val="18"/>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(0.7)</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2021,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The following table summarizes changes in the estimated liabilities for product warranty and recall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18"/>
                <w:szCs w:val="18"/>
                <w:color w:val="auto"/>
              </w:rPr>
            </w:pPr>
          </w:p>
        </w:tc>
      </w:tr>
      <w:tr>
        <w:trPr>
          <w:trHeight w:val="212"/>
        </w:trPr>
        <w:tc>
          <w:tcPr>
            <w:tcW w:w="7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2020</w:t>
            </w:r>
          </w:p>
        </w:tc>
        <w:tc>
          <w:tcPr>
            <w:tcW w:w="480" w:type="dxa"/>
            <w:vAlign w:val="bottom"/>
            <w:tcBorders>
              <w:bottom w:val="single" w:sz="8" w:color="auto"/>
            </w:tcBorders>
          </w:tcPr>
          <w:p>
            <w:pPr>
              <w:spacing w:after="0"/>
              <w:rPr>
                <w:sz w:val="18"/>
                <w:szCs w:val="18"/>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Acquired warranty and recall liabilities</w:t>
            </w:r>
          </w:p>
        </w:tc>
        <w:tc>
          <w:tcPr>
            <w:tcW w:w="15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granted the Company permission to file an interlocutory appeal of the District Court’s class certification order, and the briefing of that appeal has been completed. Estimating an amount or range of possible losses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Stockholders' Equity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5"/>
        </w:trPr>
        <w:tc>
          <w:tcPr>
            <w:tcW w:w="46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Cumulative effect of adoption of ASC 326 </w:t>
            </w:r>
            <w:r>
              <w:rPr>
                <w:rFonts w:ascii="Arial" w:cs="Arial" w:eastAsia="Arial" w:hAnsi="Arial"/>
                <w:sz w:val="16"/>
                <w:szCs w:val="16"/>
                <w:color w:val="auto"/>
                <w:vertAlign w:val="superscript"/>
              </w:rPr>
              <w:t>(1)</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175"/>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7"/>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9"/>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75"/>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1,932.5</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8"/>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7"/>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5"/>
        </w:trPr>
        <w:tc>
          <w:tcPr>
            <w:tcW w:w="46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Repurchases of common stock </w:t>
            </w:r>
            <w:r>
              <w:rPr>
                <w:rFonts w:ascii="Arial" w:cs="Arial" w:eastAsia="Arial" w:hAnsi="Arial"/>
                <w:sz w:val="16"/>
                <w:szCs w:val="16"/>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9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May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2,039.1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1"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4 - New Accounting Pronouncements</w:t>
      </w:r>
      <w:r>
        <w:rPr>
          <w:rFonts w:ascii="Arial" w:cs="Arial" w:eastAsia="Arial" w:hAnsi="Arial"/>
          <w:sz w:val="12"/>
          <w:szCs w:val="12"/>
          <w:color w:val="auto"/>
        </w:rPr>
        <w:t xml:space="preserve"> for further details on our adoption of ASC 326.</w:t>
      </w:r>
    </w:p>
    <w:p>
      <w:pPr>
        <w:spacing w:after="0" w:line="46" w:lineRule="exact"/>
        <w:rPr>
          <w:rFonts w:ascii="Arial" w:cs="Arial" w:eastAsia="Arial" w:hAnsi="Arial"/>
          <w:sz w:val="16"/>
          <w:szCs w:val="16"/>
          <w:color w:val="auto"/>
          <w:vertAlign w:val="superscript"/>
        </w:rPr>
      </w:pPr>
    </w:p>
    <w:p>
      <w:pPr>
        <w:ind w:left="160" w:hanging="152"/>
        <w:spacing w:after="0" w:line="199"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Represents repurchases of fewer than 0.1 million shares of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6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1,918.9</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9"/>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2,347.6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1,987.3</w:t>
            </w:r>
          </w:p>
        </w:tc>
        <w:tc>
          <w:tcPr>
            <w:tcW w:w="0" w:type="dxa"/>
            <w:vAlign w:val="bottom"/>
          </w:tcPr>
          <w:p>
            <w:pPr>
              <w:spacing w:after="0"/>
              <w:rPr>
                <w:sz w:val="1"/>
                <w:szCs w:val="1"/>
                <w:color w:val="auto"/>
              </w:rPr>
            </w:pPr>
          </w:p>
        </w:tc>
      </w:tr>
      <w:tr>
        <w:trPr>
          <w:trHeight w:val="167"/>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1"/>
        </w:trPr>
        <w:tc>
          <w:tcPr>
            <w:tcW w:w="4620" w:type="dxa"/>
            <w:vAlign w:val="bottom"/>
          </w:tcPr>
          <w:p>
            <w:pPr>
              <w:ind w:left="20"/>
              <w:spacing w:after="0"/>
              <w:rPr>
                <w:sz w:val="20"/>
                <w:szCs w:val="20"/>
                <w:color w:val="auto"/>
              </w:rPr>
            </w:pPr>
            <w:r>
              <w:rPr>
                <w:rFonts w:ascii="Arial" w:cs="Arial" w:eastAsia="Arial" w:hAnsi="Arial"/>
                <w:sz w:val="13"/>
                <w:szCs w:val="13"/>
                <w:color w:val="auto"/>
              </w:rPr>
              <w:t>Balance, February 29, 2020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950.6</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2,399.6</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2,045.1</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8"/>
        </w:trPr>
        <w:tc>
          <w:tcPr>
            <w:tcW w:w="462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3"/>
                <w:szCs w:val="13"/>
                <w:color w:val="auto"/>
              </w:rPr>
              <w:t>Balance, May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958.0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2,454.8</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99"/>
              </w:rPr>
              <w:t>(1,156.0)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Revenue Recognition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53.6</w:t>
            </w:r>
          </w:p>
        </w:tc>
      </w:tr>
    </w:tbl>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May 31, 2021 totaled $4.8 million.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May 31, 2021 that do not represent contract liabilities consist primarily of orders for physical goods that have not yet been shipped, which are typically shipped within a few weeks of order receipt.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and directly to large corporate accounts. ISG sells predominantly through system integrators. The following table shows revenue from contracts with customers by sales channel and reconciles to our segment information for the periods presented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39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May 31, 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May 31, 2020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2021</w:t>
            </w:r>
          </w:p>
        </w:tc>
        <w:tc>
          <w:tcPr>
            <w:tcW w:w="280" w:type="dxa"/>
            <w:vAlign w:val="bottom"/>
          </w:tcPr>
          <w:p>
            <w:pPr>
              <w:spacing w:after="0"/>
              <w:rPr>
                <w:sz w:val="15"/>
                <w:szCs w:val="15"/>
                <w:color w:val="auto"/>
              </w:rPr>
            </w:pPr>
          </w:p>
        </w:tc>
        <w:tc>
          <w:tcPr>
            <w:tcW w:w="1480" w:type="dxa"/>
            <w:vAlign w:val="bottom"/>
          </w:tcPr>
          <w:p>
            <w:pPr>
              <w:jc w:val="right"/>
              <w:ind w:right="368"/>
              <w:spacing w:after="0"/>
              <w:rPr>
                <w:sz w:val="20"/>
                <w:szCs w:val="20"/>
                <w:color w:val="auto"/>
              </w:rPr>
            </w:pPr>
            <w:r>
              <w:rPr>
                <w:rFonts w:ascii="Arial" w:cs="Arial" w:eastAsia="Arial" w:hAnsi="Arial"/>
                <w:sz w:val="14"/>
                <w:szCs w:val="14"/>
                <w:b w:val="1"/>
                <w:bCs w:val="1"/>
                <w:color w:val="auto"/>
              </w:rPr>
              <w:t>May 31, 2020</w:t>
            </w:r>
          </w:p>
        </w:tc>
      </w:tr>
      <w:tr>
        <w:trPr>
          <w:trHeight w:val="16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ABL:</w:t>
            </w:r>
          </w:p>
        </w:tc>
        <w:tc>
          <w:tcPr>
            <w:tcW w:w="13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89"/>
        </w:trPr>
        <w:tc>
          <w:tcPr>
            <w:tcW w:w="3940" w:type="dxa"/>
            <w:vAlign w:val="bottom"/>
          </w:tcPr>
          <w:p>
            <w:pPr>
              <w:ind w:left="140"/>
              <w:spacing w:after="0"/>
              <w:rPr>
                <w:sz w:val="20"/>
                <w:szCs w:val="20"/>
                <w:color w:val="auto"/>
              </w:rPr>
            </w:pPr>
            <w:r>
              <w:rPr>
                <w:rFonts w:ascii="Arial" w:cs="Arial" w:eastAsia="Arial" w:hAnsi="Arial"/>
                <w:sz w:val="14"/>
                <w:szCs w:val="14"/>
                <w:color w:val="auto"/>
              </w:rPr>
              <w:t>Independent sales network</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628.0</w:t>
            </w:r>
          </w:p>
        </w:tc>
        <w:tc>
          <w:tcPr>
            <w:tcW w:w="100" w:type="dxa"/>
            <w:vAlign w:val="bottom"/>
          </w:tcPr>
          <w:p>
            <w:pPr>
              <w:spacing w:after="0"/>
              <w:rPr>
                <w:sz w:val="16"/>
                <w:szCs w:val="16"/>
                <w:color w:val="auto"/>
              </w:rPr>
            </w:pP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549.4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1,737.4</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1,679.2</w:t>
            </w:r>
          </w:p>
        </w:tc>
      </w:tr>
      <w:tr>
        <w:trPr>
          <w:trHeight w:val="189"/>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Direct sales network</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r>
      <w:tr>
        <w:trPr>
          <w:trHeight w:val="189"/>
        </w:trPr>
        <w:tc>
          <w:tcPr>
            <w:tcW w:w="3940" w:type="dxa"/>
            <w:vAlign w:val="bottom"/>
          </w:tcPr>
          <w:p>
            <w:pPr>
              <w:ind w:left="140"/>
              <w:spacing w:after="0"/>
              <w:rPr>
                <w:sz w:val="20"/>
                <w:szCs w:val="20"/>
                <w:color w:val="auto"/>
              </w:rPr>
            </w:pPr>
            <w:r>
              <w:rPr>
                <w:rFonts w:ascii="Arial" w:cs="Arial" w:eastAsia="Arial" w:hAnsi="Arial"/>
                <w:sz w:val="14"/>
                <w:szCs w:val="14"/>
                <w:color w:val="auto"/>
              </w:rPr>
              <w:t>Retail sales</w:t>
            </w:r>
          </w:p>
        </w:tc>
        <w:tc>
          <w:tcPr>
            <w:tcW w:w="13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161.1</w:t>
            </w:r>
          </w:p>
        </w:tc>
      </w:tr>
      <w:tr>
        <w:trPr>
          <w:trHeight w:val="189"/>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accounts</w:t>
            </w: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r>
      <w:tr>
        <w:trPr>
          <w:trHeight w:val="189"/>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w:t>
            </w: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ABL</w:t>
            </w:r>
          </w:p>
        </w:tc>
        <w:tc>
          <w:tcPr>
            <w:tcW w:w="13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850.0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741.6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2,327.8</w:t>
            </w: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ISG</w:t>
            </w:r>
          </w:p>
        </w:tc>
        <w:tc>
          <w:tcPr>
            <w:tcW w:w="132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116.1</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Eliminations</w:t>
            </w:r>
          </w:p>
        </w:tc>
        <w:tc>
          <w:tcPr>
            <w:tcW w:w="1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3"/>
        </w:trPr>
        <w:tc>
          <w:tcPr>
            <w:tcW w:w="3940" w:type="dxa"/>
            <w:vAlign w:val="bottom"/>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899.7</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776.2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2,468.3</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2,435.1</w:t>
            </w:r>
          </w:p>
        </w:tc>
      </w:tr>
      <w:tr>
        <w:trPr>
          <w:trHeight w:val="21"/>
        </w:trPr>
        <w:tc>
          <w:tcPr>
            <w:tcW w:w="3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Payments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share units, and restricted shares (all part of our equity incentive plan), as well as share units representing certain deferrals into our director deferred compensation plan or our supplemental deferred savings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35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May 31, 2021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May 31, 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 2021</w:t>
            </w:r>
          </w:p>
        </w:tc>
        <w:tc>
          <w:tcPr>
            <w:tcW w:w="26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2020</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50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Further details regarding our stock options, restricted shares, and director compensation award programs as well as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Pension Plans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Nine Months Ended</w:t>
            </w:r>
          </w:p>
        </w:tc>
      </w:tr>
      <w:tr>
        <w:trPr>
          <w:trHeight w:val="212"/>
        </w:trPr>
        <w:tc>
          <w:tcPr>
            <w:tcW w:w="3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May 31, 2021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May 31, 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 2021</w:t>
            </w:r>
          </w:p>
        </w:tc>
        <w:tc>
          <w:tcPr>
            <w:tcW w:w="24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6"/>
                <w:szCs w:val="16"/>
                <w:b w:val="1"/>
                <w:bCs w:val="1"/>
                <w:color w:val="auto"/>
              </w:rPr>
              <w:t>May 31, 2020</w:t>
            </w: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560" w:type="dxa"/>
            <w:vAlign w:val="bottom"/>
            <w:tcBorders>
              <w:top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center"/>
              <w:ind w:left="1099"/>
              <w:spacing w:after="0"/>
              <w:rPr>
                <w:sz w:val="20"/>
                <w:szCs w:val="20"/>
                <w:color w:val="auto"/>
              </w:rPr>
            </w:pPr>
            <w:r>
              <w:rPr>
                <w:rFonts w:ascii="Arial" w:cs="Arial" w:eastAsia="Arial" w:hAnsi="Arial"/>
                <w:sz w:val="16"/>
                <w:szCs w:val="16"/>
                <w:color w:val="auto"/>
                <w:w w:val="98"/>
              </w:rPr>
              <w:t>3.5</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5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left="1099"/>
              <w:spacing w:after="0"/>
              <w:rPr>
                <w:sz w:val="20"/>
                <w:szCs w:val="20"/>
                <w:color w:val="auto"/>
              </w:rPr>
            </w:pPr>
            <w:r>
              <w:rPr>
                <w:rFonts w:ascii="Arial" w:cs="Arial" w:eastAsia="Arial" w:hAnsi="Arial"/>
                <w:sz w:val="16"/>
                <w:szCs w:val="16"/>
                <w:color w:val="auto"/>
                <w:w w:val="98"/>
              </w:rPr>
              <w:t>5.5</w:t>
            </w: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rPr>
              <w:t>(9.4)</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5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left="1099"/>
              <w:spacing w:after="0"/>
              <w:rPr>
                <w:sz w:val="20"/>
                <w:szCs w:val="20"/>
                <w:color w:val="auto"/>
              </w:rPr>
            </w:pPr>
            <w:r>
              <w:rPr>
                <w:rFonts w:ascii="Arial" w:cs="Arial" w:eastAsia="Arial" w:hAnsi="Arial"/>
                <w:sz w:val="16"/>
                <w:szCs w:val="16"/>
                <w:color w:val="auto"/>
                <w:w w:val="98"/>
              </w:rPr>
              <w:t>3.0</w:t>
            </w: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5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center"/>
              <w:ind w:left="1099"/>
              <w:spacing w:after="0"/>
              <w:rPr>
                <w:sz w:val="20"/>
                <w:szCs w:val="20"/>
                <w:color w:val="auto"/>
              </w:rPr>
            </w:pPr>
            <w:r>
              <w:rPr>
                <w:rFonts w:ascii="Arial" w:cs="Arial" w:eastAsia="Arial" w:hAnsi="Arial"/>
                <w:sz w:val="16"/>
                <w:szCs w:val="16"/>
                <w:color w:val="auto"/>
                <w:w w:val="98"/>
              </w:rPr>
              <w:t>4.2</w:t>
            </w:r>
          </w:p>
        </w:tc>
      </w:tr>
      <w:tr>
        <w:trPr>
          <w:trHeight w:val="212"/>
        </w:trPr>
        <w:tc>
          <w:tcPr>
            <w:tcW w:w="33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5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center"/>
              <w:ind w:left="1099"/>
              <w:spacing w:after="0"/>
              <w:rPr>
                <w:sz w:val="20"/>
                <w:szCs w:val="20"/>
                <w:color w:val="auto"/>
              </w:rPr>
            </w:pPr>
            <w:r>
              <w:rPr>
                <w:rFonts w:ascii="Arial" w:cs="Arial" w:eastAsia="Arial" w:hAnsi="Arial"/>
                <w:sz w:val="16"/>
                <w:szCs w:val="16"/>
                <w:color w:val="auto"/>
                <w:w w:val="98"/>
              </w:rPr>
              <w:t>6.8</w:t>
            </w:r>
          </w:p>
        </w:tc>
      </w:tr>
      <w:tr>
        <w:trPr>
          <w:trHeight w:val="21"/>
        </w:trPr>
        <w:tc>
          <w:tcPr>
            <w:tcW w:w="3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Special Charges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first nine months of fiscal 2021, we recognized pre-tax special charges of $1.5 million, which consisted primarily of charges for relocation costs and adjustments related to severance costs associated with the previously announced transfer of activities from planned facility closures. Further details regarding our special charges are included within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summarizes costs reflected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periods presented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6"/>
                <w:szCs w:val="16"/>
                <w:color w:val="auto"/>
              </w:rPr>
            </w:pPr>
          </w:p>
        </w:tc>
      </w:tr>
      <w:tr>
        <w:trPr>
          <w:trHeight w:val="183"/>
        </w:trPr>
        <w:tc>
          <w:tcPr>
            <w:tcW w:w="35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May 31, 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May 31, 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May 31, 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May 31, 2020</w:t>
            </w:r>
          </w:p>
        </w:tc>
        <w:tc>
          <w:tcPr>
            <w:tcW w:w="400" w:type="dxa"/>
            <w:vAlign w:val="bottom"/>
            <w:tcBorders>
              <w:bottom w:val="single" w:sz="8" w:color="auto"/>
            </w:tcBorders>
          </w:tcPr>
          <w:p>
            <w:pPr>
              <w:spacing w:after="0"/>
              <w:rPr>
                <w:sz w:val="15"/>
                <w:szCs w:val="15"/>
                <w:color w:val="auto"/>
              </w:rPr>
            </w:pPr>
          </w:p>
        </w:tc>
      </w:tr>
      <w:tr>
        <w:trPr>
          <w:trHeight w:val="18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Severance and employee-related costs</w:t>
            </w:r>
          </w:p>
        </w:tc>
        <w:tc>
          <w:tcPr>
            <w:tcW w:w="150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2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9"/>
        </w:trPr>
        <w:tc>
          <w:tcPr>
            <w:tcW w:w="3500" w:type="dxa"/>
            <w:vAlign w:val="bottom"/>
          </w:tcPr>
          <w:p>
            <w:pPr>
              <w:ind w:left="20"/>
              <w:spacing w:after="0"/>
              <w:rPr>
                <w:sz w:val="20"/>
                <w:szCs w:val="20"/>
                <w:color w:val="auto"/>
              </w:rPr>
            </w:pPr>
            <w:r>
              <w:rPr>
                <w:rFonts w:ascii="Arial" w:cs="Arial" w:eastAsia="Arial" w:hAnsi="Arial"/>
                <w:sz w:val="14"/>
                <w:szCs w:val="14"/>
                <w:color w:val="auto"/>
              </w:rPr>
              <w:t>Relocation and other restructuring costs</w:t>
            </w:r>
          </w:p>
        </w:tc>
        <w:tc>
          <w:tcPr>
            <w:tcW w:w="150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special charges</w:t>
            </w:r>
          </w:p>
        </w:tc>
        <w:tc>
          <w:tcPr>
            <w:tcW w:w="1500" w:type="dxa"/>
            <w:vAlign w:val="bottom"/>
            <w:tcBorders>
              <w:top w:val="single" w:sz="8" w:color="auto"/>
              <w:bottom w:val="single" w:sz="8" w:color="auto"/>
            </w:tcBorders>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12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As of May 31, 2021, remaining restructuring liabilities were $1.3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period presented are summarized as follows (in millions):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August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Severance and 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Payments made during the period</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May 31, 2021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May 31, 2021</w:t>
            </w:r>
          </w:p>
        </w:tc>
      </w:tr>
      <w:tr>
        <w:trPr>
          <w:trHeight w:val="184"/>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Pr>
          <w:p>
            <w:pPr>
              <w:jc w:val="center"/>
              <w:ind w:left="1428"/>
              <w:spacing w:after="0"/>
              <w:rPr>
                <w:sz w:val="20"/>
                <w:szCs w:val="20"/>
                <w:color w:val="auto"/>
              </w:rPr>
            </w:pPr>
            <w:r>
              <w:rPr>
                <w:rFonts w:ascii="Arial" w:cs="Arial" w:eastAsia="Arial" w:hAnsi="Arial"/>
                <w:sz w:val="14"/>
                <w:szCs w:val="14"/>
                <w:color w:val="auto"/>
              </w:rPr>
              <w:t>3.0</w:t>
            </w:r>
          </w:p>
        </w:tc>
      </w:tr>
      <w:tr>
        <w:trPr>
          <w:trHeight w:val="189"/>
        </w:trPr>
        <w:tc>
          <w:tcPr>
            <w:tcW w:w="220" w:type="dxa"/>
            <w:vAlign w:val="bottom"/>
          </w:tcPr>
          <w:p>
            <w:pPr>
              <w:spacing w:after="0"/>
              <w:rPr>
                <w:sz w:val="16"/>
                <w:szCs w:val="16"/>
                <w:color w:val="auto"/>
              </w:rPr>
            </w:pPr>
          </w:p>
        </w:tc>
        <w:tc>
          <w:tcPr>
            <w:tcW w:w="1820" w:type="dxa"/>
            <w:vAlign w:val="bottom"/>
          </w:tcPr>
          <w:p>
            <w:pPr>
              <w:jc w:val="center"/>
              <w:ind w:left="1428"/>
              <w:spacing w:after="0"/>
              <w:rPr>
                <w:sz w:val="20"/>
                <w:szCs w:val="20"/>
                <w:color w:val="auto"/>
              </w:rPr>
            </w:pPr>
            <w:r>
              <w:rPr>
                <w:rFonts w:ascii="Arial" w:cs="Arial" w:eastAsia="Arial" w:hAnsi="Arial"/>
                <w:sz w:val="14"/>
                <w:szCs w:val="14"/>
                <w:color w:val="auto"/>
              </w:rPr>
              <w:t>0.4</w:t>
            </w:r>
          </w:p>
        </w:tc>
      </w:tr>
      <w:tr>
        <w:trPr>
          <w:trHeight w:val="188"/>
        </w:trPr>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408"/>
              <w:spacing w:after="0"/>
              <w:rPr>
                <w:sz w:val="20"/>
                <w:szCs w:val="20"/>
                <w:color w:val="auto"/>
              </w:rPr>
            </w:pPr>
            <w:r>
              <w:rPr>
                <w:rFonts w:ascii="Arial" w:cs="Arial" w:eastAsia="Arial" w:hAnsi="Arial"/>
                <w:sz w:val="14"/>
                <w:szCs w:val="14"/>
                <w:color w:val="auto"/>
              </w:rPr>
              <w:t>(2.1)</w:t>
            </w:r>
          </w:p>
        </w:tc>
      </w:tr>
      <w:tr>
        <w:trPr>
          <w:trHeight w:val="183"/>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center"/>
              <w:ind w:left="1428"/>
              <w:spacing w:after="0"/>
              <w:rPr>
                <w:sz w:val="20"/>
                <w:szCs w:val="20"/>
                <w:color w:val="auto"/>
              </w:rPr>
            </w:pPr>
            <w:r>
              <w:rPr>
                <w:rFonts w:ascii="Arial" w:cs="Arial" w:eastAsia="Arial" w:hAnsi="Arial"/>
                <w:sz w:val="14"/>
                <w:szCs w:val="14"/>
                <w:color w:val="auto"/>
              </w:rPr>
              <w:t>1.3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720"/>
            <w:col w:w="2040"/>
          </w:cols>
          <w:pgMar w:left="320" w:top="140" w:right="339"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36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May 31, 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May 31, 2020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2021</w:t>
            </w:r>
          </w:p>
        </w:tc>
        <w:tc>
          <w:tcPr>
            <w:tcW w:w="280" w:type="dxa"/>
            <w:vAlign w:val="bottom"/>
          </w:tcPr>
          <w:p>
            <w:pPr>
              <w:spacing w:after="0"/>
              <w:rPr>
                <w:sz w:val="15"/>
                <w:szCs w:val="15"/>
                <w:color w:val="auto"/>
              </w:rPr>
            </w:pPr>
          </w:p>
        </w:tc>
        <w:tc>
          <w:tcPr>
            <w:tcW w:w="1540" w:type="dxa"/>
            <w:vAlign w:val="bottom"/>
          </w:tcPr>
          <w:p>
            <w:pPr>
              <w:jc w:val="right"/>
              <w:ind w:right="408"/>
              <w:spacing w:after="0"/>
              <w:rPr>
                <w:sz w:val="20"/>
                <w:szCs w:val="20"/>
                <w:color w:val="auto"/>
              </w:rPr>
            </w:pPr>
            <w:r>
              <w:rPr>
                <w:rFonts w:ascii="Arial" w:cs="Arial" w:eastAsia="Arial" w:hAnsi="Arial"/>
                <w:sz w:val="14"/>
                <w:szCs w:val="14"/>
                <w:b w:val="1"/>
                <w:bCs w:val="1"/>
                <w:color w:val="auto"/>
              </w:rPr>
              <w:t>May 31, 2020</w:t>
            </w:r>
          </w:p>
        </w:tc>
      </w:tr>
      <w:tr>
        <w:trPr>
          <w:trHeight w:val="20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0" w:type="dxa"/>
            <w:vAlign w:val="bottom"/>
            <w:tcBorders>
              <w:top w:val="single" w:sz="8" w:color="auto"/>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6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4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4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4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r>
      <w:tr>
        <w:trPr>
          <w:trHeight w:val="21"/>
        </w:trPr>
        <w:tc>
          <w:tcPr>
            <w:tcW w:w="3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36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Borders>
              <w:bottom w:val="single" w:sz="8" w:color="auto"/>
            </w:tcBorders>
            <w:gridSpan w:val="3"/>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36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May 31, 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May 31, 2020</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May 31, 2021</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May 31, 2020</w:t>
            </w:r>
          </w:p>
        </w:tc>
      </w:tr>
      <w:tr>
        <w:trPr>
          <w:trHeight w:val="18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Restricted stock awards</w:t>
            </w:r>
          </w:p>
        </w:tc>
        <w:tc>
          <w:tcPr>
            <w:tcW w:w="1920" w:type="dxa"/>
            <w:vAlign w:val="bottom"/>
            <w:gridSpan w:val="3"/>
          </w:tcPr>
          <w:p>
            <w:pPr>
              <w:jc w:val="right"/>
              <w:ind w:right="15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0.2</w:t>
            </w:r>
          </w:p>
        </w:tc>
      </w:tr>
    </w:tbl>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w:t>
      </w:r>
      <w:r>
        <w:rPr>
          <w:rFonts w:ascii="Arial" w:cs="Arial" w:eastAsia="Arial" w:hAnsi="Arial"/>
          <w:sz w:val="18"/>
          <w:szCs w:val="18"/>
          <w:i w:val="1"/>
          <w:iCs w:val="1"/>
          <w:color w:val="auto"/>
        </w:rPr>
        <w:t>Other comprehensive income (loss) items</w:t>
      </w:r>
      <w:r>
        <w:rPr>
          <w:rFonts w:ascii="Arial" w:cs="Arial" w:eastAsia="Arial" w:hAnsi="Arial"/>
          <w:sz w:val="18"/>
          <w:szCs w:val="18"/>
          <w:color w:val="auto"/>
        </w:rPr>
        <w:t xml:space="preserve"> include foreign currency translation and pension adjustments.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summarize the changes in each component of accumulated other comprehensive loss during the periods presented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6"/>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2021</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Foreign Currency Items</w:t>
            </w:r>
          </w:p>
        </w:tc>
        <w:tc>
          <w:tcPr>
            <w:tcW w:w="2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7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2020</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2020</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2020</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fiscal 2021, we completed a realignment of our operations and structure to better support our business strategy. As a result, beginning in the third quarter of fiscal 2021, we now report our financial results of operations in two reportable segments, ABL and ISG, consistent with how our chief operating decision maker currently evaluates operating results, assesses performance, and allocates resources within the Company. We have recast historical information to conform to the current segment structure.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ABL offers devices such as luminaires, lighting controls, power supplies, prismatic skylights, and drivers as well as integrated systems designed to optimize energy efficiency and comfort for various indoor and outdoor applications. 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Our lighting and lighting controls solutions are sold primarily through independent sales agencies who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w:t>
      </w:r>
    </w:p>
    <w:p>
      <w:pPr>
        <w:spacing w:after="0" w:line="1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ISG segment offers building management systems and location-aware applications, which include products for controlling HVAC, lighting, shades, and access control that deliver end-to-end optimization of those building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systems. Additionally, ISG includes our intelligent building platform that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Principal customers of ISG include system integrators, electrical distributors, retail centers, airports, and enterprise campuses throughout North America and select international locations.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Unallocated Amounts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Corporate expenses that are primarily administrative in nature and benefit the company on an entity-wide basis are not allocated to our segments. These include expenses related to governance, policy setting, compliance, and certain other shared services functions. Additionally, we do not allocate non-operating amounts, including net interest expense and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The following table presents financial information by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periods presented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Corporate</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6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May 31, 2021:</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850.0</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3"/>
          </w:tcPr>
          <w:p>
            <w:pPr>
              <w:ind w:left="880"/>
              <w:spacing w:after="0"/>
              <w:rPr>
                <w:sz w:val="20"/>
                <w:szCs w:val="20"/>
                <w:color w:val="auto"/>
              </w:rPr>
            </w:pPr>
            <w:r>
              <w:rPr>
                <w:rFonts w:ascii="Arial" w:cs="Arial" w:eastAsia="Arial" w:hAnsi="Arial"/>
                <w:sz w:val="14"/>
                <w:szCs w:val="14"/>
                <w:color w:val="auto"/>
              </w:rPr>
              <w:t>—   $</w:t>
            </w:r>
          </w:p>
        </w:tc>
        <w:tc>
          <w:tcPr>
            <w:tcW w:w="11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899.7</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May 31, 2020: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741.6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16"/>
        </w:trPr>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May 31, 2021: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2,340.4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2,468.3</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16"/>
        </w:trPr>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Nine Months Ended May 31, 2020: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2,327.8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2,435.1</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248.0</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18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36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May 31, 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May 31, 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2021</w:t>
            </w:r>
          </w:p>
        </w:tc>
        <w:tc>
          <w:tcPr>
            <w:tcW w:w="280" w:type="dxa"/>
            <w:vAlign w:val="bottom"/>
          </w:tcPr>
          <w:p>
            <w:pPr>
              <w:spacing w:after="0"/>
              <w:rPr>
                <w:sz w:val="15"/>
                <w:szCs w:val="15"/>
                <w:color w:val="auto"/>
              </w:rPr>
            </w:pPr>
          </w:p>
        </w:tc>
        <w:tc>
          <w:tcPr>
            <w:tcW w:w="1540" w:type="dxa"/>
            <w:vAlign w:val="bottom"/>
          </w:tcPr>
          <w:p>
            <w:pPr>
              <w:jc w:val="right"/>
              <w:ind w:right="408"/>
              <w:spacing w:after="0"/>
              <w:rPr>
                <w:sz w:val="20"/>
                <w:szCs w:val="20"/>
                <w:color w:val="auto"/>
              </w:rPr>
            </w:pPr>
            <w:r>
              <w:rPr>
                <w:rFonts w:ascii="Arial" w:cs="Arial" w:eastAsia="Arial" w:hAnsi="Arial"/>
                <w:sz w:val="14"/>
                <w:szCs w:val="14"/>
                <w:b w:val="1"/>
                <w:bCs w:val="1"/>
                <w:color w:val="auto"/>
              </w:rPr>
              <w:t>May 31, 2020</w:t>
            </w:r>
          </w:p>
        </w:tc>
      </w:tr>
      <w:tr>
        <w:trPr>
          <w:trHeight w:val="18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 - ABL</w:t>
            </w:r>
          </w:p>
        </w:tc>
        <w:tc>
          <w:tcPr>
            <w:tcW w:w="1360" w:type="dxa"/>
            <w:vAlign w:val="bottom"/>
            <w:tcBorders>
              <w:top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Operating profit (loss) - ISG</w:t>
            </w:r>
          </w:p>
        </w:tc>
        <w:tc>
          <w:tcPr>
            <w:tcW w:w="136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amounts</w:t>
            </w:r>
          </w:p>
        </w:tc>
        <w:tc>
          <w:tcPr>
            <w:tcW w:w="13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36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248.0</w:t>
            </w: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 (income), net</w:t>
            </w:r>
          </w:p>
        </w:tc>
        <w:tc>
          <w:tcPr>
            <w:tcW w:w="1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109.2</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E101A"/>
        </w:rPr>
        <w:t>One June 4, 2021, the Company announced that it has signed a definitive agreement to purchase ams OSRAM’s North American Digital Systems (“DS”) business. This acquisition is intended to enable the Company to enhance our LED driver and controls technology portfolio and accelerate our innovation, expand our access to market through a more fulsome OEM product offering, and give us more control over our supply chain. The transaction is expected to close by end of day on July 1,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May 31, 2021 and for the three and nine months ended May 31, 2021 and 2020.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Brands' Annual Report on Form 10-K for the fiscal year ended August 31, 2020, filed with the Securities and Exchange Commission (the “SEC”) on October 23, 2020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was incorporated in 2001 under the laws of the State of Delaware. We are a market-leading industrial technology company that develops, manufactures, and brings to market products and services including building management systems, lighting, lighting controls, and location-aware applications. These products and services provide commercial, institutional, industrial, infrastructure, and residential applications throughout North America and select international markets.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third quarter of fiscal 2021, we completed a realignment of our operations and structure to better support our business strategy. As a result, beginning in the third quarter of fiscal 2021, we now report our financial results of operations in two reportable segments, Acuity Brands Lighting and Lighting Controls (“ABL”) and Intelligent Spaces Group (“ISG”), consistent with how our chief operating decision maker currently evaluates operating results, assesses performance, and allocates resources within the Company. We have recast historical information to conform to the current segment structure. We achieve growth through the development of innovative new products and services. Through the Acuity Business System, we achieve customer-focused efficiencies that allow us to increase market share and deliver superior returns. We look to aggressively deploy capital to grow the business and to enter attractive new verticals.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One </w:t>
      </w:r>
      <w:r>
        <w:rPr>
          <w:rFonts w:ascii="Arial" w:cs="Arial" w:eastAsia="Arial" w:hAnsi="Arial"/>
          <w:sz w:val="18"/>
          <w:szCs w:val="18"/>
          <w:color w:val="0E101A"/>
        </w:rPr>
        <w:t>June 4, 2021, the Company announced that it has signed a definitive agreement to purchase ams OSRAM’s North American Digital</w:t>
      </w:r>
      <w:r>
        <w:rPr>
          <w:rFonts w:ascii="Arial" w:cs="Arial" w:eastAsia="Arial" w:hAnsi="Arial"/>
          <w:sz w:val="18"/>
          <w:szCs w:val="18"/>
          <w:color w:val="auto"/>
        </w:rPr>
        <w:t xml:space="preserve"> </w:t>
      </w:r>
      <w:r>
        <w:rPr>
          <w:rFonts w:ascii="Arial" w:cs="Arial" w:eastAsia="Arial" w:hAnsi="Arial"/>
          <w:sz w:val="18"/>
          <w:szCs w:val="18"/>
          <w:color w:val="0E101A"/>
        </w:rPr>
        <w:t>Systems (“DS”) business. This acquisition is intended to enable the Company to enhance our LED driver and controls technology portfolio and accelerate our innovation, expand our access to market through a more fulsome OEM product offering, and give us more control over our supply chain. The transaction is expected to close by end of day on July 1, 2021.</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startups. Rockpile Ventures helps early-stage artificial intelligence companies drive co-engineering and co-selling partnerships with major cloud ecosystems, enabling faster adoption from proof-of-concept trials to market scale.</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operations for the three and nine months ended May 31, 2021 and 2020 are not necessarily indicative of the results to be expected for the full fiscal year due primarily to continued uncertainty of general economic conditions that may impact our key end markets for fiscal 2021, seasonality, and the impact of any acquisitions, among other reasons. Additionally, we are uncertain of the future impact of the ongoing COVID-19 pandemic or recovery of prior deterioration in economic conditions to our sales channels, supply chain, manufacturing, and distribution as well as overall construction, renovation, and consumer spending.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have required certain employees whose job functions can be performed remotely to work primarily from home.</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Government-mandated and voluntary social distancing measures have had, and continue to have, an adverse impact on our results of operations. The pandemic has caused reduced construction and renovation spending as well as a disruption in our supply chain for certain components, both of which negatively impacted our fiscal 2021 sales. In fiscal 2020 we experienced a limited number of temporary facility shutdowns due to government-mandated closures. Although our facilities are now open and new government-mandated restrictions have been gradually lifted, a resurgence in COVID-19 cases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are due in December 2021, and the remaining deferrals are due in December 2022.</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nine months of fiscal 2021, we paid $30.6 million for property, plant, and equipment, primarily for tooling, new and enhanced information technology capabilities, equipment, and facility enhancements. We currently expect to invest approximately 1.5% of net sales on capital expenditures during fiscal 2021.</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nine months of fiscal 2021, we repurchased 3.3 million shares of our outstanding common stock. As of May 31, 2021, the maximum number of shares that may yet be repurchased under the share repurchase program authorized by the Board equaled 4.4 million shares. We expect to repurchase the remaining shares available for repurchase on an opportunistic basis subject to various factors including stock price, Company performance, market conditions, and other possible uses of cash.</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funding possible acquisitions; making capital investments as currently anticipated; paying quarterly stockholder dividends as currently anticipated; paying principal and interest on debt as currently scheduled; making required contributions and distributions related to our employee benefit plans; and potentially repurchasing shares of our outstanding common stock.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 limited to, future borrowings and borrowing capacity, will sufficiently support our long-term liquidity needs. In the event of a sustained market deterioration, we may need additional liquidity, which would require us to evaluate available alternatives and take appropriate 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use available cash and cash flows from operations, borrowings, and proceeds from the exercise of stock options to fund operations, capital expenditures, and acquisitions if any; to repurchase Company stock; and to pay dividends.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cash position at May 31, 2021 was $593.5 million, an increase of $32.8 million from August 31, 2020. During the nine months ended May 31, 2021, we generated net cash flows from operations of $316.2 million. During November 2020, we issued long-term debt that contributed net proceeds of $493.9 million to our cash position. See more details below under the </w:t>
      </w:r>
      <w:r>
        <w:rPr>
          <w:rFonts w:ascii="Arial" w:cs="Arial" w:eastAsia="Arial" w:hAnsi="Arial"/>
          <w:sz w:val="18"/>
          <w:szCs w:val="18"/>
          <w:i w:val="1"/>
          <w:iCs w:val="1"/>
          <w:color w:val="auto"/>
        </w:rPr>
        <w:t>Capitalization</w:t>
      </w:r>
      <w:r>
        <w:rPr>
          <w:rFonts w:ascii="Arial" w:cs="Arial" w:eastAsia="Arial" w:hAnsi="Arial"/>
          <w:sz w:val="18"/>
          <w:szCs w:val="18"/>
          <w:color w:val="auto"/>
        </w:rPr>
        <w:t xml:space="preserve"> section. Cash generated from operating activities, cash on hand, and funds from borrowings were used during the nine months ended May 31, 2021 primarily to repay borrowings on our Term Loan Facility (defined below) of $395.0 million as well as bank loans of $ 2.1 million, to fund share repurchases of $340.9 million, to fund capital expenditures of $30.6 million, to pay dividends to stockholders of $14.3 million, and to pay withholding taxes on the net settlement of equity awards of $3.9 million.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$316.2 million of cash flows from operating activities during the nine months ended May 31, 2021 compared with $378.3 million in the prior-year period, a decrease of $62.1 million, due primarily to an increase in accounts receivable that resulted from the improvement in year-over-year sales, partially offset by payroll tax deferrals under the CARES Act as well as lower interest payments on long-term borrowings due to timing.</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$30.6 million and $38.3 million during the first nine months of fiscal 2021 and 2020, respectively, for property, plant, and equipment, primarily related to investments in tooling, new and enhanced information technology capabilities, equipment, and facility enhancements.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2020, Acuity Brands Lighting, Inc., a wholly-owned subsidiary of Acuity Brands,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is paid semi-annually in arrears on June 15 and December 15 of each year, which began on June 15, 2021. The Unsecured Notes are fully and unconditionally guaranteed on a senior unsecured basis by Acuity Brands, Inc. and ABL IP Holding LLC (“ABL IP Holding”, and, together with Acuity Brands, Inc. the “Guarantors”), a wholly-owned subsidiary of Acuity Brands, Inc. Additionally, we capitalized $4.8 million of deferred issuance costs related to the Unsecured Notes that are being amortized over the 10-year term. As of May 31, 2021, the balance of the Unsecured Notes net of unamortized discount and deferred issuance costs was $494.2 million.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May 31, 2021, we also had $4.0 million of tax-exempt industrial revenue bonds that were paid at maturity on June 1, 2021.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May 31, 2021. Additionally, we had $2.1 million outstanding under fixed-rate bank loans at August 31, 2020 that we repaid during the nine months ended May 31, 2021, prior to their maturity date. There have been no other material changes outside of the ordinary course of business in our contractual obligations since August 31, 2020.</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8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2021</w:t>
            </w:r>
          </w:p>
        </w:tc>
        <w:tc>
          <w:tcPr>
            <w:tcW w:w="260" w:type="dxa"/>
            <w:vAlign w:val="bottom"/>
          </w:tcPr>
          <w:p>
            <w:pPr>
              <w:spacing w:after="0"/>
              <w:rPr>
                <w:sz w:val="18"/>
                <w:szCs w:val="18"/>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 2020</w:t>
            </w:r>
          </w:p>
        </w:tc>
      </w:tr>
      <w:tr>
        <w:trPr>
          <w:trHeight w:val="213"/>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1,152.6</w:t>
            </w: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1,416.0</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530.2</w:t>
            </w: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84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889.1</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May 31, 2021, our capital structure was comprised principally of the Unsecured Notes and equity of our stockholders. Total debt outstanding was $498.2 million at May 31, 2021 and consisted primarily of fixed-rate obligations. At August 31, 2020, total debt outstanding was $401.1 million and consisted primarily of variable-rate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and provided us with a $400.0 million unsecured delayed draw term loan facility (the “Term Loan Facility)”. We had no borrowings outstanding under the Revolving Credit Facility as of May 31, 2021 or August 31, 2020. We had no borrowings outstanding under the Term Loan Facility as of May 31, 2021. We had $395.0 million in borrowings outstanding under the Term Loan Facility as of August 31, 2020, which we fully repaid during the first quarter of fiscal 2021 using the proceeds from the Unsecured Notes. The Credit Agreement allows for no future borrowings under the Term Loan Facility.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May 31, 2021. At May 31, 2021,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 As of May 31, 2021, we had outstanding letters of credit totaling $8.3 million, primarily for securing collateral requirements under our casualty insurance programs and for providing credit support for our industrial revenue bond, which includes the $4.1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first nine months of fiscal 2021, our consolidated stockholders’ equity decreased $88.4 million to $2.0 billion at May 31, 2021, from $2.1 billion at August 31, 2020. The decrease was due primarily to repurchases of our outstanding common stock and dividend payments, partially offset by net income earned and favorable foreign currency translation adjustments. Our debt to total capitalization ratio (calculated by dividing total debt by the sum of total debt and total stockholders’ equity) was 19.6% and 15.9% at May 31, 2021 and August 31, 2020, respectively. The ratio of debt, net of cash, to total capitalization, net of cash, was (4.9)% and (8.1)% at May 31, 2021 and August 31,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$14.3 million ($0.39 per share) and $ 15.6 million ($0.39 per share) during the nine months ended May 31, 2021 and 2020,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2021 Compared with Third Quarter of Fiscal 2020</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2021 and 2020 (in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May 31, 2020</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513.1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448.6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43.0 %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42.2 %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80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13.1 %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10.7 %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97.8 %</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39.1 %</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10.1 %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83"/>
        </w:trPr>
        <w:tc>
          <w:tcPr>
            <w:tcW w:w="44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21.5 %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55.9 %</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$899.7 million for the three months ended May 31, 2021 compared with $776.2 million reported for the three months ended May 31, 2020, an increase of $ 123.5 million, or 15.9%. For the three months ended May 31, 2021, we reported net income of $85.7 million, an increase of $25.3 million, or 41.9%, compared with $60.4 million for the three months ended May 31, 2020. For the third quarter of fiscal 2021, diluted earnings per share increased 55.9% to $2.37 compared with $1.52 reported in the year-ago period.</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following table as well as the tables under </w:t>
      </w:r>
      <w:r>
        <w:rPr>
          <w:rFonts w:ascii="Arial" w:cs="Arial" w:eastAsia="Arial" w:hAnsi="Arial"/>
          <w:sz w:val="18"/>
          <w:szCs w:val="18"/>
          <w:i w:val="1"/>
          <w:iCs w:val="1"/>
          <w:color w:val="auto"/>
        </w:rPr>
        <w:t>Segment Results</w:t>
      </w:r>
      <w:r>
        <w:rPr>
          <w:rFonts w:ascii="Arial" w:cs="Arial" w:eastAsia="Arial" w:hAnsi="Arial"/>
          <w:sz w:val="18"/>
          <w:szCs w:val="18"/>
          <w:color w:val="auto"/>
        </w:rPr>
        <w:t xml:space="preserve"> below reconcile certain U.S. generally accepted accounting principles (“U.S. GAAP”) financial measures to the corresponding non-U.S. GAAP measures referred to in the discussion of our results of operations, which exclude the impact of acquisition-related items, amortization of acquired intangible assets, share-based payment expense, and special charges associated primarily with continued efforts to streamline the organization and integrate recent acquisitions.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selling, distribution, and administrative (“SD&amp;A”) expenses and adjusted SD&amp;A expenses as a percent of net sales, adjusted operating profit and adjusted operating profit margin for total company and by segment,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There are limitations to the use of non-U.S. GAAP financial measures and such non-U.S. GAAP financial measures should be considered in addition to, and not as a substitute for or superior to, results prepared in accordance with U.S. GAAP. The non-U.S. GAAP measures as defined by us may not be comparable to similar non-U.S. GAAP measures presented by other companies. Our presentation of such measures, which may include adjustments to exclude unusual or non-recurring items, should not be construed as an inference that our future results will be unaffected by other unusual or non-recurring items.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Increase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2"/>
            <w:vMerge w:val="restart"/>
          </w:tcPr>
          <w:p>
            <w:pPr>
              <w:jc w:val="right"/>
              <w:ind w:right="1068"/>
              <w:spacing w:after="0"/>
              <w:rPr>
                <w:sz w:val="20"/>
                <w:szCs w:val="20"/>
                <w:color w:val="auto"/>
              </w:rPr>
            </w:pPr>
            <w:r>
              <w:rPr>
                <w:rFonts w:ascii="Arial" w:cs="Arial" w:eastAsia="Arial" w:hAnsi="Arial"/>
                <w:sz w:val="14"/>
                <w:szCs w:val="14"/>
                <w:b w:val="1"/>
                <w:bCs w:val="1"/>
                <w:color w:val="auto"/>
              </w:rPr>
              <w:t>May 31, 2021</w:t>
            </w:r>
          </w:p>
        </w:tc>
        <w:tc>
          <w:tcPr>
            <w:tcW w:w="140" w:type="dxa"/>
            <w:vAlign w:val="bottom"/>
          </w:tcPr>
          <w:p>
            <w:pPr>
              <w:spacing w:after="0"/>
              <w:rPr>
                <w:sz w:val="11"/>
                <w:szCs w:val="11"/>
                <w:color w:val="auto"/>
              </w:rPr>
            </w:pPr>
          </w:p>
        </w:tc>
        <w:tc>
          <w:tcPr>
            <w:tcW w:w="2080" w:type="dxa"/>
            <w:vAlign w:val="bottom"/>
            <w:gridSpan w:val="2"/>
            <w:vMerge w:val="restart"/>
          </w:tcPr>
          <w:p>
            <w:pPr>
              <w:jc w:val="right"/>
              <w:ind w:right="1108"/>
              <w:spacing w:after="0"/>
              <w:rPr>
                <w:sz w:val="20"/>
                <w:szCs w:val="20"/>
                <w:color w:val="auto"/>
              </w:rPr>
            </w:pPr>
            <w:r>
              <w:rPr>
                <w:rFonts w:ascii="Arial" w:cs="Arial" w:eastAsia="Arial" w:hAnsi="Arial"/>
                <w:sz w:val="14"/>
                <w:szCs w:val="14"/>
                <w:b w:val="1"/>
                <w:bCs w:val="1"/>
                <w:color w:val="auto"/>
              </w:rPr>
              <w:t>May 31, 2020</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241.3</w:t>
            </w: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189"/>
        </w:trPr>
        <w:tc>
          <w:tcPr>
            <w:tcW w:w="45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29.8 %</w:t>
            </w:r>
          </w:p>
        </w:tc>
        <w:tc>
          <w:tcPr>
            <w:tcW w:w="140" w:type="dxa"/>
            <w:vAlign w:val="bottom"/>
          </w:tcPr>
          <w:p>
            <w:pPr>
              <w:spacing w:after="0"/>
              <w:rPr>
                <w:sz w:val="16"/>
                <w:szCs w:val="16"/>
                <w:color w:val="auto"/>
              </w:rPr>
            </w:pPr>
          </w:p>
        </w:tc>
        <w:tc>
          <w:tcPr>
            <w:tcW w:w="208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31.1 %</w:t>
            </w:r>
          </w:p>
        </w:tc>
        <w:tc>
          <w:tcPr>
            <w:tcW w:w="120" w:type="dxa"/>
            <w:vAlign w:val="bottom"/>
          </w:tcPr>
          <w:p>
            <w:pPr>
              <w:spacing w:after="0"/>
              <w:rPr>
                <w:sz w:val="16"/>
                <w:szCs w:val="16"/>
                <w:color w:val="auto"/>
              </w:rPr>
            </w:pPr>
          </w:p>
        </w:tc>
        <w:tc>
          <w:tcPr>
            <w:tcW w:w="2120" w:type="dxa"/>
            <w:vAlign w:val="bottom"/>
            <w:gridSpan w:val="2"/>
          </w:tcPr>
          <w:p>
            <w:pPr>
              <w:jc w:val="right"/>
              <w:ind w:right="828"/>
              <w:spacing w:after="0"/>
              <w:rPr>
                <w:sz w:val="20"/>
                <w:szCs w:val="20"/>
                <w:color w:val="auto"/>
              </w:rPr>
            </w:pPr>
            <w:r>
              <w:rPr>
                <w:rFonts w:ascii="Arial" w:cs="Arial" w:eastAsia="Arial" w:hAnsi="Arial"/>
                <w:sz w:val="14"/>
                <w:szCs w:val="14"/>
                <w:i w:val="1"/>
                <w:iCs w:val="1"/>
                <w:color w:val="auto"/>
              </w:rPr>
              <w:t>(130) bps</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Less: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249.8</w:t>
            </w:r>
          </w:p>
        </w:tc>
        <w:tc>
          <w:tcPr>
            <w:tcW w:w="9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222.7</w:t>
            </w:r>
          </w:p>
        </w:tc>
        <w:tc>
          <w:tcPr>
            <w:tcW w:w="10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27.1</w:t>
            </w:r>
          </w:p>
        </w:tc>
        <w:tc>
          <w:tcPr>
            <w:tcW w:w="1180" w:type="dxa"/>
            <w:vAlign w:val="bottom"/>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27.8 %</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i w:val="1"/>
                <w:iCs w:val="1"/>
                <w:color w:val="auto"/>
              </w:rPr>
              <w:t>28.7 %</w:t>
            </w:r>
          </w:p>
        </w:tc>
        <w:tc>
          <w:tcPr>
            <w:tcW w:w="12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right"/>
              <w:ind w:right="828"/>
              <w:spacing w:after="0" w:line="156" w:lineRule="exact"/>
              <w:rPr>
                <w:sz w:val="20"/>
                <w:szCs w:val="20"/>
                <w:color w:val="auto"/>
              </w:rPr>
            </w:pPr>
            <w:r>
              <w:rPr>
                <w:rFonts w:ascii="Arial" w:cs="Arial" w:eastAsia="Arial" w:hAnsi="Arial"/>
                <w:sz w:val="14"/>
                <w:szCs w:val="14"/>
                <w:i w:val="1"/>
                <w:iCs w:val="1"/>
                <w:color w:val="auto"/>
              </w:rPr>
              <w:t>(90) bps</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0" w:type="dxa"/>
            <w:vAlign w:val="bottom"/>
          </w:tcPr>
          <w:p>
            <w:pPr>
              <w:spacing w:after="0"/>
              <w:rPr>
                <w:sz w:val="1"/>
                <w:szCs w:val="1"/>
                <w:color w:val="auto"/>
              </w:rPr>
            </w:pPr>
          </w:p>
        </w:tc>
      </w:tr>
      <w:tr>
        <w:trPr>
          <w:trHeight w:val="189"/>
        </w:trPr>
        <w:tc>
          <w:tcPr>
            <w:tcW w:w="45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13.1 %</w:t>
            </w:r>
          </w:p>
        </w:tc>
        <w:tc>
          <w:tcPr>
            <w:tcW w:w="140" w:type="dxa"/>
            <w:vAlign w:val="bottom"/>
          </w:tcPr>
          <w:p>
            <w:pPr>
              <w:spacing w:after="0"/>
              <w:rPr>
                <w:sz w:val="16"/>
                <w:szCs w:val="16"/>
                <w:color w:val="auto"/>
              </w:rPr>
            </w:pPr>
          </w:p>
        </w:tc>
        <w:tc>
          <w:tcPr>
            <w:tcW w:w="208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10.7 %</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1180" w:type="dxa"/>
            <w:vAlign w:val="bottom"/>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Add-back: Special charges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104.9</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15.2 %</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i w:val="1"/>
                <w:iCs w:val="1"/>
                <w:color w:val="auto"/>
              </w:rPr>
              <w:t>13.5 %</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170</w:t>
            </w:r>
          </w:p>
        </w:tc>
        <w:tc>
          <w:tcPr>
            <w:tcW w:w="1180" w:type="dxa"/>
            <w:vAlign w:val="bottom"/>
            <w:tcBorders>
              <w:top w:val="single" w:sz="8" w:color="CCEEFF"/>
              <w:bottom w:val="single" w:sz="8" w:color="CCEEFF"/>
            </w:tcBorders>
            <w:vMerge w:val="restart"/>
          </w:tcPr>
          <w:p>
            <w:pPr>
              <w:jc w:val="right"/>
              <w:ind w:right="82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136"/>
        </w:trPr>
        <w:tc>
          <w:tcPr>
            <w:tcW w:w="4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85.7</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w:t>
            </w:r>
          </w:p>
        </w:tc>
        <w:tc>
          <w:tcPr>
            <w:tcW w:w="1180" w:type="dxa"/>
            <w:vAlign w:val="bottom"/>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Add-back: Special charges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effects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77.2</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55.9 %</w:t>
            </w:r>
          </w:p>
        </w:tc>
        <w:tc>
          <w:tcPr>
            <w:tcW w:w="0" w:type="dxa"/>
            <w:vAlign w:val="bottom"/>
          </w:tcPr>
          <w:p>
            <w:pPr>
              <w:spacing w:after="0"/>
              <w:rPr>
                <w:sz w:val="1"/>
                <w:szCs w:val="1"/>
                <w:color w:val="auto"/>
              </w:rPr>
            </w:pPr>
          </w:p>
        </w:tc>
      </w:tr>
      <w:tr>
        <w:trPr>
          <w:trHeight w:val="190"/>
        </w:trPr>
        <w:tc>
          <w:tcPr>
            <w:tcW w:w="4540" w:type="dxa"/>
            <w:vAlign w:val="bottom"/>
          </w:tcPr>
          <w:p>
            <w:pPr>
              <w:ind w:left="20"/>
              <w:spacing w:after="0"/>
              <w:rPr>
                <w:sz w:val="20"/>
                <w:szCs w:val="20"/>
                <w:color w:val="auto"/>
              </w:rPr>
            </w:pPr>
            <w:r>
              <w:rPr>
                <w:rFonts w:ascii="Arial" w:cs="Arial" w:eastAsia="Arial" w:hAnsi="Arial"/>
                <w:sz w:val="14"/>
                <w:szCs w:val="14"/>
                <w:color w:val="auto"/>
              </w:rPr>
              <w:t>Adjusted diluted earnings per share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2.77</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0.83</w:t>
            </w:r>
          </w:p>
        </w:tc>
        <w:tc>
          <w:tcPr>
            <w:tcW w:w="1180" w:type="dxa"/>
            <w:vAlign w:val="bottom"/>
          </w:tcPr>
          <w:p>
            <w:pPr>
              <w:jc w:val="right"/>
              <w:spacing w:after="0"/>
              <w:rPr>
                <w:sz w:val="20"/>
                <w:szCs w:val="20"/>
                <w:color w:val="auto"/>
              </w:rPr>
            </w:pPr>
            <w:r>
              <w:rPr>
                <w:rFonts w:ascii="Arial" w:cs="Arial" w:eastAsia="Arial" w:hAnsi="Arial"/>
                <w:sz w:val="14"/>
                <w:szCs w:val="14"/>
                <w:color w:val="auto"/>
              </w:rPr>
              <w:t>42.8 %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4"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Acquisition-related items include professional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May 31, 2021 increased $123.5 million, or 15.9%, to $899.7 million compared with $ 776.2 million in the prior-year period due primarily to higher volumes. From a sales channel perspective, sales through the independent sales network and direct sales network increased 14% and 39%, respectively, due primarily to our improved go-to-market activity, which leveraged improvements in the construction market and wider economy. Additionally, sales within the corporate accounts channel increased 13% as large retailers within this channel have begun to address previously deferred nonessential renovations. Retail sales declined 26% due primarily to a customer inventory rebalancing in fiscal 2021. Changes in foreign currency rates and revenues from acquired companies did not have a meaningful impact on net sales for the third quarter of fiscal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third quarter of fiscal 2021 increased $59.0 million, or 18.0%, to $386.6 million compared with $327.6 million in the prior-year period, and gross profit margin increased 80 basis points to 43.0% from 42.2%. The increase in gross profit and margin was primarily due to increased sales volumes as well as product and productivity improvements, partially offset by higher component and freight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three months ended May 31, 2021 were $268.0 million compared with $241.3 million in the prior-year period, an increase of $26.7 million, or 11.1%. The increase in SD&amp;A expense was due primarily to higher outbound freight and commissions costs associated with higher sales volumes as well as increased employee-related costs. SD&amp;A expenses for the third quarter of fiscal 2021 were 29.8% of net sales compared with 31.1% for the prior-year period. Adjusted SD&amp;A expenses for the three months ended May 31, 2021 were $249.8 million (27.8% of net sales) compared with $222.7 million (28.7% of net sales) in the prior-year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$0.5 million during the third quarter of fiscal 2021 compared with $3.3 million recorded during the third quarter of fiscal 2020. Further details regarding our special charges are included in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profit for the third quarter of fiscal 2021 was $118.1 million (13.1% of net sales) compared with $ 83.0 million (10.7% of net sales) for the prior-year period, an increase of $35.1 million, or 42.3%. The increase in operating profit was due to higher gross profit and lower special charges, partially offset by higher SD&amp;A expenses. The operating profit margin increase of 240 bps year over year reflects higher gross profit as well as our ability to successfully leverage our fixed costs. Adjusted operating profit increased $31.9 million, or 30.4%, to $136.8 million for the third quarter of fiscal 2021 compared with $104.9 million for the third quarter of fiscal 2020. Adjusted operating profit margin increased to 15.2% for the third quarter of fiscal 2021 compared with 13.5% for the year-ago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expense, net, was $6.2 million and $5.4 million for the three months ended May 31, 2021 and 2020, respectively. This increase was due primarily to less interest earned on cash investments compared to the prior year due primarily to unfavorable short-term investment rates.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reported net miscellaneous expense of $2.7 million and net miscellaneous income of $0.9 million for the three months ended May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income tax rate was 21.5% and 23.1% for the three months ended May 31, 2021 and 2020, respectively. The decrease in the effective income tax rate was primarily due to favorable discrete items recognized in the third quarter of fiscal 2021. We currently estimate that our blended consolidated effective income tax rate, before any discrete items, will be approximately 23% for fiscal 2021, assuming the rates in our taxing jurisdictions remain generally consistent throughout the year.</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third quarter of fiscal 2021 increased $25.3 million, or 41.9%, to $85.7 million from $60.4 million reported for the prior-year period. The increase in net income resulted from an increased operating profit compared to the prior-year period, partially offset by higher net non-operating expenses and income tax expense associated with our increased profit. Diluted earnings per share for the three months ended May 31, 2021 increased $0.85, or 55.9%, to $2.37 compared with diluted earnings per share of $ 1.52 for the prior-year period. This increase reflects higher net income as well as lower outstanding diluted shares. Adjusted net income for the third quarter of fiscal 2021 was $100.4 million, compared with $77.2 million in the prior-year period, an increase of $23.2 million, or 30.1%. Adjusted diluted earnings per share for the three months ended May 31, 2021 increased $0.83, or 42.8%, to $2.77 compared with $1.94 for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May 31, 2021 and 2020 (in millions except per share data). We have recast historical information to conform to the current segment structure.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ABL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741.6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8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108.4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ABL net sales for the three months ended May 31, 2021 increased 14.6% compared with the prior-year period due primarily to improvements within the independent sales network, direct sales network, and corporate accounts channels as our go-to-market activities leveraged improvements in the construction market and wider economy. These gains were partially offset by lower sales in the retail sales channel. Operating profit for ABL was $126.5 million (14.9% of ABL net sales) for the three months ended May 31, 2021 compared to $98.6 million (13.3% of ABL net sales) in the prior-year period, an increase of $27.9 million. The increase in operating profit was due primarily to higher sales volumes as well as product and productivity improvements, partially offset by higher component, freight, and SD&amp;A costs. The operating profit margin increase year over year reflects higher sales volumes as well as our ability to successfully leverage our fixed costs. Adjusted operating profit for ABL increased $27.4 million to $135.8 million for the third quarter of fiscal 2021 compared with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ISG</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8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122.0 %</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Operating profit (loss) margin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ind w:left="76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ISG net sales for the three months ended May 31, 2021 increased 46.9% compared with the prior-year period driven primarily by increased sales of building management products due primarily to improved market conditions as well as the benefit of a pull forward of sales from an announced price increase. ISG operating profit was $7.2 million for three months ended May 31, 2021 compared with a $0.2 million operating loss in the prior-year period, an increase of $7.4 million. This increase was due primarily to higher sales volumes, partially offset by increased employee costs. Adjusted operating profit for ISG increased $6.1 million to $11.1 million for the third quarter of fiscal 2021 compared with the prior-year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2021 Compared with First Nine Months of Fiscal 2020</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2021 and 2020 (in millions except per share data):</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May 31, 2020</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2,468.3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2,435.1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42.8 %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42.2 %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60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Special charges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10.2 %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170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Miscellaneous expense, net</w:t>
            </w:r>
          </w:p>
        </w:tc>
        <w:tc>
          <w:tcPr>
            <w:tcW w:w="2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other expense</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89"/>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i w:val="1"/>
                <w:iCs w:val="1"/>
                <w:color w:val="auto"/>
              </w:rPr>
              <w:t>170</w:t>
            </w:r>
          </w:p>
        </w:tc>
        <w:tc>
          <w:tcPr>
            <w:tcW w:w="1740" w:type="dxa"/>
            <w:vAlign w:val="bottom"/>
            <w:gridSpan w:val="2"/>
          </w:tcPr>
          <w:p>
            <w:pPr>
              <w:jc w:val="right"/>
              <w:ind w:right="142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83"/>
        </w:trPr>
        <w:tc>
          <w:tcPr>
            <w:tcW w:w="46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$2.47 billion for the nine months ended May 31, 2021 compared with $2.44 billion reported for the nine months ended May 31, 2020, an increase of $33.2 million, or 1.4%. For the nine months ended May 31, 2021, we reported net income of $208.2 million, an increase of $ 33.6 million, or 19.2%, compared with $ 174.6 million for the nine months ended May 31, 2020. For the first nine months of fiscal 2021, diluted earnings per share increased 28.6% to $5.66 compared with $4.40 reported in the year-ago period.</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following table as well as the tables under </w:t>
      </w:r>
      <w:r>
        <w:rPr>
          <w:rFonts w:ascii="Arial" w:cs="Arial" w:eastAsia="Arial" w:hAnsi="Arial"/>
          <w:sz w:val="18"/>
          <w:szCs w:val="18"/>
          <w:i w:val="1"/>
          <w:iCs w:val="1"/>
          <w:color w:val="auto"/>
        </w:rPr>
        <w:t>Segment Results</w:t>
      </w:r>
      <w:r>
        <w:rPr>
          <w:rFonts w:ascii="Arial" w:cs="Arial" w:eastAsia="Arial" w:hAnsi="Arial"/>
          <w:sz w:val="18"/>
          <w:szCs w:val="18"/>
          <w:color w:val="auto"/>
        </w:rPr>
        <w:t xml:space="preserve"> below reconcile certain U.S. GAAP financial measures to the corresponding non-U.S. GAAP measures referred to in the discussion of our results of operations, which exclude the impact acquisition-related items, amortization of acquired intangible assets, share-based payment expense, special charges associated primarily with continued efforts to streamline the organization and integrate recent acquisitions, and impairments of investments. These non-U.S. GAAP financial measures, including adjusted gross profit and adjusted gross profit margin, adjusted SD&amp;A expenses and adjusted SD&amp;A expenses as a percent of net sales, adjusted operating profit and adjusted operating profit margin for total company and by segment, adjusted other expense,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2"/>
            <w:vMerge w:val="restart"/>
          </w:tcPr>
          <w:p>
            <w:pPr>
              <w:jc w:val="right"/>
              <w:ind w:right="1068"/>
              <w:spacing w:after="0"/>
              <w:rPr>
                <w:sz w:val="20"/>
                <w:szCs w:val="20"/>
                <w:color w:val="auto"/>
              </w:rPr>
            </w:pPr>
            <w:r>
              <w:rPr>
                <w:rFonts w:ascii="Arial" w:cs="Arial" w:eastAsia="Arial" w:hAnsi="Arial"/>
                <w:sz w:val="14"/>
                <w:szCs w:val="14"/>
                <w:b w:val="1"/>
                <w:bCs w:val="1"/>
                <w:color w:val="auto"/>
              </w:rPr>
              <w:t>May 31, 2021</w:t>
            </w:r>
          </w:p>
        </w:tc>
        <w:tc>
          <w:tcPr>
            <w:tcW w:w="140" w:type="dxa"/>
            <w:vAlign w:val="bottom"/>
          </w:tcPr>
          <w:p>
            <w:pPr>
              <w:spacing w:after="0"/>
              <w:rPr>
                <w:sz w:val="11"/>
                <w:szCs w:val="11"/>
                <w:color w:val="auto"/>
              </w:rPr>
            </w:pPr>
          </w:p>
        </w:tc>
        <w:tc>
          <w:tcPr>
            <w:tcW w:w="2060" w:type="dxa"/>
            <w:vAlign w:val="bottom"/>
            <w:gridSpan w:val="2"/>
            <w:vMerge w:val="restart"/>
          </w:tcPr>
          <w:p>
            <w:pPr>
              <w:jc w:val="right"/>
              <w:ind w:right="1068"/>
              <w:spacing w:after="0"/>
              <w:rPr>
                <w:sz w:val="20"/>
                <w:szCs w:val="20"/>
                <w:color w:val="auto"/>
              </w:rPr>
            </w:pPr>
            <w:r>
              <w:rPr>
                <w:rFonts w:ascii="Arial" w:cs="Arial" w:eastAsia="Arial" w:hAnsi="Arial"/>
                <w:sz w:val="14"/>
                <w:szCs w:val="14"/>
                <w:b w:val="1"/>
                <w:bCs w:val="1"/>
                <w:color w:val="auto"/>
              </w:rPr>
              <w:t>May 31, 2020</w:t>
            </w: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1,055.7</w:t>
            </w: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1,027.3</w:t>
            </w:r>
          </w:p>
        </w:tc>
        <w:tc>
          <w:tcPr>
            <w:tcW w:w="9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89"/>
        </w:trPr>
        <w:tc>
          <w:tcPr>
            <w:tcW w:w="45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42.8 %</w:t>
            </w:r>
          </w:p>
        </w:tc>
        <w:tc>
          <w:tcPr>
            <w:tcW w:w="14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42.2 %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60</w:t>
            </w:r>
          </w:p>
        </w:tc>
        <w:tc>
          <w:tcPr>
            <w:tcW w:w="122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Adjusted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1,055.7</w:t>
            </w:r>
          </w:p>
        </w:tc>
        <w:tc>
          <w:tcPr>
            <w:tcW w:w="9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1,028.5</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27.2</w:t>
            </w:r>
          </w:p>
        </w:tc>
        <w:tc>
          <w:tcPr>
            <w:tcW w:w="122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42.8 %</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42.2 %</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i w:val="1"/>
                <w:iCs w:val="1"/>
                <w:color w:val="auto"/>
              </w:rPr>
              <w:t>60</w:t>
            </w:r>
          </w:p>
        </w:tc>
        <w:tc>
          <w:tcPr>
            <w:tcW w:w="1220" w:type="dxa"/>
            <w:vAlign w:val="bottom"/>
            <w:shd w:val="clear" w:color="auto" w:fill="CCEEFF"/>
          </w:tcPr>
          <w:p>
            <w:pPr>
              <w:jc w:val="right"/>
              <w:ind w:right="888"/>
              <w:spacing w:after="0" w:line="156" w:lineRule="exact"/>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5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30.8 %</w:t>
            </w:r>
          </w:p>
        </w:tc>
        <w:tc>
          <w:tcPr>
            <w:tcW w:w="14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31.5 %</w:t>
            </w:r>
          </w:p>
        </w:tc>
        <w:tc>
          <w:tcPr>
            <w:tcW w:w="140" w:type="dxa"/>
            <w:vAlign w:val="bottom"/>
          </w:tcPr>
          <w:p>
            <w:pPr>
              <w:spacing w:after="0"/>
              <w:rPr>
                <w:sz w:val="16"/>
                <w:szCs w:val="16"/>
                <w:color w:val="auto"/>
              </w:rPr>
            </w:pPr>
          </w:p>
        </w:tc>
        <w:tc>
          <w:tcPr>
            <w:tcW w:w="2160" w:type="dxa"/>
            <w:vAlign w:val="bottom"/>
            <w:gridSpan w:val="2"/>
          </w:tcPr>
          <w:p>
            <w:pPr>
              <w:jc w:val="right"/>
              <w:ind w:right="888"/>
              <w:spacing w:after="0"/>
              <w:rPr>
                <w:sz w:val="20"/>
                <w:szCs w:val="20"/>
                <w:color w:val="auto"/>
              </w:rPr>
            </w:pPr>
            <w:r>
              <w:rPr>
                <w:rFonts w:ascii="Arial" w:cs="Arial" w:eastAsia="Arial" w:hAnsi="Arial"/>
                <w:sz w:val="14"/>
                <w:szCs w:val="14"/>
                <w:i w:val="1"/>
                <w:iCs w:val="1"/>
                <w:color w:val="auto"/>
              </w:rPr>
              <w:t>(70) bps</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Less: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Adjusted selling, distribution, and administrative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705.8</w:t>
            </w:r>
          </w:p>
        </w:tc>
        <w:tc>
          <w:tcPr>
            <w:tcW w:w="9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702.9</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22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i w:val="1"/>
                <w:iCs w:val="1"/>
                <w:color w:val="auto"/>
              </w:rPr>
              <w:t>Percent of net sales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28.6 %</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i w:val="1"/>
                <w:iCs w:val="1"/>
                <w:color w:val="auto"/>
              </w:rPr>
              <w:t>28.9 %</w:t>
            </w:r>
          </w:p>
        </w:tc>
        <w:tc>
          <w:tcPr>
            <w:tcW w:w="14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right"/>
              <w:ind w:right="888"/>
              <w:spacing w:after="0" w:line="156" w:lineRule="exact"/>
              <w:rPr>
                <w:sz w:val="20"/>
                <w:szCs w:val="20"/>
                <w:color w:val="auto"/>
              </w:rPr>
            </w:pPr>
            <w:r>
              <w:rPr>
                <w:rFonts w:ascii="Arial" w:cs="Arial" w:eastAsia="Arial" w:hAnsi="Arial"/>
                <w:sz w:val="14"/>
                <w:szCs w:val="14"/>
                <w:i w:val="1"/>
                <w:iCs w:val="1"/>
                <w:color w:val="auto"/>
              </w:rPr>
              <w:t>(30) bps</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89"/>
        </w:trPr>
        <w:tc>
          <w:tcPr>
            <w:tcW w:w="4540" w:type="dxa"/>
            <w:vAlign w:val="bottom"/>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11.9 %</w:t>
            </w:r>
          </w:p>
        </w:tc>
        <w:tc>
          <w:tcPr>
            <w:tcW w:w="140" w:type="dxa"/>
            <w:vAlign w:val="bottom"/>
          </w:tcPr>
          <w:p>
            <w:pPr>
              <w:spacing w:after="0"/>
              <w:rPr>
                <w:sz w:val="16"/>
                <w:szCs w:val="16"/>
                <w:color w:val="auto"/>
              </w:rPr>
            </w:pPr>
          </w:p>
        </w:tc>
        <w:tc>
          <w:tcPr>
            <w:tcW w:w="2060" w:type="dxa"/>
            <w:vAlign w:val="bottom"/>
            <w:gridSpan w:val="2"/>
          </w:tcPr>
          <w:p>
            <w:pPr>
              <w:jc w:val="right"/>
              <w:ind w:right="48"/>
              <w:spacing w:after="0"/>
              <w:rPr>
                <w:sz w:val="20"/>
                <w:szCs w:val="20"/>
                <w:color w:val="auto"/>
              </w:rPr>
            </w:pPr>
            <w:r>
              <w:rPr>
                <w:rFonts w:ascii="Arial" w:cs="Arial" w:eastAsia="Arial" w:hAnsi="Arial"/>
                <w:sz w:val="14"/>
                <w:szCs w:val="14"/>
                <w:i w:val="1"/>
                <w:iCs w:val="1"/>
                <w:color w:val="auto"/>
              </w:rPr>
              <w:t>10.2 %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220" w:type="dxa"/>
            <w:vAlign w:val="bottom"/>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Add-back: Special charges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9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w:t>
            </w: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i w:val="1"/>
                <w:iCs w:val="1"/>
                <w:color w:val="auto"/>
              </w:rPr>
              <w:t>Percent of net sales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14.2 %</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48"/>
              <w:spacing w:after="0"/>
              <w:rPr>
                <w:sz w:val="20"/>
                <w:szCs w:val="20"/>
                <w:color w:val="auto"/>
              </w:rPr>
            </w:pPr>
            <w:r>
              <w:rPr>
                <w:rFonts w:ascii="Arial" w:cs="Arial" w:eastAsia="Arial" w:hAnsi="Arial"/>
                <w:sz w:val="14"/>
                <w:szCs w:val="14"/>
                <w:i w:val="1"/>
                <w:iCs w:val="1"/>
                <w:color w:val="auto"/>
              </w:rPr>
              <w:t>13.4 %</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i w:val="1"/>
                <w:iCs w:val="1"/>
                <w:color w:val="auto"/>
              </w:rPr>
              <w:t>80</w:t>
            </w:r>
          </w:p>
        </w:tc>
        <w:tc>
          <w:tcPr>
            <w:tcW w:w="1220" w:type="dxa"/>
            <w:vAlign w:val="bottom"/>
            <w:tcBorders>
              <w:top w:val="single" w:sz="8" w:color="CCEEFF"/>
              <w:bottom w:val="single" w:sz="8" w:color="CCEEFF"/>
            </w:tcBorders>
            <w:vMerge w:val="restart"/>
          </w:tcPr>
          <w:p>
            <w:pPr>
              <w:jc w:val="right"/>
              <w:ind w:right="888"/>
              <w:spacing w:after="0"/>
              <w:rPr>
                <w:sz w:val="20"/>
                <w:szCs w:val="20"/>
                <w:color w:val="auto"/>
              </w:rPr>
            </w:pPr>
            <w:r>
              <w:rPr>
                <w:rFonts w:ascii="Arial" w:cs="Arial" w:eastAsia="Arial" w:hAnsi="Arial"/>
                <w:sz w:val="14"/>
                <w:szCs w:val="14"/>
                <w:i w:val="1"/>
                <w:iCs w:val="1"/>
                <w:color w:val="auto"/>
              </w:rPr>
              <w:t>bps</w:t>
            </w:r>
          </w:p>
        </w:tc>
        <w:tc>
          <w:tcPr>
            <w:tcW w:w="0" w:type="dxa"/>
            <w:vAlign w:val="bottom"/>
          </w:tcPr>
          <w:p>
            <w:pPr>
              <w:spacing w:after="0" w:line="20" w:lineRule="exact"/>
              <w:rPr>
                <w:sz w:val="1"/>
                <w:szCs w:val="1"/>
                <w:color w:val="auto"/>
              </w:rPr>
            </w:pPr>
          </w:p>
        </w:tc>
      </w:tr>
      <w:tr>
        <w:trPr>
          <w:trHeight w:val="136"/>
        </w:trPr>
        <w:tc>
          <w:tcPr>
            <w:tcW w:w="4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24.2</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20.9</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w:t>
            </w:r>
          </w:p>
        </w:tc>
        <w:tc>
          <w:tcPr>
            <w:tcW w:w="122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Impairment of investment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line="155" w:lineRule="exact"/>
              <w:rPr>
                <w:sz w:val="20"/>
                <w:szCs w:val="20"/>
                <w:color w:val="auto"/>
              </w:rPr>
            </w:pPr>
            <w:r>
              <w:rPr>
                <w:rFonts w:ascii="Arial" w:cs="Arial" w:eastAsia="Arial" w:hAnsi="Arial"/>
                <w:sz w:val="14"/>
                <w:szCs w:val="14"/>
                <w:color w:val="auto"/>
              </w:rPr>
              <w:t>Adjusted other expense</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9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w:t>
            </w:r>
          </w:p>
        </w:tc>
        <w:tc>
          <w:tcPr>
            <w:tcW w:w="9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(0.7)</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208.2</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174.6</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33.6</w:t>
            </w:r>
          </w:p>
        </w:tc>
        <w:tc>
          <w:tcPr>
            <w:tcW w:w="1220" w:type="dxa"/>
            <w:vAlign w:val="bottom"/>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Add-back: Share-based payment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140"/>
              <w:spacing w:after="0"/>
              <w:rPr>
                <w:sz w:val="20"/>
                <w:szCs w:val="20"/>
                <w:color w:val="auto"/>
              </w:rPr>
            </w:pPr>
            <w:r>
              <w:rPr>
                <w:rFonts w:ascii="Arial" w:cs="Arial" w:eastAsia="Arial" w:hAnsi="Arial"/>
                <w:sz w:val="14"/>
                <w:szCs w:val="14"/>
                <w:color w:val="auto"/>
              </w:rPr>
              <w:t>Add-back: Special charges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Add-back: Impairment of investment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20"/>
              <w:spacing w:after="0"/>
              <w:rPr>
                <w:sz w:val="20"/>
                <w:szCs w:val="20"/>
                <w:color w:val="auto"/>
              </w:rPr>
            </w:pPr>
            <w:r>
              <w:rPr>
                <w:rFonts w:ascii="Arial" w:cs="Arial" w:eastAsia="Arial" w:hAnsi="Arial"/>
                <w:sz w:val="14"/>
                <w:szCs w:val="14"/>
                <w:color w:val="auto"/>
              </w:rPr>
              <w:t>Total pre-tax adjustments to net income</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9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effect</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9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c>
          <w:tcPr>
            <w:tcW w:w="9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234.5</w:t>
            </w:r>
          </w:p>
        </w:tc>
        <w:tc>
          <w:tcPr>
            <w:tcW w:w="9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22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5.66</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c>
          <w:tcPr>
            <w:tcW w:w="9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1.26</w:t>
            </w:r>
          </w:p>
        </w:tc>
        <w:tc>
          <w:tcPr>
            <w:tcW w:w="1220" w:type="dxa"/>
            <w:vAlign w:val="bottom"/>
          </w:tcPr>
          <w:p>
            <w:pPr>
              <w:jc w:val="right"/>
              <w:spacing w:after="0"/>
              <w:rPr>
                <w:sz w:val="20"/>
                <w:szCs w:val="20"/>
                <w:color w:val="auto"/>
              </w:rPr>
            </w:pPr>
            <w:r>
              <w:rPr>
                <w:rFonts w:ascii="Arial" w:cs="Arial" w:eastAsia="Arial" w:hAnsi="Arial"/>
                <w:sz w:val="14"/>
                <w:szCs w:val="14"/>
                <w:color w:val="auto"/>
              </w:rPr>
              <w:t>28.6 %</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55"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Acquisition-related items include profit in inventory and professional fees.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May 31, 2021 increased $33.2 million, or 1.4%, to $2.47 billion compared with $2.44 billion in the prior-year period. From a sales channel perspective, sales through the independent sales network and direct sales network increased as we began to leverage improvements in the construction market and wider economy through our go-to-market activities. However, corporate accounts sales for the nine months ended May 31, 2021 were lower year over year due to fewer nonessential renovations from large retailers in the first half of the fiscal year. Additionally, retail sales in fiscal 2021 were lower than the prior-year period due primarily to a stronger pre-pandemic performance in the first half of the prior fiscal year combined with a customer inventory rebalancing in fiscal 2021. Changes in foreign currency rates and revenues from acquired companies did not have a meaningful impact on our net sales year over year.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of $1.06 billion for the first nine months of fiscal 2021 increased $28.4 million, or 2.8%, compared with $1.03 billion in the prior-year period. Gross profit margin increased to 42.8% for the nine months ended May 31, 2021 compared with 42.2% in the prior-year period. The improvement in gross profit margin was due primarily to product and productivity improvements. Adjusted gross profit for the nine months ended May 31, 2021 was $1.06 billion (42.8% of net sales) compared with $1.03 billion (42.2% of net sales) in the prior-year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nine months ended May 31, 2021 were $759.4 million compared with $767.5 million in the prior-year period, a decrease of $8.1 million, or 1.1%. The decrease in SD&amp;A expenses was due primarily to lower travel expense and sales and marketing costs due to the COVID-19 pandemic. Additionally, share-based payment expense decreased in fiscal 2021 due to the discontinuation of certain retirement provisions in the equity incentive program that resulted in the acceleration of share-based payment expense for fiscal 2020 grants. These decreased costs were partially offset by higher employee-related costs. SD&amp;A expenses for the first nine months of fiscal 2021 were 30.8% of net sales compared with 31.5% for the prior-year period. Adjusted SD&amp;A expenses for the nine months ended May 31, 2021 were $705.8 million (28.6% of net sales) compared with $702.9 million (28.9% of net sales) in the prior-year period.</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pre-tax special charges of $1.5 million during the first nine months of fiscal 2021, compared with pre -tax special charges of $11.8 million during the first nine months of fiscal 2020.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profit for the first nine months of fiscal 2021 was $294.8 million (11.9% of net sales) compared with $248.0 million (10.2% of net sales) for the prior-year period, an increase of $46.8 million, or 18.9%. The increase in operating profit was due to higher gross profit, lower special charges, and decreased SD&amp;A expenses. Adjusted operating profit increased by $24.3 million, or 7.5%, to $ 349.9 million for the first nine months of fiscal 2021 compared with $325.6 million for the first nine months of fiscal 2020. Adjusted operating profit margin for the first nine months of fiscal 2021 increased 80 basis points to 14.2% compared with 13.4% in the year-ago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was $17.7 million and $19.4 million for the nine months ended May 31, 2021 and 2020, respectively. The decrease in interest expense was due primarily to interest savings associated with refinancing our debt. The current fiscal year interest savings were partially offset by lower interest earned on cash investments compared to the prior year due primarily to unfavorable short-term investment rates.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reported net miscellaneous expense of $6.5 million and $1.5 million for the nine months ended May 31, 2021 and 2020, respectively. During the first quarter of fiscal 2021, we recorded an impairment charge of $4.0 million for an unconsolidated equity investment. Further details regarding the impairment charge are included in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23.1% for the nine months ended May 31, 2021 and 2020.</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the first nine months of fiscal 2021 increased $ 33.6 million, or 19.2%, to $208.2 million from $174.6 million reported for the prior-year period. The increase in net income was due primarily to an increased operating profit and lower interest expense, partially offset by higher income tax expense associated with increased profit compared to the prior-year period. Diluted earnings per share for the nine months ended May 31, 2021 increased $1.26 to $5.66 compared with diluted earnings per share of $4.40 for the prior-year period. This increase reflects higher net income as well as lower outstanding diluted shares. Adjusted net income for the first nine months of fiscal 2021 was $254.0 million compared with $234.5 million in the prior-year period, an increase of $19.5 million, or 8.3%. Adjusted diluted earnings per share for the nine months ended May 31, 2021 increased $0.99, or 16.8%, to $6.90 compared with $5.91 for the prior-year period.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nine months ended May 31, 2021 and 2020 (in millions except per share data). We have recast historical information to conform to the current segment structure.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ABL</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2021</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May 31, 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3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2,340.4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2,327.8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9"/>
                <w:szCs w:val="9"/>
                <w:color w:val="auto"/>
              </w:rPr>
              <w:t>(1)</w:t>
            </w:r>
          </w:p>
        </w:tc>
        <w:tc>
          <w:tcPr>
            <w:tcW w:w="18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336.5</w:t>
            </w:r>
          </w:p>
        </w:tc>
        <w:tc>
          <w:tcPr>
            <w:tcW w:w="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31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14.0 %</w:t>
            </w:r>
          </w:p>
        </w:tc>
        <w:tc>
          <w:tcPr>
            <w:tcW w:w="15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13.1 %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60" w:type="dxa"/>
            <w:vAlign w:val="bottom"/>
            <w:shd w:val="clear" w:color="auto" w:fill="CCEEFF"/>
          </w:tcPr>
          <w:p>
            <w:pPr>
              <w:ind w:left="80"/>
              <w:spacing w:after="0"/>
              <w:rPr>
                <w:sz w:val="20"/>
                <w:szCs w:val="20"/>
                <w:color w:val="auto"/>
              </w:rPr>
            </w:pPr>
            <w:r>
              <w:rPr>
                <w:rFonts w:ascii="Arial" w:cs="Arial" w:eastAsia="Arial" w:hAnsi="Arial"/>
                <w:sz w:val="14"/>
                <w:szCs w:val="14"/>
                <w:i w:val="1"/>
                <w:iCs w:val="1"/>
                <w:color w:val="auto"/>
              </w:rPr>
              <w:t>bps</w:t>
            </w:r>
          </w:p>
        </w:tc>
      </w:tr>
      <w:tr>
        <w:trPr>
          <w:trHeight w:val="190"/>
        </w:trPr>
        <w:tc>
          <w:tcPr>
            <w:tcW w:w="422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3140" w:type="dxa"/>
            <w:vAlign w:val="bottom"/>
          </w:tcPr>
          <w:p>
            <w:pPr>
              <w:jc w:val="right"/>
              <w:ind w:right="448"/>
              <w:spacing w:after="0"/>
              <w:rPr>
                <w:sz w:val="20"/>
                <w:szCs w:val="20"/>
                <w:color w:val="auto"/>
              </w:rPr>
            </w:pPr>
            <w:r>
              <w:rPr>
                <w:rFonts w:ascii="Arial" w:cs="Arial" w:eastAsia="Arial" w:hAnsi="Arial"/>
                <w:sz w:val="14"/>
                <w:szCs w:val="14"/>
                <w:color w:val="auto"/>
              </w:rPr>
              <w:t>15.2 %</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14.5 %</w:t>
            </w: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460" w:type="dxa"/>
            <w:vAlign w:val="bottom"/>
          </w:tcPr>
          <w:p>
            <w:pPr>
              <w:ind w:left="80"/>
              <w:spacing w:after="0"/>
              <w:rPr>
                <w:sz w:val="20"/>
                <w:szCs w:val="20"/>
                <w:color w:val="auto"/>
              </w:rPr>
            </w:pPr>
            <w:r>
              <w:rPr>
                <w:rFonts w:ascii="Arial" w:cs="Arial" w:eastAsia="Arial" w:hAnsi="Arial"/>
                <w:sz w:val="14"/>
                <w:szCs w:val="14"/>
                <w:i w:val="1"/>
                <w:iCs w:val="1"/>
                <w:color w:val="auto"/>
              </w:rPr>
              <w:t>bps</w:t>
            </w:r>
          </w:p>
        </w:tc>
      </w:tr>
    </w:tbl>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Acquisition-related items include profit in inventory.</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ABL net sales for the nine months ended May 31, 2021 increased 0.5% compared with the prior-year period due primarily to higher sales volumes through the independent sales network and direct sales networks as our go-to-market activities began to leverage improvements in the construction market and wider economy during the third quarter of fiscal 2021. These higher sales volumes were partially offset by declines in the retail sales channel due to a customer inventory rebalancing and stronger pre-pandemic performance. Additionally, sales within the corporate accounts channel were lower due to fewer nonessential renovations from large retailers in the first half of the fiscal year. Operating profit for ABL was $326.9 million (14.0% of ABL net sales) for the nine months ended May 31, 2021 compared to $304.0 million (13.1% of ABL net sales) in the prior-year period, an increase of $22.9 million. The increase in operating profit was due primarily to higher sales, product and productivity improvements, as well as lower travel expenses and sales and marketing costs, partially offset by increased employee related costs. Adjusted operating profit increased $19.5 million to $356.0 million for the nine months ended May 31, 2021 compared with the prior year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ISG</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Add-back: Amortization of acquired intangible assets</w:t>
            </w:r>
          </w:p>
        </w:tc>
        <w:tc>
          <w:tcPr>
            <w:tcW w:w="18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Add-back: Share-based payment expense</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53.1 %</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Operating profit (loss) margin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ind w:left="76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ISG net sales for the nine months ended May 31, 2021 increased 20.2% compared with the prior-year period primarily due to increased sales of building management products. ISG operating profit was $7.9 million for the nine months ended May 31, 2021 compared with a $2.3 million operating loss in the prior-year period, an increase of $10.2 million. This increase was due primarily to higher sales volumes, partially offset by increased employee related costs. Adjusted operating profit for ISG increased $6.8 million to $19.6 million for the nine months ended May 31, 2021 compared with the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look ahead, we expect to see continued improvements in the end markets we serve, and we are positioning ourselves to support higher levels of market growth. We anticipate some continued volatility in raw material costs and component and labor availability, and we will work to address the impact to our business. We plan to continue to invest in our business with the intention of becoming a larger, more dynamic company.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estimated liabilities;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including improvements in our end markets, as well as volatility, challenges, and uncertainty in general economic conditions; (c) expectations about volatility in raw material costs and component and labor availability; (d) our ability to execute and realize benefits from initiatives related to streamlining our operations and integrating recent acquisitions, realize synergies from acquisitions, capitalize on growth opportunities with the intention of becoming a larger, more dynamic company, and introduce innovative products and services; (e) our estimate of our fiscal 2021 effective income tax rate, results of operations, and cash flows; (f) our estimate of future amortization expense; (g) our ability to achieve our long-term financial goals and outperform the markets we serve; (h) our expectations about the resolution of securities class action and other legal matters; (i) our expectations of the impact of the ongoing COVID-19 pandemic; and (j) our expectation that the OSRAM DS transaction will close by end of day on July 1, 2021 and deliver the expected benefits to the Company and its customers.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Our long-term debt as of August 31, 2020 consisted primarily of variable-rate obligations, whereas at May 31, 2021, our variable-rate debt was solely comprised of the $4.0 million industrial revenue bond. We had no borrowings outstanding under the Revolving Credit Facility or the Term Loan Facility as of May 31, 2021. A 10% increase in market interest rates during May 31, 2021, would have resulted in a de minimis amount of additional annual after-tax interest expense. A fluctuation in interest rates would not affect interest expense or cash flows related to the Company’s fixed-rate debt, which includes $500.0 million of senior unsecured notes. A 10% increase in market interest rates at May 31, 2021 would have decreased the estimated fair value of the senior unsecured notes by approximately $9.9 million. Except for the change in our long-term debt from primarily variable to fixed-rate obligations and the broad effects of the COVID-19 pandemic as a result of its impact on the global economy and major financial markets, there have been no other material changes to our exposure from market risks from those disclosed in </w:t>
      </w:r>
      <w:r>
        <w:rPr>
          <w:rFonts w:ascii="Arial" w:cs="Arial" w:eastAsia="Arial" w:hAnsi="Arial"/>
          <w:sz w:val="18"/>
          <w:szCs w:val="18"/>
          <w:i w:val="1"/>
          <w:iCs w:val="1"/>
          <w:color w:val="auto"/>
        </w:rPr>
        <w:t>Part II, Item 7a. Quantitative and Qualitative Disclosures About Market Risk</w:t>
      </w:r>
      <w:r>
        <w:rPr>
          <w:rFonts w:ascii="Arial" w:cs="Arial" w:eastAsia="Arial" w:hAnsi="Arial"/>
          <w:sz w:val="18"/>
          <w:szCs w:val="18"/>
          <w:color w:val="auto"/>
        </w:rPr>
        <w:t xml:space="preserve"> of our Form 10-K.</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2021.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2021.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nine months ended May 31, 2021, we completed our acquisition of Rockpile Ventures (“Rockpile”).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Rockpile's internal control over financial reporting as of May 31, 2021. Excluding the acquisition,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Rockpile into our existing control procedures from the date of acquisition. We do not anticipate the integration Rockpile to result in changes that would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and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granted the Company permission to file an interlocutory appeal of the District Court’s class certification order, and the briefing of that appeal has been completed. Estimating an amount or range of possible losses resulting from litigation proceedings is inherently difficult, particularly where the matters involve indeterminate claims for monetary damages and are in the stages of the proceedings where key evidentiary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May 31, 2021,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October 22, 2020, 2.2 million shares were available for repurchase under this authorization. On October 23, 2020, the Board authorized the repurchase of an additional 3.8 million shares of our common stock, bringing our total authorization back to six million shares at that time.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May 31, 2021, the maximum number of shares that may yet be repurchased under the share repurchase program authorized by the Board equaled 4.4 million shares. The following table reflects activity related to equity securities we repurchased during the quarter ended May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3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Purchases of Equity Securities</w:t>
            </w: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3/1/2021 through 3/31/2021</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20,218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124.97</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20,218</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4,399,804</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4/1/2021 through 4/30/2021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4,399,804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5/1/2021 through 5/31/2021</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4,399,804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20,218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124.97</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20,218</w:t>
            </w:r>
          </w:p>
        </w:tc>
        <w:tc>
          <w:tcPr>
            <w:tcW w:w="1940" w:type="dxa"/>
            <w:vAlign w:val="bottom"/>
          </w:tcPr>
          <w:p>
            <w:pPr>
              <w:jc w:val="right"/>
              <w:spacing w:after="0"/>
              <w:rPr>
                <w:sz w:val="20"/>
                <w:szCs w:val="20"/>
                <w:color w:val="auto"/>
              </w:rPr>
            </w:pPr>
            <w:r>
              <w:rPr>
                <w:rFonts w:ascii="Arial" w:cs="Arial" w:eastAsia="Arial" w:hAnsi="Arial"/>
                <w:sz w:val="16"/>
                <w:szCs w:val="16"/>
                <w:color w:val="auto"/>
              </w:rPr>
              <w:t>4,399,804</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June 25, 2021, the Board of Directors (the “Board”) declared a quarterly dividend of $0.13 per share. The dividend is payable on August 2, 2021 to stockholders of record on July 16, 2021.</w:t>
      </w:r>
    </w:p>
    <w:p>
      <w:pPr>
        <w:spacing w:after="0" w:line="200" w:lineRule="exact"/>
        <w:rPr>
          <w:sz w:val="20"/>
          <w:szCs w:val="20"/>
          <w:color w:val="auto"/>
        </w:rPr>
      </w:pP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27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7">
        <w:r>
          <w:rPr>
            <w:rFonts w:ascii="Arial" w:cs="Arial" w:eastAsia="Arial" w:hAnsi="Arial"/>
            <w:sz w:val="18"/>
            <w:szCs w:val="18"/>
            <w:u w:val="single" w:color="auto"/>
            <w:color w:val="0000FF"/>
          </w:rPr>
          <w:t>Index to Exhibits</w:t>
        </w:r>
      </w:hyperlink>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4"/>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1"/>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r:id="rId68">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r:id="rId69">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Incorporation of Acuity Brands, Inc. (formerly Acuity</w:t>
              </w:r>
            </w:hyperlink>
          </w:p>
        </w:tc>
        <w:tc>
          <w:tcPr>
            <w:tcW w:w="560" w:type="dxa"/>
            <w:vAlign w:val="bottom"/>
            <w:gridSpan w:val="10"/>
          </w:tcPr>
          <w:p>
            <w:pPr>
              <w:jc w:val="right"/>
              <w:ind w:right="80"/>
              <w:spacing w:after="0" w:line="142" w:lineRule="exact"/>
              <w:rPr>
                <w:rFonts w:ascii="Arial" w:cs="Arial" w:eastAsia="Arial" w:hAnsi="Arial"/>
                <w:sz w:val="16"/>
                <w:szCs w:val="16"/>
                <w:color w:val="0000FF"/>
                <w:w w:val="90"/>
              </w:rPr>
            </w:pPr>
            <w:hyperlink r:id="rId69">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8"/>
          </w:tcPr>
          <w:p>
            <w:pPr>
              <w:spacing w:after="0"/>
              <w:rPr>
                <w:rFonts w:ascii="Arial" w:cs="Arial" w:eastAsia="Arial" w:hAnsi="Arial"/>
                <w:sz w:val="16"/>
                <w:szCs w:val="16"/>
                <w:color w:val="0000FF"/>
              </w:rPr>
            </w:pPr>
            <w:hyperlink r:id="rId70">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r:id="rId70">
              <w:r>
                <w:rPr>
                  <w:rFonts w:ascii="Arial" w:cs="Arial" w:eastAsia="Arial" w:hAnsi="Arial"/>
                  <w:sz w:val="16"/>
                  <w:szCs w:val="16"/>
                  <w:color w:val="0000FF"/>
                  <w:w w:val="98"/>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70">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18"/>
          </w:tcPr>
          <w:p>
            <w:pPr>
              <w:spacing w:after="0"/>
              <w:rPr>
                <w:rFonts w:ascii="Arial" w:cs="Arial" w:eastAsia="Arial" w:hAnsi="Arial"/>
                <w:sz w:val="16"/>
                <w:szCs w:val="16"/>
                <w:color w:val="0000FF"/>
              </w:rPr>
            </w:pPr>
            <w:hyperlink r:id="rId71">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9"/>
          </w:tcPr>
          <w:p>
            <w:pPr>
              <w:spacing w:after="0" w:line="142" w:lineRule="exact"/>
              <w:rPr>
                <w:rFonts w:ascii="Arial" w:cs="Arial" w:eastAsia="Arial" w:hAnsi="Arial"/>
                <w:sz w:val="16"/>
                <w:szCs w:val="16"/>
                <w:color w:val="0000FF"/>
                <w:w w:val="98"/>
              </w:rPr>
            </w:pPr>
            <w:hyperlink r:id="rId71">
              <w:r>
                <w:rPr>
                  <w:rFonts w:ascii="Arial" w:cs="Arial" w:eastAsia="Arial" w:hAnsi="Arial"/>
                  <w:sz w:val="16"/>
                  <w:szCs w:val="16"/>
                  <w:color w:val="0000FF"/>
                  <w:w w:val="98"/>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71">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72">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as of January 7, 2021.</w:t>
              </w:r>
            </w:hyperlink>
          </w:p>
        </w:tc>
        <w:tc>
          <w:tcPr>
            <w:tcW w:w="2720" w:type="dxa"/>
            <w:vAlign w:val="bottom"/>
            <w:gridSpan w:val="14"/>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8"/>
          </w:tcPr>
          <w:p>
            <w:pPr>
              <w:spacing w:after="0"/>
              <w:rPr>
                <w:rFonts w:ascii="Arial" w:cs="Arial" w:eastAsia="Arial" w:hAnsi="Arial"/>
                <w:sz w:val="16"/>
                <w:szCs w:val="16"/>
                <w:color w:val="0000FF"/>
              </w:rPr>
            </w:pPr>
            <w:hyperlink r:id="rId73">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of the Chief Executive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8"/>
              </w:rPr>
            </w:pPr>
            <w:hyperlink w:anchor="page40">
              <w:r>
                <w:rPr>
                  <w:rFonts w:ascii="Arial" w:cs="Arial" w:eastAsia="Arial" w:hAnsi="Arial"/>
                  <w:sz w:val="16"/>
                  <w:szCs w:val="16"/>
                  <w:color w:val="0000FF"/>
                  <w:w w:val="98"/>
                </w:rPr>
                <w:t>pursuant to Section 302 of the Sarbanes-Oxley Act of 2002.</w:t>
              </w:r>
            </w:hyperlink>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1"/>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of the Chief Financial Officer of the Company</w:t>
              </w:r>
            </w:hyperlink>
          </w:p>
        </w:tc>
        <w:tc>
          <w:tcPr>
            <w:tcW w:w="200" w:type="dxa"/>
            <w:vAlign w:val="bottom"/>
            <w:gridSpan w:val="7"/>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8"/>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pursuant to Section 302 of the Sarbanes-Oxley Act of 2002.</w:t>
              </w:r>
            </w:hyperlink>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6"/>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Certification of the Chief Executive Officer of the Company</w:t>
              </w:r>
            </w:hyperlink>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pursuant to 18 U.S.C. Section 1350, as adopted pursuant</w:t>
              </w:r>
            </w:hyperlink>
          </w:p>
        </w:tc>
        <w:tc>
          <w:tcPr>
            <w:tcW w:w="140" w:type="dxa"/>
            <w:vAlign w:val="bottom"/>
            <w:gridSpan w:val="5"/>
          </w:tcPr>
          <w:p>
            <w:pPr>
              <w:jc w:val="right"/>
              <w:ind w:right="40"/>
              <w:spacing w:after="0" w:line="142" w:lineRule="exact"/>
              <w:rPr>
                <w:rFonts w:ascii="Arial" w:cs="Arial" w:eastAsia="Arial" w:hAnsi="Arial"/>
                <w:sz w:val="13"/>
                <w:szCs w:val="13"/>
                <w:color w:val="0000FF"/>
                <w:w w:val="73"/>
              </w:rPr>
            </w:pPr>
            <w:hyperlink w:anchor="page42">
              <w:r>
                <w:rPr>
                  <w:rFonts w:ascii="Arial" w:cs="Arial" w:eastAsia="Arial" w:hAnsi="Arial"/>
                  <w:sz w:val="13"/>
                  <w:szCs w:val="13"/>
                  <w:color w:val="0000FF"/>
                  <w:w w:val="73"/>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Certification of the Chief Financial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pursuant to 18 U.S.C. Section 1350, as adopted pursuant</w:t>
              </w:r>
            </w:hyperlink>
          </w:p>
        </w:tc>
        <w:tc>
          <w:tcPr>
            <w:tcW w:w="200" w:type="dxa"/>
            <w:vAlign w:val="bottom"/>
            <w:gridSpan w:val="7"/>
          </w:tcPr>
          <w:p>
            <w:pPr>
              <w:jc w:val="right"/>
              <w:ind w:right="40"/>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3"/>
        </w:trPr>
        <w:tc>
          <w:tcPr>
            <w:tcW w:w="1340" w:type="dxa"/>
            <w:vAlign w:val="bottom"/>
          </w:tcPr>
          <w:p>
            <w:pPr>
              <w:spacing w:after="0"/>
              <w:rPr>
                <w:sz w:val="15"/>
                <w:szCs w:val="15"/>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.PRE</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Document.</w:t>
            </w:r>
          </w:p>
        </w:tc>
      </w:tr>
      <w:tr>
        <w:trPr>
          <w:trHeight w:val="183"/>
        </w:trPr>
        <w:tc>
          <w:tcPr>
            <w:tcW w:w="1340" w:type="dxa"/>
            <w:vAlign w:val="bottom"/>
          </w:tcPr>
          <w:p>
            <w:pPr>
              <w:spacing w:after="0"/>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5"/>
                <w:szCs w:val="15"/>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95"/>
        </w:trPr>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2020, which is incorporated herein by reference.</w:t>
      </w:r>
    </w:p>
    <w:p>
      <w:pPr>
        <w:spacing w:after="0" w:line="23"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2020, which is incorporated herein by reference.</w:t>
      </w:r>
    </w:p>
    <w:p>
      <w:pPr>
        <w:spacing w:after="0" w:line="23" w:lineRule="exact"/>
        <w:rPr>
          <w:sz w:val="20"/>
          <w:szCs w:val="20"/>
          <w:color w:val="auto"/>
        </w:rPr>
      </w:pPr>
    </w:p>
    <w:p>
      <w:pPr>
        <w:ind w:right="80"/>
        <w:spacing w:after="0" w:line="225" w:lineRule="auto"/>
        <w:rPr>
          <w:sz w:val="20"/>
          <w:szCs w:val="20"/>
          <w:color w:val="auto"/>
        </w:rPr>
      </w:pPr>
      <w:r>
        <w:rPr>
          <w:rFonts w:ascii="Arial" w:cs="Arial" w:eastAsia="Arial" w:hAnsi="Arial"/>
          <w:sz w:val="16"/>
          <w:szCs w:val="16"/>
          <w:color w:val="auto"/>
        </w:rPr>
        <w:t>Reference is made to Exhibit 22 of registrant's Form 10-K as filed with the Commission on October 23, 2020, which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25"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72" w:lineRule="exact"/>
        <w:rPr>
          <w:sz w:val="20"/>
          <w:szCs w:val="20"/>
          <w:color w:val="auto"/>
        </w:rPr>
      </w:pPr>
    </w:p>
    <w:p>
      <w:pPr>
        <w:sectPr>
          <w:pgSz w:w="11900" w:h="16838" w:orient="portrait"/>
          <w:cols w:equalWidth="0" w:num="2">
            <w:col w:w="6700" w:space="400"/>
            <w:col w:w="4080"/>
          </w:cols>
          <w:pgMar w:left="320" w:top="26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0" w:right="3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ACUITY BRANDS, INC.</w:t>
      </w:r>
    </w:p>
    <w:p>
      <w:pPr>
        <w:spacing w:after="0" w:line="147"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July 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78"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July 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10795</wp:posOffset>
            </wp:positionV>
            <wp:extent cx="4003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260"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14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143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60" w:hanging="644"/>
        <w:spacing w:after="0" w:line="256"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14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60" w:hanging="652"/>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2021, as filed with the Securities and Exchange Commission on the date hereof (the “Report”), the undersigned, the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2021,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43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 2021</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68" Type="http://schemas.openxmlformats.org/officeDocument/2006/relationships/hyperlink" Target="http://www.sec.gov/Archives/edgar/data/1144215/000119312507208062/dex31.htm" TargetMode="External"/><Relationship Id="rId69" Type="http://schemas.openxmlformats.org/officeDocument/2006/relationships/hyperlink" Target="http://www.sec.gov/Archives/edgar/data/1144215/000119312507208062/dex32.htm" TargetMode="External"/><Relationship Id="rId70" Type="http://schemas.openxmlformats.org/officeDocument/2006/relationships/hyperlink" Target="http://www.sec.gov/Archives/edgar/data/1144215/000114421517000005/ex3ccertificateofamendment.htm" TargetMode="External"/><Relationship Id="rId71" Type="http://schemas.openxmlformats.org/officeDocument/2006/relationships/hyperlink" Target="http://www.sec.gov/Archives/edgar/data/1144215/000114421521000008/ayi-20201130xex3d.htm" TargetMode="External"/><Relationship Id="rId72" Type="http://schemas.openxmlformats.org/officeDocument/2006/relationships/hyperlink" Target="http://www.sec.gov/Archives/edgar/data/1144215/000114421521000008/ayi-20201130xex3e.htm" TargetMode="External"/><Relationship Id="rId73"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2021-07-01T07:31:10Z</dcterms:created>
  <dcterms:modified xsi:type="dcterms:W3CDTF">2021-07-01T07:31:10Z</dcterms:modified>
</cp:coreProperties>
</file>