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45"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w:t>
      </w:r>
    </w:p>
    <w:p>
      <w:pPr>
        <w:pStyle w:val="TextBody"/>
        <w:bidi w:val="0"/>
        <w:spacing w:lineRule="auto" w:line="288" w:before="180" w:after="283"/>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w: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Date of Report (Date of earliest event reported): October 1, 2026</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w:t>
      </w:r>
    </w:p>
    <w:p>
      <w:pPr>
        <w:pStyle w:val="TextBody"/>
        <w:bidi w:val="0"/>
        <w:spacing w:lineRule="auto" w:line="288" w:before="180" w:after="283"/>
        <w:jc w:val="center"/>
        <w:rPr>
          <w:rFonts w:ascii="Arial;sans-serif" w:hAnsi="Arial;sans-serif"/>
          <w:b/>
          <w:color w:val="000000"/>
          <w:sz w:val="48"/>
        </w:rPr>
      </w:pPr>
      <w:r>
        <w:rPr>
          <w:rFonts w:ascii="Arial;sans-serif" w:hAnsi="Arial;sans-serif"/>
          <w:b/>
          <w:color w:val="000000"/>
          <w:sz w:val="48"/>
        </w:rPr>
        <w:t xml:space="preserve">ACUITY INC.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(Exact name of registrant as specified in its charter) </w:t>
      </w:r>
    </w:p>
    <w:p>
      <w:pPr>
        <w:pStyle w:val="TextBody"/>
        <w:bidi w:val="0"/>
        <w:spacing w:lineRule="auto" w:line="288" w:before="100" w:after="283"/>
        <w:jc w:val="center"/>
        <w:rPr>
          <w:rFonts w:ascii="Arial;sans-serif" w:hAnsi="Arial;sans-serif"/>
          <w:b w:val="false"/>
          <w:color w:val="000000"/>
          <w:sz w:val="16"/>
        </w:rPr>
      </w:pPr>
      <w:r>
        <w:rPr>
          <w:rFonts w:ascii="Arial;sans-serif" w:hAnsi="Arial;sans-serif"/>
          <w:b w:val="false"/>
          <w:color w:val="000000"/>
          <w:sz w:val="16"/>
        </w:rPr>
        <w:t>_____________________________________________</w:t>
      </w:r>
    </w:p>
    <w:tbl>
      <w:tblPr>
        <w:tblW w:w="6278" w:type="dxa"/>
        <w:jc w:val="center"/>
        <w:tblInd w:w="0" w:type="dxa"/>
        <w:tblLayout w:type="fixed"/>
        <w:tblCellMar>
          <w:top w:w="28" w:type="dxa"/>
          <w:left w:w="28" w:type="dxa"/>
          <w:bottom w:w="28" w:type="dxa"/>
          <w:right w:w="28" w:type="dxa"/>
        </w:tblCellMar>
      </w:tblPr>
      <w:tblGrid>
        <w:gridCol w:w="780"/>
        <w:gridCol w:w="685"/>
        <w:gridCol w:w="695"/>
        <w:gridCol w:w="109"/>
        <w:gridCol w:w="109"/>
        <w:gridCol w:w="109"/>
        <w:gridCol w:w="682"/>
        <w:gridCol w:w="682"/>
        <w:gridCol w:w="690"/>
        <w:gridCol w:w="109"/>
        <w:gridCol w:w="109"/>
        <w:gridCol w:w="109"/>
        <w:gridCol w:w="412"/>
        <w:gridCol w:w="412"/>
        <w:gridCol w:w="586"/>
      </w:tblGrid>
      <w:tr>
        <w:trPr/>
        <w:tc>
          <w:tcPr>
            <w:tcW w:w="7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001-16583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58-2632672</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w:t>
              <w:br/>
              <w:t>Identification No.)</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1170 Peachtree Street, N.E., Suite 1200, Atlanta, Georgia 30309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 xml:space="preserve">(404) 853-1400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80" w:after="283"/>
        <w:jc w:val="center"/>
        <w:rPr>
          <w:rFonts w:ascii="Arial;sans-serif" w:hAnsi="Arial;sans-serif"/>
          <w:b/>
          <w:color w:val="000000"/>
          <w:sz w:val="16"/>
        </w:rPr>
      </w:pPr>
      <w:r>
        <w:rPr>
          <w:rFonts w:ascii="Arial;sans-serif" w:hAnsi="Arial;sans-serif"/>
          <w:b/>
          <w:color w:val="000000"/>
          <w:sz w:val="16"/>
        </w:rPr>
        <w:t>None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100" w:after="283"/>
        <w:ind w:left="0" w:right="0" w:firstLine="360"/>
        <w:jc w:val="left"/>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lineRule="auto" w:line="288" w:before="100" w:after="283"/>
        <w:ind w:left="0" w:right="0" w:firstLine="360"/>
        <w:jc w:val="left"/>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lineRule="auto" w:line="288" w:before="100" w:after="283"/>
        <w:ind w:left="0" w:right="0" w:firstLine="360"/>
        <w:jc w:val="left"/>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lineRule="auto" w:line="288" w:before="100" w:after="283"/>
        <w:ind w:left="0" w:right="0" w:firstLine="360"/>
        <w:jc w:val="left"/>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lineRule="auto" w:line="288" w:before="140" w:after="283"/>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9082" w:type="dxa"/>
        <w:jc w:val="center"/>
        <w:tblInd w:w="0" w:type="dxa"/>
        <w:tblLayout w:type="fixed"/>
        <w:tblCellMar>
          <w:top w:w="28" w:type="dxa"/>
          <w:left w:w="28" w:type="dxa"/>
          <w:bottom w:w="28" w:type="dxa"/>
          <w:right w:w="28" w:type="dxa"/>
        </w:tblCellMar>
      </w:tblPr>
      <w:tblGrid>
        <w:gridCol w:w="1155"/>
        <w:gridCol w:w="1014"/>
        <w:gridCol w:w="1026"/>
        <w:gridCol w:w="109"/>
        <w:gridCol w:w="109"/>
        <w:gridCol w:w="109"/>
        <w:gridCol w:w="524"/>
        <w:gridCol w:w="524"/>
        <w:gridCol w:w="526"/>
        <w:gridCol w:w="109"/>
        <w:gridCol w:w="109"/>
        <w:gridCol w:w="109"/>
        <w:gridCol w:w="1071"/>
        <w:gridCol w:w="1071"/>
        <w:gridCol w:w="1517"/>
      </w:tblGrid>
      <w:tr>
        <w:trPr/>
        <w:tc>
          <w:tcPr>
            <w:tcW w:w="115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10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before="10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On October 1, 2026, Acuity Inc. (“we,” “our,” “us,” “the Company,” or similar references) issued a press release containing information about our results of operations for our fiscal quarter and year ended August 31, 2026. A copy of the press release is attached as Exhibit 99.1 to this Current Report on Form 8-K, which is incorporated herein by reference. The information contained in this paragraph, as well as Exhibit 99.1 referenced herein, shall not be deemed “filed” for purposes of Section 18 of the Securities Exchange Act of 1934, as amended, nor shall they be deemed incorporated by reference in any filing under the Securities Act of 1933, as amended.</w:t>
      </w:r>
    </w:p>
    <w:p>
      <w:pPr>
        <w:pStyle w:val="TextBody"/>
        <w:bidi w:val="0"/>
        <w:spacing w:lineRule="auto" w:line="288" w:before="260" w:after="10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1276" w:type="dxa"/>
        <w:jc w:val="left"/>
        <w:tblInd w:w="0" w:type="dxa"/>
        <w:tblLayout w:type="fixed"/>
        <w:tblCellMar>
          <w:top w:w="28" w:type="dxa"/>
          <w:left w:w="28" w:type="dxa"/>
          <w:bottom w:w="28" w:type="dxa"/>
          <w:right w:w="28" w:type="dxa"/>
        </w:tblCellMar>
      </w:tblPr>
      <w:tblGrid>
        <w:gridCol w:w="130"/>
        <w:gridCol w:w="115"/>
        <w:gridCol w:w="115"/>
        <w:gridCol w:w="268"/>
        <w:gridCol w:w="268"/>
        <w:gridCol w:w="38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p>
      <w:pPr>
        <w:pStyle w:val="TextBody"/>
        <w:bidi w:val="0"/>
        <w:spacing w:before="0" w:after="0"/>
        <w:jc w:val="left"/>
        <w:rPr/>
      </w:pPr>
      <w:r>
        <w:rPr/>
      </w:r>
    </w:p>
    <w:tbl>
      <w:tblPr>
        <w:tblW w:w="7828" w:type="dxa"/>
        <w:jc w:val="center"/>
        <w:tblInd w:w="0" w:type="dxa"/>
        <w:tblLayout w:type="fixed"/>
        <w:tblCellMar>
          <w:top w:w="28" w:type="dxa"/>
          <w:left w:w="28" w:type="dxa"/>
          <w:bottom w:w="28" w:type="dxa"/>
          <w:right w:w="28" w:type="dxa"/>
        </w:tblCellMar>
      </w:tblPr>
      <w:tblGrid>
        <w:gridCol w:w="179"/>
        <w:gridCol w:w="158"/>
        <w:gridCol w:w="159"/>
        <w:gridCol w:w="109"/>
        <w:gridCol w:w="109"/>
        <w:gridCol w:w="109"/>
        <w:gridCol w:w="2046"/>
        <w:gridCol w:w="2046"/>
        <w:gridCol w:w="2913"/>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yi-20261001x8xk_ex991.htm">
              <w:r>
                <w:rPr>
                  <w:rStyle w:val="InternetLink"/>
                  <w:rFonts w:ascii="Arial;sans-serif" w:hAnsi="Arial;sans-serif"/>
                  <w:b w:val="false"/>
                  <w:color w:val="0000FF"/>
                  <w:sz w:val="20"/>
                  <w:u w:val="single"/>
                </w:rPr>
                <w:t>Press Release dated October 1, 2026.</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Signatures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October 1, 2026</w:t>
      </w:r>
    </w:p>
    <w:tbl>
      <w:tblPr>
        <w:tblW w:w="5045" w:type="dxa"/>
        <w:jc w:val="right"/>
        <w:tblInd w:w="0" w:type="dxa"/>
        <w:tblLayout w:type="fixed"/>
        <w:tblCellMar>
          <w:top w:w="28" w:type="dxa"/>
          <w:left w:w="28" w:type="dxa"/>
          <w:bottom w:w="28" w:type="dxa"/>
          <w:right w:w="28" w:type="dxa"/>
        </w:tblCellMar>
      </w:tblPr>
      <w:tblGrid>
        <w:gridCol w:w="230"/>
        <w:gridCol w:w="203"/>
        <w:gridCol w:w="203"/>
        <w:gridCol w:w="1283"/>
        <w:gridCol w:w="1283"/>
        <w:gridCol w:w="1843"/>
      </w:tblGrid>
      <w:tr>
        <w:trPr/>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ACUITY INC.</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Karen J. Holcom</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J. Holcom</w:t>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before="0" w:after="0"/>
        <w:jc w:val="center"/>
        <w:rPr/>
      </w:pPr>
      <w:r>
        <w:rPr/>
      </w:r>
    </w:p>
    <w:p>
      <w:pPr>
        <w:pStyle w:val="TextBody"/>
        <w:bidi w:val="0"/>
        <w:spacing w:before="40" w:after="283"/>
        <w:jc w:val="both"/>
        <w:rPr/>
      </w:pPr>
      <w:r>
        <w:rPr/>
      </w:r>
    </w:p>
    <w:p>
      <w:pPr>
        <w:pStyle w:val="TextBody"/>
        <w:bidi w:val="0"/>
        <w:spacing w:lineRule="auto" w:line="360"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Charlotte McLaughlin</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Vice President, Investor Relations</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(404) 853-1456</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 xml:space="preserve">investor.relations@acuityinc.com </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April Appling</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Senior Vice President, Corporate Communications</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corporatecommunications@acuityinc.com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jc w:val="center"/>
        <w:rPr>
          <w:rFonts w:ascii="Arial;sans-serif" w:hAnsi="Arial;sans-serif"/>
          <w:b/>
          <w:color w:val="000000"/>
          <w:sz w:val="24"/>
        </w:rPr>
      </w:pPr>
      <w:r>
        <w:rPr>
          <w:rFonts w:ascii="Arial;sans-serif" w:hAnsi="Arial;sans-serif"/>
          <w:b/>
          <w:color w:val="000000"/>
          <w:sz w:val="24"/>
        </w:rPr>
        <w:t xml:space="preserve">Acuity Reports Fiscal 2026 Fourth-Quarter and Full-Year Results </w:t>
      </w:r>
    </w:p>
    <w:p>
      <w:pPr>
        <w:pStyle w:val="TextBody"/>
        <w:bidi w:val="0"/>
        <w:spacing w:lineRule="auto" w:line="360" w:before="0" w:after="0"/>
        <w:jc w:val="center"/>
        <w:rPr>
          <w:rFonts w:ascii="Arial;sans-serif" w:hAnsi="Arial;sans-serif"/>
          <w:b w:val="false"/>
          <w:i/>
          <w:color w:val="000000"/>
          <w:sz w:val="22"/>
        </w:rPr>
      </w:pPr>
      <w:r>
        <w:rPr>
          <w:rFonts w:ascii="Arial;sans-serif" w:hAnsi="Arial;sans-serif"/>
          <w:b w:val="false"/>
          <w:i/>
          <w:color w:val="000000"/>
          <w:sz w:val="22"/>
        </w:rPr>
        <w:t xml:space="preserve">Solid Execution Delivers Net Sales Growth, Improved Operating Performance, and Strong Cash Flow </w:t>
      </w:r>
    </w:p>
    <w:p>
      <w:pPr>
        <w:pStyle w:val="TextBody"/>
        <w:bidi w:val="0"/>
        <w:spacing w:lineRule="auto" w:line="312" w:before="400" w:after="240"/>
        <w:jc w:val="both"/>
        <w:rPr>
          <w:rFonts w:ascii="Arial;sans-serif" w:hAnsi="Arial;sans-serif"/>
          <w:b/>
          <w:color w:val="000000"/>
          <w:sz w:val="22"/>
          <w:u w:val="single"/>
        </w:rPr>
      </w:pPr>
      <w:r>
        <w:rPr>
          <w:rFonts w:ascii="Arial;sans-serif" w:hAnsi="Arial;sans-serif"/>
          <w:b/>
          <w:color w:val="000000"/>
          <w:sz w:val="22"/>
          <w:u w:val="single"/>
        </w:rPr>
        <w:t>Fiscal Q4 2026 Highlights:</w:t>
      </w:r>
    </w:p>
    <w:p>
      <w:pPr>
        <w:pStyle w:val="TextBody"/>
        <w:bidi w:val="0"/>
        <w:spacing w:lineRule="auto" w:line="384" w:before="0" w:after="60"/>
        <w:ind w:left="0" w:right="0" w:hanging="360"/>
        <w:jc w:val="left"/>
        <w:rPr/>
      </w:pPr>
      <w:r>
        <w:rPr>
          <w:color w:val="000000"/>
        </w:rPr>
        <w:t>■</w:t>
      </w:r>
      <w:r>
        <w:rPr>
          <w:rFonts w:ascii="Arial;sans-serif" w:hAnsi="Arial;sans-serif"/>
          <w:b/>
          <w:color w:val="000000"/>
          <w:sz w:val="22"/>
        </w:rPr>
        <w:t xml:space="preserve">Delivered Fiscal Q4 2026 Net Sales of $1.2B, Up 3% Compared to the Prior Year </w:t>
      </w:r>
    </w:p>
    <w:p>
      <w:pPr>
        <w:pStyle w:val="TextBody"/>
        <w:bidi w:val="0"/>
        <w:spacing w:lineRule="auto" w:line="384" w:before="0" w:after="60"/>
        <w:ind w:left="0" w:right="0" w:hanging="360"/>
        <w:jc w:val="left"/>
        <w:rPr/>
      </w:pPr>
      <w:r>
        <w:rPr>
          <w:color w:val="000000"/>
        </w:rPr>
        <w:t>■</w:t>
      </w:r>
      <w:r>
        <w:rPr>
          <w:rFonts w:ascii="Arial;sans-serif" w:hAnsi="Arial;sans-serif"/>
          <w:b/>
          <w:color w:val="000000"/>
          <w:sz w:val="22"/>
        </w:rPr>
        <w:t>Delivered Fiscal Q4 2026 Diluted EPS of $5.63, Up 56%</w:t>
      </w:r>
      <w:r>
        <w:rPr>
          <w:color w:val="000000"/>
        </w:rPr>
        <w:t xml:space="preserve"> </w:t>
      </w:r>
      <w:r>
        <w:rPr>
          <w:rFonts w:ascii="Arial;sans-serif" w:hAnsi="Arial;sans-serif"/>
          <w:b/>
          <w:color w:val="000000"/>
          <w:sz w:val="22"/>
        </w:rPr>
        <w:t xml:space="preserve">Compared to the Prior Year; Adjusted Diluted EPS of $5.77, Up 11% Compared to the Prior Year </w:t>
      </w:r>
    </w:p>
    <w:p>
      <w:pPr>
        <w:pStyle w:val="TextBody"/>
        <w:bidi w:val="0"/>
        <w:spacing w:lineRule="auto" w:line="312" w:before="400" w:after="240"/>
        <w:jc w:val="both"/>
        <w:rPr>
          <w:rFonts w:ascii="Arial;sans-serif" w:hAnsi="Arial;sans-serif"/>
          <w:b/>
          <w:color w:val="000000"/>
          <w:sz w:val="22"/>
          <w:u w:val="single"/>
        </w:rPr>
      </w:pPr>
      <w:r>
        <w:rPr>
          <w:rFonts w:ascii="Arial;sans-serif" w:hAnsi="Arial;sans-serif"/>
          <w:b/>
          <w:color w:val="000000"/>
          <w:sz w:val="22"/>
          <w:u w:val="single"/>
        </w:rPr>
        <w:t>Fiscal 2026 Highlights:</w:t>
      </w:r>
    </w:p>
    <w:p>
      <w:pPr>
        <w:pStyle w:val="TextBody"/>
        <w:bidi w:val="0"/>
        <w:spacing w:lineRule="auto" w:line="384" w:before="0" w:after="60"/>
        <w:ind w:left="0" w:right="0" w:hanging="360"/>
        <w:jc w:val="left"/>
        <w:rPr/>
      </w:pPr>
      <w:r>
        <w:rPr>
          <w:color w:val="000000"/>
        </w:rPr>
        <w:t>■</w:t>
      </w:r>
      <w:r>
        <w:rPr>
          <w:rFonts w:ascii="Arial;sans-serif" w:hAnsi="Arial;sans-serif"/>
          <w:b/>
          <w:color w:val="000000"/>
          <w:sz w:val="22"/>
        </w:rPr>
        <w:t xml:space="preserve">Delivered Fiscal 2026 Net Sales of $4.6B, Up 7% Compared to the Prior Year </w:t>
      </w:r>
    </w:p>
    <w:p>
      <w:pPr>
        <w:pStyle w:val="TextBody"/>
        <w:bidi w:val="0"/>
        <w:spacing w:lineRule="auto" w:line="384" w:before="0" w:after="60"/>
        <w:ind w:left="0" w:right="0" w:hanging="360"/>
        <w:jc w:val="left"/>
        <w:rPr/>
      </w:pPr>
      <w:r>
        <w:rPr>
          <w:color w:val="000000"/>
        </w:rPr>
        <w:t>■</w:t>
      </w:r>
      <w:r>
        <w:rPr>
          <w:rFonts w:ascii="Arial;sans-serif" w:hAnsi="Arial;sans-serif"/>
          <w:b/>
          <w:color w:val="000000"/>
          <w:sz w:val="22"/>
        </w:rPr>
        <w:t xml:space="preserve">Delivered Fiscal 2026 Diluted EPS of $17.05, Up 36% Compared to the Prior Year; Adjusted Diluted EPS of $19.90, Up 11% Compared to the Prior Year </w:t>
      </w:r>
    </w:p>
    <w:p>
      <w:pPr>
        <w:pStyle w:val="TextBody"/>
        <w:bidi w:val="0"/>
        <w:spacing w:lineRule="auto" w:line="384" w:before="0" w:after="60"/>
        <w:ind w:left="0" w:right="0" w:hanging="360"/>
        <w:jc w:val="left"/>
        <w:rPr/>
      </w:pPr>
      <w:r>
        <w:rPr>
          <w:color w:val="000000"/>
        </w:rPr>
        <w:t>■</w:t>
      </w:r>
      <w:r>
        <w:rPr>
          <w:rFonts w:ascii="Arial;sans-serif" w:hAnsi="Arial;sans-serif"/>
          <w:b/>
          <w:color w:val="000000"/>
          <w:sz w:val="22"/>
        </w:rPr>
        <w:t>Generated $826M in Cash Flow from Operations in Fiscal 2026</w:t>
      </w:r>
    </w:p>
    <w:p>
      <w:pPr>
        <w:pStyle w:val="TextBody"/>
        <w:bidi w:val="0"/>
        <w:spacing w:before="0" w:after="60"/>
        <w:jc w:val="left"/>
        <w:rPr/>
      </w:pPr>
      <w:r>
        <w:rPr/>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 xml:space="preserve">ATLANTA, October 1, 2026 - Acuity Inc. (NYSE: AYI) ("Acuity"), a market-leading industrial technology company, delivered net sales of $1.2 billion in the fourth quarter of fiscal 2026 ended August 31, 2026, an increase of $35.3 million, or 2.9 percent, compared to the prior year. </w:t>
      </w:r>
    </w:p>
    <w:p>
      <w:pPr>
        <w:pStyle w:val="TextBody"/>
        <w:bidi w:val="0"/>
        <w:spacing w:lineRule="auto" w:line="312"/>
        <w:jc w:val="both"/>
        <w:rPr/>
      </w:pPr>
      <w:r>
        <w:rPr>
          <w:rFonts w:ascii="Arial;sans-serif" w:hAnsi="Arial;sans-serif"/>
          <w:b w:val="false"/>
          <w:color w:val="000000"/>
          <w:sz w:val="22"/>
        </w:rPr>
        <w:t>"</w:t>
      </w:r>
      <w:r>
        <w:rPr>
          <w:rFonts w:ascii="Arial;sans-serif" w:hAnsi="Arial;sans-serif"/>
          <w:b w:val="false"/>
          <w:color w:val="000000"/>
          <w:sz w:val="22"/>
          <w:shd w:fill="FFFFFF" w:val="clear"/>
        </w:rPr>
        <w:t>We demonstrated solid execution in the fourth quarter of fiscal 2026. We grew sales and expanded our adjusted operating profit and adjusted operating profit margin. We increased our adjusted diluted earnings per share, generated strong cash flow and allocated capital effectively</w:t>
      </w:r>
      <w:r>
        <w:rPr>
          <w:rFonts w:ascii="Arial;sans-serif" w:hAnsi="Arial;sans-serif"/>
          <w:b w:val="false"/>
          <w:color w:val="000000"/>
          <w:sz w:val="22"/>
        </w:rPr>
        <w:t>," stated Neil Ashe, Chairman, President and Chief Executive Officer of Acuity Inc. "Throughout fiscal 2026 we strengthened Acuity Brands Lighting while continuing to scale Acuity Intelligent Spaces, building the operating and financial capacity needed to compound growth and value over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310"/>
                <wp:effectExtent l="0" t="0" r="0" b="0"/>
                <wp:wrapNone/>
                <wp:docPr id="4" name="Frame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 xml:space="preserve">During the fourth quarter of fiscal 2026 we received $44.9 million in tariff refunds, which are reflected as a non-GAAP adjustment in our results. We also took certain actions that resulted in $17.8 million of special charges. Of these charges $14.7 million related to initiatives in our Acuity Brands Lighting segment involving our product portfolio, supply chain, and operating footprint, while $3.1 million related to a facility impairment in our Acuity Intelligent Spaces segment. </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Operating profit was $227.0 million in the fourth quarter of fiscal 2026, an increase of $46.4 million, or 25.7 percent, compared to the prior year. Operating profit as a percent of net sales was 18.2 percent in the fourth quarter of fiscal 2026, an increase of 330 basis points compared to the prior year. Adjusted operating profit was $232.9 million in the fourth quarter of fiscal 2026, an increase of $7.6 million, or 3.4 percent, compared to the prior year. Adjusted operating profit as a percent of net sales was 18.7 percent in the fourth quarter of fiscal 2026, an increase of 10 basis points compared to the prior year.</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Diluted earnings per share was $5.63 in the fourth quarter of fiscal 2026, an increase of $2.02, or 56.0 percent, compared to the prior year. Adjusted diluted earnings per share was $5.77 in the fourth quarter of fiscal 2026, an increase of $0.57, or 11.0 percent, compared to the prior year.</w:t>
      </w:r>
    </w:p>
    <w:p>
      <w:pPr>
        <w:pStyle w:val="TextBody"/>
        <w:bidi w:val="0"/>
        <w:spacing w:lineRule="auto" w:line="312" w:before="400" w:after="240"/>
        <w:jc w:val="both"/>
        <w:rPr>
          <w:rFonts w:ascii="Arial;sans-serif" w:hAnsi="Arial;sans-serif"/>
          <w:b/>
          <w:color w:val="000000"/>
          <w:sz w:val="22"/>
          <w:u w:val="single"/>
        </w:rPr>
      </w:pPr>
      <w:r>
        <w:rPr>
          <w:rFonts w:ascii="Arial;sans-serif" w:hAnsi="Arial;sans-serif"/>
          <w:b/>
          <w:color w:val="000000"/>
          <w:sz w:val="22"/>
          <w:u w:val="single"/>
        </w:rPr>
        <w:t>Full-Year 2026 Summary</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Net sales of $4.6 billion for the full year of fiscal 2026 increased $296.2 million, or 6.8 percent, compared to the prior year.</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Operating profit was $713.7 million for the full year of fiscal 2026, an increase of $149.8 million, or 26.6 percent, compared to the prior year. Operating profit as a percent of net sales was 15.4 percent, an increase of 240 basis points compared to the prior year. Adjusted operating profit was $828.7 million for the full year of fiscal 2026, an increase of $60.1 million, or 7.8 percent, compared to the prior year. Adjusted operating profit as a percent of net sales was 17.9 percent, an increase of 20 basis points compared to the prior year.</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Diluted earnings per share was $17.05 for the full year of fiscal 2026, an increase of $4.52, or 36.1 percent, compared to the prior year. Adjusted diluted earnings per share was $19.90, an increase of $1.89, or 10.5 percent, compared to the prior year.</w:t>
      </w:r>
    </w:p>
    <w:p>
      <w:pPr>
        <w:pStyle w:val="TextBody"/>
        <w:bidi w:val="0"/>
        <w:spacing w:lineRule="auto" w:line="312" w:before="400" w:after="240"/>
        <w:jc w:val="both"/>
        <w:rPr>
          <w:rFonts w:ascii="Arial;sans-serif" w:hAnsi="Arial;sans-serif"/>
          <w:b/>
          <w:color w:val="000000"/>
          <w:sz w:val="22"/>
          <w:u w:val="single"/>
        </w:rPr>
      </w:pPr>
      <w:r>
        <w:rPr>
          <w:rFonts w:ascii="Arial;sans-serif" w:hAnsi="Arial;sans-serif"/>
          <w:b/>
          <w:color w:val="000000"/>
          <w:sz w:val="22"/>
          <w:u w:val="single"/>
        </w:rPr>
        <w:t>Segment Performance</w:t>
      </w:r>
    </w:p>
    <w:p>
      <w:pPr>
        <w:pStyle w:val="TextBody"/>
        <w:bidi w:val="0"/>
        <w:spacing w:lineRule="auto" w:line="312" w:before="0" w:after="240"/>
        <w:jc w:val="both"/>
        <w:rPr>
          <w:rFonts w:ascii="Arial;sans-serif" w:hAnsi="Arial;sans-serif"/>
          <w:b w:val="false"/>
          <w:color w:val="000000"/>
          <w:sz w:val="22"/>
          <w:u w:val="single"/>
        </w:rPr>
      </w:pPr>
      <w:r>
        <w:rPr>
          <w:rFonts w:ascii="Arial;sans-serif" w:hAnsi="Arial;sans-serif"/>
          <w:b w:val="false"/>
          <w:color w:val="000000"/>
          <w:sz w:val="22"/>
          <w:u w:val="single"/>
        </w:rPr>
        <w:t>Acuity Brands Lighting ("ABL")</w:t>
      </w:r>
    </w:p>
    <w:p>
      <w:pPr>
        <w:pStyle w:val="TextBody"/>
        <w:bidi w:val="0"/>
        <w:spacing w:lineRule="auto" w:line="312" w:before="0" w:after="240"/>
        <w:jc w:val="both"/>
        <w:rPr>
          <w:rFonts w:ascii="Arial;sans-serif" w:hAnsi="Arial;sans-serif"/>
          <w:b w:val="false"/>
          <w:i/>
          <w:color w:val="000000"/>
          <w:sz w:val="22"/>
        </w:rPr>
      </w:pPr>
      <w:r>
        <w:rPr>
          <w:rFonts w:ascii="Arial;sans-serif" w:hAnsi="Arial;sans-serif"/>
          <w:b w:val="false"/>
          <w:i/>
          <w:color w:val="000000"/>
          <w:sz w:val="22"/>
        </w:rPr>
        <w:t>Fourth-Quarter Results</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ABL generated net sales of $958.7 million in the fourth quarter of fiscal 2026, a decrease of $3.7 million, or 0.4 percent, compared to the prior year. </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 xml:space="preserve">ABL operating profit was $188.8 million in the fourth quarter of fiscal 2026, an increase of $5.8 million, or 3.2 percent, compared to the prior year. ABL operating profit as a percent of ABL net sales was 19.7 percent in the fourth quarter of fiscal 2026, an increase of 70 basis points compared to the prior year. ABL adjusted operating profit was $179.8 million in the fourth quarter of fiscal 2026, a decrease of $13.8 million, or 7.1 percent, compared to the prior year. ABL adjusted operating profit as a percent of ABL net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310"/>
                <wp:effectExtent l="0" t="0" r="0" b="0"/>
                <wp:wrapNone/>
                <wp:docPr id="5"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sales was 18.8 percent in the fourth quarter of fiscal 2026, a decrease of 130 basis points compared to the prior year.</w:t>
      </w:r>
    </w:p>
    <w:p>
      <w:pPr>
        <w:pStyle w:val="TextBody"/>
        <w:bidi w:val="0"/>
        <w:spacing w:lineRule="auto" w:line="312" w:before="0" w:after="240"/>
        <w:jc w:val="both"/>
        <w:rPr>
          <w:rFonts w:ascii="Arial;sans-serif" w:hAnsi="Arial;sans-serif"/>
          <w:b w:val="false"/>
          <w:i/>
          <w:color w:val="000000"/>
          <w:sz w:val="22"/>
        </w:rPr>
      </w:pPr>
      <w:r>
        <w:rPr>
          <w:rFonts w:ascii="Arial;sans-serif" w:hAnsi="Arial;sans-serif"/>
          <w:b w:val="false"/>
          <w:i/>
          <w:color w:val="000000"/>
          <w:sz w:val="22"/>
        </w:rPr>
        <w:t>Full-Year Results</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ABL generated net sales of $3.6 billion for the full year of fiscal 2026, a decrease of $35.8 million, or 1.0 percent, compared to the prior year.</w:t>
      </w:r>
    </w:p>
    <w:p>
      <w:pPr>
        <w:pStyle w:val="TextBody"/>
        <w:bidi w:val="0"/>
        <w:spacing w:lineRule="auto" w:line="312" w:before="0" w:after="240"/>
        <w:jc w:val="both"/>
        <w:rPr>
          <w:rFonts w:ascii="Arial;sans-serif" w:hAnsi="Arial;sans-serif"/>
          <w:b w:val="false"/>
          <w:color w:val="000000"/>
          <w:sz w:val="22"/>
        </w:rPr>
      </w:pPr>
      <w:r>
        <w:rPr>
          <w:rFonts w:ascii="Arial;sans-serif" w:hAnsi="Arial;sans-serif"/>
          <w:b w:val="false"/>
          <w:color w:val="000000"/>
          <w:sz w:val="22"/>
        </w:rPr>
        <w:t>ABL operating profit was $623.5 million for the full year of fiscal 2026, an increase of $32.9 million, or 5.6 percent, compared to the prior year. ABL operating profit as a percent of ABL net sales was 17.4 percent for the full year of fiscal 2026, an increase of 100 basis points compared to the prior year. ABL adjusted operating profit was $646.0 million for the full year of fiscal 2026, a decrease of $16.3 million, or 2.5 percent, compared to the prior year. ABL adjusted operating profit as a percent of ABL net sales was 18.1 percent for the full year of fiscal 2026, a decrease of 20 basis points compared to the prior year.</w:t>
      </w:r>
    </w:p>
    <w:p>
      <w:pPr>
        <w:pStyle w:val="TextBody"/>
        <w:bidi w:val="0"/>
        <w:spacing w:lineRule="auto" w:line="312" w:before="260" w:after="240"/>
        <w:jc w:val="both"/>
        <w:rPr>
          <w:rFonts w:ascii="Arial;sans-serif" w:hAnsi="Arial;sans-serif"/>
          <w:b w:val="false"/>
          <w:color w:val="000000"/>
          <w:sz w:val="22"/>
          <w:u w:val="single"/>
        </w:rPr>
      </w:pPr>
      <w:r>
        <w:rPr>
          <w:rFonts w:ascii="Arial;sans-serif" w:hAnsi="Arial;sans-serif"/>
          <w:b w:val="false"/>
          <w:color w:val="000000"/>
          <w:sz w:val="22"/>
          <w:u w:val="single"/>
        </w:rPr>
        <w:t>Acuity Intelligent Spaces ("AIS")</w:t>
      </w:r>
    </w:p>
    <w:p>
      <w:pPr>
        <w:pStyle w:val="TextBody"/>
        <w:bidi w:val="0"/>
        <w:spacing w:lineRule="auto" w:line="312" w:before="0" w:after="240"/>
        <w:jc w:val="both"/>
        <w:rPr>
          <w:rFonts w:ascii="Arial;sans-serif" w:hAnsi="Arial;sans-serif"/>
          <w:b w:val="false"/>
          <w:i/>
          <w:color w:val="000000"/>
          <w:sz w:val="22"/>
        </w:rPr>
      </w:pPr>
      <w:r>
        <w:rPr>
          <w:rFonts w:ascii="Arial;sans-serif" w:hAnsi="Arial;sans-serif"/>
          <w:b w:val="false"/>
          <w:i/>
          <w:color w:val="000000"/>
          <w:sz w:val="22"/>
        </w:rPr>
        <w:t>Fourth-Quarter Results</w:t>
      </w:r>
    </w:p>
    <w:p>
      <w:pPr>
        <w:pStyle w:val="TextBody"/>
        <w:bidi w:val="0"/>
        <w:spacing w:lineRule="auto" w:line="312" w:before="240" w:after="240"/>
        <w:jc w:val="both"/>
        <w:rPr>
          <w:rFonts w:ascii="Arial;sans-serif" w:hAnsi="Arial;sans-serif"/>
          <w:b w:val="false"/>
          <w:color w:val="000000"/>
          <w:sz w:val="22"/>
        </w:rPr>
      </w:pPr>
      <w:r>
        <w:rPr>
          <w:rFonts w:ascii="Arial;sans-serif" w:hAnsi="Arial;sans-serif"/>
          <w:b w:val="false"/>
          <w:color w:val="000000"/>
          <w:sz w:val="22"/>
        </w:rPr>
        <w:t xml:space="preserve">AIS generated net sales of $297.6 million in the fourth quarter of fiscal 2026, an increase of $42.4 million, or 16.6 percent, compared to the prior year. </w:t>
      </w:r>
    </w:p>
    <w:p>
      <w:pPr>
        <w:pStyle w:val="TextBody"/>
        <w:bidi w:val="0"/>
        <w:spacing w:lineRule="auto" w:line="312" w:before="240" w:after="283"/>
        <w:jc w:val="both"/>
        <w:rPr>
          <w:rFonts w:ascii="Arial;sans-serif" w:hAnsi="Arial;sans-serif"/>
          <w:b w:val="false"/>
          <w:color w:val="000000"/>
          <w:sz w:val="22"/>
        </w:rPr>
      </w:pPr>
      <w:r>
        <w:rPr>
          <w:rFonts w:ascii="Arial;sans-serif" w:hAnsi="Arial;sans-serif"/>
          <w:b w:val="false"/>
          <w:color w:val="000000"/>
          <w:sz w:val="22"/>
        </w:rPr>
        <w:t>AIS operating profit was $64.7 million in the fourth quarter of fiscal 2026, an increase of $36.7 million, or 131.1 percent, compared to the prior year. AIS operating profit as a percent of AIS net sales was 21.7 percent in the fourth quarter of fiscal 2026, an increase of 1,070 basis points compared to the prior year. AIS adjusted operating profit was $74.1 million in the fourth quarter of fiscal 2026, an increase of $19.5 million, or 35.7 percent, compared to the prior year. AIS adjusted operating profit as a percent of AIS net sales was 24.9 percent in the fourth quarter of fiscal 2026, an increase of 350 basis points compared to the prior year.</w:t>
      </w:r>
    </w:p>
    <w:p>
      <w:pPr>
        <w:pStyle w:val="TextBody"/>
        <w:bidi w:val="0"/>
        <w:spacing w:lineRule="auto" w:line="312" w:before="240" w:after="240"/>
        <w:jc w:val="both"/>
        <w:rPr>
          <w:rFonts w:ascii="Arial;sans-serif" w:hAnsi="Arial;sans-serif"/>
          <w:b w:val="false"/>
          <w:i/>
          <w:color w:val="000000"/>
          <w:sz w:val="22"/>
        </w:rPr>
      </w:pPr>
      <w:r>
        <w:rPr>
          <w:rFonts w:ascii="Arial;sans-serif" w:hAnsi="Arial;sans-serif"/>
          <w:b w:val="false"/>
          <w:i/>
          <w:color w:val="000000"/>
          <w:sz w:val="22"/>
        </w:rPr>
        <w:t>Full-Year Results</w:t>
      </w:r>
    </w:p>
    <w:p>
      <w:pPr>
        <w:pStyle w:val="TextBody"/>
        <w:bidi w:val="0"/>
        <w:spacing w:lineRule="auto" w:line="312" w:before="240" w:after="240"/>
        <w:jc w:val="both"/>
        <w:rPr>
          <w:rFonts w:ascii="Arial;sans-serif" w:hAnsi="Arial;sans-serif"/>
          <w:b w:val="false"/>
          <w:color w:val="000000"/>
          <w:sz w:val="22"/>
        </w:rPr>
      </w:pPr>
      <w:r>
        <w:rPr>
          <w:rFonts w:ascii="Arial;sans-serif" w:hAnsi="Arial;sans-serif"/>
          <w:b w:val="false"/>
          <w:color w:val="000000"/>
          <w:sz w:val="22"/>
        </w:rPr>
        <w:t>AIS generated net sales of $1.1 billion for the full year of fiscal 2026, an increase of $342.3 million, or 44.8 percent, compared to the prior year.</w:t>
      </w:r>
    </w:p>
    <w:p>
      <w:pPr>
        <w:pStyle w:val="TextBody"/>
        <w:bidi w:val="0"/>
        <w:spacing w:lineRule="auto" w:line="312" w:before="240" w:after="283"/>
        <w:jc w:val="both"/>
        <w:rPr>
          <w:rFonts w:ascii="Arial;sans-serif" w:hAnsi="Arial;sans-serif"/>
          <w:b w:val="false"/>
          <w:color w:val="000000"/>
          <w:sz w:val="22"/>
        </w:rPr>
      </w:pPr>
      <w:r>
        <w:rPr>
          <w:rFonts w:ascii="Arial;sans-serif" w:hAnsi="Arial;sans-serif"/>
          <w:b w:val="false"/>
          <w:color w:val="000000"/>
          <w:sz w:val="22"/>
        </w:rPr>
        <w:t>AIS operating profit was $186.5 million for the full year of fiscal 2026, an increase of $110.4 million, or 145.1 percent, compared to the prior year. AIS operating profit as a percent of AIS net sales was 16.9 percent for the full year of fiscal 2026, an increase of 690 basis points compared to the prior year. AIS adjusted operating profit was $255.0 million for the full year of fiscal 2026, an increase of $90.7 million, or 55.2 percent, compared to the prior year. AIS adjusted operating profit as a percent of AIS net sales was 23.0 percent for the full year of fiscal 2026, an increase of 150 basis points compared to the prior year.</w:t>
      </w:r>
    </w:p>
    <w:p>
      <w:pPr>
        <w:pStyle w:val="TextBody"/>
        <w:bidi w:val="0"/>
        <w:spacing w:lineRule="auto" w:line="312" w:before="400" w:after="240"/>
        <w:jc w:val="both"/>
        <w:rPr>
          <w:rFonts w:ascii="Arial;sans-serif" w:hAnsi="Arial;sans-serif"/>
          <w:b/>
          <w:color w:val="000000"/>
          <w:sz w:val="22"/>
        </w:rPr>
      </w:pPr>
      <w:r>
        <w:rPr>
          <w:rFonts w:ascii="Arial;sans-serif" w:hAnsi="Arial;sans-serif"/>
          <w:b/>
          <w:color w:val="000000"/>
          <w:sz w:val="22"/>
        </w:rPr>
        <w:t xml:space="preserve">Cash Flow and Capital Allocation </w:t>
      </w:r>
    </w:p>
    <w:p>
      <w:pPr>
        <w:pStyle w:val="TextBody"/>
        <w:bidi w:val="0"/>
        <w:spacing w:lineRule="auto" w:line="312" w:before="0" w:after="0"/>
        <w:jc w:val="both"/>
        <w:rPr>
          <w:rFonts w:ascii="Arial;sans-serif" w:hAnsi="Arial;sans-serif"/>
          <w:b w:val="false"/>
          <w:color w:val="000000"/>
          <w:sz w:val="22"/>
        </w:rPr>
      </w:pPr>
      <w:r>
        <w:rPr>
          <w:rFonts w:ascii="Arial;sans-serif" w:hAnsi="Arial;sans-serif"/>
          <w:b w:val="false"/>
          <w:color w:val="000000"/>
          <w:sz w:val="22"/>
        </w:rPr>
        <w:t xml:space="preserve">Net cash from operating activities was $825.6 million for the full year of fiscal 2026. During the year we repaid $200 million of our term loan, we increased our dividend by 18 percent, and we repurchased over 940,000 shares of common stock for $287.2 million. </w:t>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before="0" w:after="0"/>
        <w:jc w:val="left"/>
        <w:rPr/>
      </w:pPr>
      <w:r>
        <w:rPr/>
      </w:r>
    </w:p>
    <w:p>
      <w:pPr>
        <w:pStyle w:val="TextBody"/>
        <w:bidi w:val="0"/>
        <w:spacing w:lineRule="auto" w:line="268" w:before="240" w:after="260"/>
        <w:jc w:val="both"/>
        <w:rPr>
          <w:rFonts w:ascii="Arial;sans-serif" w:hAnsi="Arial;sans-serif"/>
          <w:b/>
          <w:color w:val="000000"/>
          <w:sz w:val="22"/>
        </w:rPr>
      </w:pPr>
      <w:r>
        <w:rPr>
          <w:rFonts w:ascii="Arial;sans-serif" w:hAnsi="Arial;sans-serif"/>
          <w:b/>
          <w:color w:val="000000"/>
          <w:sz w:val="22"/>
        </w:rPr>
        <w:t>Form 10-K Filing</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The independent registered public accounting firm’s audit report with respect to the Company’s fiscal year-end financial statements will not be issued until the Company files its annual report on Form 10-K, including its evaluation of the effectiveness of internal controls over financial reporting. Accordingly, the financial results reported in this earnings release are preliminary pending completion of the audit.</w:t>
      </w:r>
    </w:p>
    <w:p>
      <w:pPr>
        <w:pStyle w:val="TextBody"/>
        <w:bidi w:val="0"/>
        <w:spacing w:lineRule="auto" w:line="312" w:before="240" w:after="260"/>
        <w:jc w:val="both"/>
        <w:rPr>
          <w:rFonts w:ascii="Arial;sans-serif" w:hAnsi="Arial;sans-serif"/>
          <w:b/>
          <w:color w:val="000000"/>
          <w:sz w:val="22"/>
        </w:rPr>
      </w:pPr>
      <w:r>
        <w:rPr>
          <w:rFonts w:ascii="Arial;sans-serif" w:hAnsi="Arial;sans-serif"/>
          <w:b/>
          <w:color w:val="000000"/>
          <w:sz w:val="22"/>
        </w:rPr>
        <w:t>Today's Call Details</w:t>
      </w:r>
    </w:p>
    <w:p>
      <w:pPr>
        <w:pStyle w:val="TextBody"/>
        <w:bidi w:val="0"/>
        <w:spacing w:lineRule="auto" w:line="312" w:before="240" w:after="260"/>
        <w:jc w:val="both"/>
        <w:rPr/>
      </w:pPr>
      <w:r>
        <w:rPr>
          <w:rFonts w:ascii="Arial;sans-serif" w:hAnsi="Arial;sans-serif"/>
          <w:b w:val="false"/>
          <w:color w:val="000000"/>
          <w:sz w:val="22"/>
        </w:rPr>
        <w:t xml:space="preserve">The Company will host a conference call at 8:00 a.m. (ET) today, Thursday, October 1, 2026. Neil Ashe, Chief Executive Officer of Acuity Inc. will lead the call. The conference call and earnings release can be accessed via our Investor Relations section of our website at </w:t>
      </w:r>
      <w:r>
        <w:rPr>
          <w:rFonts w:ascii="Arial;sans-serif" w:hAnsi="Arial;sans-serif"/>
          <w:b w:val="false"/>
          <w:color w:val="000000"/>
          <w:sz w:val="24"/>
        </w:rPr>
        <w:t>www.investors.acuityinc.com</w:t>
      </w:r>
      <w:r>
        <w:rPr>
          <w:rFonts w:ascii="Arial;sans-serif" w:hAnsi="Arial;sans-serif"/>
          <w:b w:val="false"/>
          <w:color w:val="000000"/>
          <w:sz w:val="22"/>
        </w:rPr>
        <w:t xml:space="preserve">. A replay of the call will also be posted to the Investor Relations website within two hours of the completion of the conference call and will be available on the website for a limited time. </w:t>
      </w:r>
    </w:p>
    <w:p>
      <w:pPr>
        <w:pStyle w:val="TextBody"/>
        <w:bidi w:val="0"/>
        <w:spacing w:lineRule="auto" w:line="312" w:before="240" w:after="260"/>
        <w:jc w:val="both"/>
        <w:rPr>
          <w:rFonts w:ascii="Arial;sans-serif" w:hAnsi="Arial;sans-serif"/>
          <w:b/>
          <w:color w:val="000000"/>
          <w:sz w:val="22"/>
        </w:rPr>
      </w:pPr>
      <w:r>
        <w:rPr>
          <w:rFonts w:ascii="Arial;sans-serif" w:hAnsi="Arial;sans-serif"/>
          <w:b/>
          <w:color w:val="000000"/>
          <w:sz w:val="22"/>
        </w:rPr>
        <w:t>About Acuity</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Acuity Inc. (NYSE: AYI)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Acuity Inc. is based in Atlanta, Georgia, with operations across North America, Europe and Asia. The Company is powered by approximately 13,000 dedicated and talented associates. Visit us at www.acuityinc.com.</w:t>
      </w:r>
    </w:p>
    <w:p>
      <w:pPr>
        <w:pStyle w:val="TextBody"/>
        <w:bidi w:val="0"/>
        <w:spacing w:lineRule="auto" w:line="312" w:before="240" w:after="260"/>
        <w:jc w:val="both"/>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This news release includes the following non-generally accepted accounting principles ("GAAP") financial measures for total company and by segment: "adjusted gross profit;" "adjusted gross profit margin;" "adjusted operating profit" and "adjusted operating profit margin." For total company only we additionally include: "adjusted net income;" "adjusted diluted EPS;" "earnings before interest, taxes, depreciation and amortization ("EBITDA");" "EBITDA margin;" "adjusted EBITDA;" and "adjusted EBITDA margin". These non-GAAP financial measures are provided to enhance the reader's overall understanding of our current financial performance and prospects for the future. Specifically, management believes that these non-GAAP measures provide useful information to investors by excluding or adjusting items for amortization of acquired intangible assets, share-based payment expense, acquired profit in inventory, acquisition-related costs, special charges, tariff refunds, pension settlement loss, and a fiscal 2025 one-time tax benefit.</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We also provide "free cash flow" ("FCF") to enhance the reader’s understanding of our ability to generate additional cash from its business.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Management typically adjusts for these items for internal reviews of performance and uses the above non-GAAP measures for baseline comparative operational analysis, decision making and other activities. Management believes these non-GAAP measures provide greater comparability and enhanced visibility into our results of operations as well as comparability with many of its peers, especially those companies focused more on technology and software. Non-GAAP financial measures included in this news release should be considered in addition to, and not as a substitute for or superior to, results prepared in accordance with GAAP.</w:t>
      </w:r>
    </w:p>
    <w:p>
      <w:pPr>
        <w:pStyle w:val="TextBody"/>
        <w:bidi w:val="0"/>
        <w:spacing w:lineRule="auto" w:line="312" w:before="0" w:after="0"/>
        <w:jc w:val="both"/>
        <w:rPr>
          <w:rFonts w:ascii="Arial;sans-serif" w:hAnsi="Arial;sans-serif"/>
          <w:b w:val="false"/>
          <w:color w:val="000000"/>
          <w:sz w:val="22"/>
        </w:rPr>
      </w:pPr>
      <w:r>
        <w:rPr>
          <w:rFonts w:ascii="Arial;sans-serif" w:hAnsi="Arial;sans-serif"/>
          <w:b w:val="false"/>
          <w:color w:val="000000"/>
          <w:sz w:val="22"/>
        </w:rPr>
        <w:t>The most directly comparable GAAP measures for adjusted gross profit and adjusted gross profit margin for total company are "gross profit" and "gross profit margin," respectively, which include the impact of acquired profit in inventory and tariff refunds. Adjusted gross profit margin is adjusted gross profit divided by net sales for total company and by segment. The most directly comparable GAAP measures for adjusted operating profit and adjusted operating profit margin for total company and by segment are "operating profit" and "operating profit margin," respectively, which include the impact of amortization of acquired intangible assets, share-based payment expense, acquired profit in inventory, acquisition-related costs, special charges, and tariff refunds. Adjusted operating profit margin is adjusted operating profit divided by net sales for total company and by segment. The most directly comparable GAAP measures for adjusted net income and adjusted diluted EPS are "net income" and "diluted EPS," respectively, which include the impact of amortization of acquired intangible assets, share-based payment expense, acquired profit in inventory, acquisition-related costs, special charges, pension settlement loss, tariff refunds and a fiscal 2025 one-time tax benefit. Adjusted diluted EPS is adjusted net income divided by diluted weighted average shares outstanding. The most directly comparable GAAP measure for EBITDA is "net income,", which includes the impact of net interest expense, income taxes, depreciation and amortization of acquired intangible assets. EBITDA margin is EBITDA divided by net sales for total company. The most directly comparable GAAP measure for adjusted EBITDA is "net income,", which includes the impact of net interest expense, income taxes, depreciation, amortization of acquired intangible assets, share-based payment expense, acquired profit in inventory, acquisition-related costs, special charges, miscellaneous expense, net, and tariff refunds. Adjusted EBITDA margin is adjusted EBITDA divided by net sales for total company. A reconciliation of each measure to the most directly comparable GAAP measure is available in this news release.</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We define FCF as net cash provided by operating activities less purchases of property, plant and equipment. A calculation of this measure is available in this news release.</w:t>
      </w:r>
    </w:p>
    <w:p>
      <w:pPr>
        <w:pStyle w:val="TextBody"/>
        <w:bidi w:val="0"/>
        <w:spacing w:lineRule="auto" w:line="312" w:before="240" w:after="260"/>
        <w:jc w:val="both"/>
        <w:rPr>
          <w:rFonts w:ascii="Arial;sans-serif" w:hAnsi="Arial;sans-serif"/>
          <w:b w:val="false"/>
          <w:color w:val="000000"/>
          <w:sz w:val="22"/>
        </w:rPr>
      </w:pPr>
      <w:r>
        <w:rPr>
          <w:rFonts w:ascii="Arial;sans-serif" w:hAnsi="Arial;sans-serif"/>
          <w:b w:val="false"/>
          <w:color w:val="000000"/>
          <w:sz w:val="22"/>
        </w:rPr>
        <w:t>Our non-GAAP financial measures may not be comparable to similarly titled non-GAAP financial measures used by other companies, have limitations as an analytical tool, and should not be considered in isolation or as a substitute for GAAP financial measures. Our presentation of such measures, which may include adjustments to exclude unusual or non-recurring items, should not be construed as an inference that our future results will be unaffected by other unusual or non-recurring items.</w:t>
      </w:r>
    </w:p>
    <w:p>
      <w:pPr>
        <w:pStyle w:val="TextBody"/>
        <w:bidi w:val="0"/>
        <w:spacing w:lineRule="auto" w:line="312" w:before="240" w:after="260"/>
        <w:jc w:val="both"/>
        <w:rPr>
          <w:rFonts w:ascii="Arial;sans-serif" w:hAnsi="Arial;sans-serif"/>
          <w:b/>
          <w:color w:val="000000"/>
          <w:sz w:val="22"/>
        </w:rPr>
      </w:pPr>
      <w:r>
        <w:rPr>
          <w:rFonts w:ascii="Arial;sans-serif" w:hAnsi="Arial;sans-serif"/>
          <w:b/>
          <w:color w:val="000000"/>
          <w:sz w:val="22"/>
        </w:rPr>
        <w:t>Forward-Looking Information</w:t>
      </w:r>
    </w:p>
    <w:p>
      <w:pPr>
        <w:pStyle w:val="TextBody"/>
        <w:bidi w:val="0"/>
        <w:spacing w:lineRule="auto" w:line="312"/>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our plans, initiatives, projections, vision, goals, targets, commitments, expectations, objectives, prospects, strategies, or financial outlook, and the assumptions underlying or relating thereto. In some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312" w:before="0" w:after="0"/>
        <w:jc w:val="both"/>
        <w:rPr>
          <w:rFonts w:ascii="Arial;sans-serif" w:hAnsi="Arial;sans-serif"/>
          <w:b w:val="false"/>
          <w:color w:val="000000"/>
          <w:sz w:val="22"/>
        </w:rPr>
      </w:pPr>
      <w:r>
        <w:rPr>
          <w:rFonts w:ascii="Arial;sans-serif" w:hAnsi="Arial;sans-serif"/>
          <w:b w:val="false"/>
          <w:color w:val="000000"/>
          <w:sz w:val="22"/>
        </w:rPr>
        <w:t>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press release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press release or to reflect the occurrence of unanticipated events,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310"/>
                <wp:effectExtent l="0" t="0" r="0" b="0"/>
                <wp:wrapNone/>
                <wp:docPr id="9" name="Frame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w:t>
      </w:r>
    </w:p>
    <w:tbl>
      <w:tblPr>
        <w:tblW w:w="5979" w:type="dxa"/>
        <w:jc w:val="center"/>
        <w:tblInd w:w="0" w:type="dxa"/>
        <w:tblLayout w:type="fixed"/>
        <w:tblCellMar>
          <w:top w:w="28" w:type="dxa"/>
          <w:left w:w="28" w:type="dxa"/>
          <w:bottom w:w="28" w:type="dxa"/>
          <w:right w:w="28" w:type="dxa"/>
        </w:tblCellMar>
      </w:tblPr>
      <w:tblGrid>
        <w:gridCol w:w="1309"/>
        <w:gridCol w:w="1150"/>
        <w:gridCol w:w="1156"/>
        <w:gridCol w:w="196"/>
        <w:gridCol w:w="691"/>
        <w:gridCol w:w="109"/>
        <w:gridCol w:w="109"/>
        <w:gridCol w:w="109"/>
        <w:gridCol w:w="109"/>
        <w:gridCol w:w="196"/>
        <w:gridCol w:w="69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Accounts receivable, net </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Prepayments and other current assets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debt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310"/>
                <wp:effectExtent l="0" t="0" r="0" b="0"/>
                <wp:wrapNone/>
                <wp:docPr id="10" name="Frame1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STATEMENTS OF INCOME</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 except per-share data)</w:t>
      </w:r>
    </w:p>
    <w:tbl>
      <w:tblPr>
        <w:tblW w:w="9511" w:type="dxa"/>
        <w:jc w:val="center"/>
        <w:tblInd w:w="0" w:type="dxa"/>
        <w:tblLayout w:type="fixed"/>
        <w:tblCellMar>
          <w:top w:w="28" w:type="dxa"/>
          <w:left w:w="28" w:type="dxa"/>
          <w:bottom w:w="28" w:type="dxa"/>
          <w:right w:w="28" w:type="dxa"/>
        </w:tblCellMar>
      </w:tblPr>
      <w:tblGrid>
        <w:gridCol w:w="1510"/>
        <w:gridCol w:w="1323"/>
        <w:gridCol w:w="1337"/>
        <w:gridCol w:w="224"/>
        <w:gridCol w:w="791"/>
        <w:gridCol w:w="124"/>
        <w:gridCol w:w="124"/>
        <w:gridCol w:w="124"/>
        <w:gridCol w:w="124"/>
        <w:gridCol w:w="224"/>
        <w:gridCol w:w="791"/>
        <w:gridCol w:w="124"/>
        <w:gridCol w:w="109"/>
        <w:gridCol w:w="109"/>
        <w:gridCol w:w="109"/>
        <w:gridCol w:w="196"/>
        <w:gridCol w:w="691"/>
        <w:gridCol w:w="109"/>
        <w:gridCol w:w="109"/>
        <w:gridCol w:w="109"/>
        <w:gridCol w:w="109"/>
        <w:gridCol w:w="196"/>
        <w:gridCol w:w="691"/>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4,345.6 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distribution, and administrative expenses</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Miscellaneous expense, net</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w:t>
            </w:r>
            <w:r>
              <w:rPr>
                <w:rFonts w:ascii="Arial;sans-serif" w:hAnsi="Arial;sans-serif"/>
                <w:b w:val="false"/>
                <w:color w:val="000000"/>
                <w:sz w:val="10"/>
              </w:rPr>
              <w:t>(1)</w:t>
            </w:r>
            <w:r>
              <w:rPr>
                <w:rFonts w:ascii="Arial;sans-serif" w:hAnsi="Arial;sans-serif"/>
                <w:b w:val="false"/>
                <w:color w:val="000000"/>
                <w:sz w:val="16"/>
              </w:rPr>
              <w:t>:</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 average number of shares outstanding</w:t>
            </w:r>
          </w:p>
        </w:tc>
        <w:tc>
          <w:tcPr>
            <w:tcW w:w="101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29.960 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30.689 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30.384 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2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 average number of shares outstanding</w:t>
            </w:r>
          </w:p>
        </w:tc>
        <w:tc>
          <w:tcPr>
            <w:tcW w:w="101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30.755 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31.533 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31.641 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per share</w:t>
            </w:r>
          </w:p>
        </w:tc>
        <w:tc>
          <w:tcPr>
            <w:tcW w:w="22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4"/>
        </w:rPr>
        <w:t>Earnings per share is calculated using unrounded numbers. Amounts in the table may not recalculate exactly due to rounding.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310"/>
                <wp:effectExtent l="0" t="0" r="0" b="0"/>
                <wp:wrapNone/>
                <wp:docPr id="11" name="Frame1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w:t>
      </w:r>
    </w:p>
    <w:tbl>
      <w:tblPr>
        <w:tblW w:w="8436" w:type="dxa"/>
        <w:jc w:val="center"/>
        <w:tblInd w:w="0" w:type="dxa"/>
        <w:tblLayout w:type="fixed"/>
        <w:tblCellMar>
          <w:top w:w="28" w:type="dxa"/>
          <w:left w:w="28" w:type="dxa"/>
          <w:bottom w:w="28" w:type="dxa"/>
          <w:right w:w="28" w:type="dxa"/>
        </w:tblCellMar>
      </w:tblPr>
      <w:tblGrid>
        <w:gridCol w:w="2236"/>
        <w:gridCol w:w="1968"/>
        <w:gridCol w:w="1975"/>
        <w:gridCol w:w="211"/>
        <w:gridCol w:w="616"/>
        <w:gridCol w:w="109"/>
        <w:gridCol w:w="109"/>
        <w:gridCol w:w="109"/>
        <w:gridCol w:w="109"/>
        <w:gridCol w:w="214"/>
        <w:gridCol w:w="626"/>
        <w:gridCol w:w="154"/>
      </w:tblGrid>
      <w:tr>
        <w:trPr/>
        <w:tc>
          <w:tcPr>
            <w:tcW w:w="223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August 31,</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cash flows from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payment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businesses,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for investing activities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credit agreement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from term loan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term loan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option exercises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taxes withheld on net settlement of equity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for) provided by financing activities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year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310"/>
                <wp:effectExtent l="0" t="0" r="0" b="0"/>
                <wp:wrapNone/>
                <wp:docPr id="12" name="Frame1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DISAGGREGATED NET SALES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millions)</w:t>
      </w:r>
    </w:p>
    <w:p>
      <w:pPr>
        <w:pStyle w:val="TextBody"/>
        <w:bidi w:val="0"/>
        <w:spacing w:before="0" w:after="0"/>
        <w:jc w:val="center"/>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 following table shows net sales by channel for the periods presented:</w:t>
      </w:r>
    </w:p>
    <w:tbl>
      <w:tblPr>
        <w:tblW w:w="9586" w:type="dxa"/>
        <w:jc w:val="left"/>
        <w:tblInd w:w="0" w:type="dxa"/>
        <w:tblLayout w:type="fixed"/>
        <w:tblCellMar>
          <w:top w:w="28" w:type="dxa"/>
          <w:left w:w="28" w:type="dxa"/>
          <w:bottom w:w="28" w:type="dxa"/>
          <w:right w:w="28" w:type="dxa"/>
        </w:tblCellMar>
      </w:tblPr>
      <w:tblGrid>
        <w:gridCol w:w="1169"/>
        <w:gridCol w:w="1025"/>
        <w:gridCol w:w="1030"/>
        <w:gridCol w:w="224"/>
        <w:gridCol w:w="791"/>
        <w:gridCol w:w="124"/>
        <w:gridCol w:w="124"/>
        <w:gridCol w:w="124"/>
        <w:gridCol w:w="124"/>
        <w:gridCol w:w="224"/>
        <w:gridCol w:w="791"/>
        <w:gridCol w:w="124"/>
        <w:gridCol w:w="109"/>
        <w:gridCol w:w="109"/>
        <w:gridCol w:w="109"/>
        <w:gridCol w:w="419"/>
        <w:gridCol w:w="996"/>
        <w:gridCol w:w="234"/>
        <w:gridCol w:w="109"/>
        <w:gridCol w:w="109"/>
        <w:gridCol w:w="109"/>
        <w:gridCol w:w="294"/>
        <w:gridCol w:w="294"/>
        <w:gridCol w:w="821"/>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Lighting:</w:t>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Independent sales network</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sales network</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 sales</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accounts</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Original equipment manufacturer and other</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Acuity Brands Lighting</w:t>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Intelligent Spaces</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Eliminations</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1,209.1 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9255" w:type="dxa"/>
        <w:jc w:val="left"/>
        <w:tblInd w:w="0" w:type="dxa"/>
        <w:tblLayout w:type="fixed"/>
        <w:tblCellMar>
          <w:top w:w="28" w:type="dxa"/>
          <w:left w:w="28" w:type="dxa"/>
          <w:bottom w:w="28" w:type="dxa"/>
          <w:right w:w="28" w:type="dxa"/>
        </w:tblCellMar>
      </w:tblPr>
      <w:tblGrid>
        <w:gridCol w:w="1169"/>
        <w:gridCol w:w="1025"/>
        <w:gridCol w:w="1030"/>
        <w:gridCol w:w="196"/>
        <w:gridCol w:w="691"/>
        <w:gridCol w:w="109"/>
        <w:gridCol w:w="109"/>
        <w:gridCol w:w="109"/>
        <w:gridCol w:w="109"/>
        <w:gridCol w:w="196"/>
        <w:gridCol w:w="691"/>
        <w:gridCol w:w="109"/>
        <w:gridCol w:w="109"/>
        <w:gridCol w:w="109"/>
        <w:gridCol w:w="109"/>
        <w:gridCol w:w="374"/>
        <w:gridCol w:w="1065"/>
        <w:gridCol w:w="210"/>
        <w:gridCol w:w="109"/>
        <w:gridCol w:w="109"/>
        <w:gridCol w:w="109"/>
        <w:gridCol w:w="294"/>
        <w:gridCol w:w="294"/>
        <w:gridCol w:w="821"/>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Brands Lighting:</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Independent sales network</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sales network</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 sales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accounts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Original equipment manufacturer and other</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Acuity Brands Lighting</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Acuity Intelligent Spaces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Eliminations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296.2 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310"/>
                <wp:effectExtent l="0" t="0" r="0" b="0"/>
                <wp:wrapNone/>
                <wp:docPr id="13" name="Frame1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ACUITY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Non-U.S. GAAP Measures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tables below reconcile certain GAAP financial measures to the corresponding non-GAAP measures for the Company as well as our reportable operating segments: </w:t>
      </w:r>
    </w:p>
    <w:tbl>
      <w:tblPr>
        <w:tblW w:w="10205" w:type="dxa"/>
        <w:jc w:val="left"/>
        <w:tblInd w:w="0" w:type="dxa"/>
        <w:tblLayout w:type="fixed"/>
        <w:tblCellMar>
          <w:top w:w="28" w:type="dxa"/>
          <w:left w:w="28" w:type="dxa"/>
          <w:bottom w:w="28" w:type="dxa"/>
          <w:right w:w="28" w:type="dxa"/>
        </w:tblCellMar>
      </w:tblPr>
      <w:tblGrid>
        <w:gridCol w:w="1190"/>
        <w:gridCol w:w="970"/>
        <w:gridCol w:w="981"/>
        <w:gridCol w:w="181"/>
        <w:gridCol w:w="616"/>
        <w:gridCol w:w="109"/>
        <w:gridCol w:w="109"/>
        <w:gridCol w:w="109"/>
        <w:gridCol w:w="109"/>
        <w:gridCol w:w="210"/>
        <w:gridCol w:w="211"/>
        <w:gridCol w:w="226"/>
        <w:gridCol w:w="109"/>
        <w:gridCol w:w="109"/>
        <w:gridCol w:w="109"/>
        <w:gridCol w:w="181"/>
        <w:gridCol w:w="616"/>
        <w:gridCol w:w="109"/>
        <w:gridCol w:w="109"/>
        <w:gridCol w:w="109"/>
        <w:gridCol w:w="109"/>
        <w:gridCol w:w="210"/>
        <w:gridCol w:w="211"/>
        <w:gridCol w:w="226"/>
        <w:gridCol w:w="109"/>
        <w:gridCol w:w="109"/>
        <w:gridCol w:w="109"/>
        <w:gridCol w:w="336"/>
        <w:gridCol w:w="780"/>
        <w:gridCol w:w="203"/>
        <w:gridCol w:w="271"/>
        <w:gridCol w:w="256"/>
        <w:gridCol w:w="536"/>
        <w:gridCol w:w="109"/>
        <w:gridCol w:w="159"/>
      </w:tblGrid>
      <w:tr>
        <w:trPr/>
        <w:tc>
          <w:tcPr>
            <w:tcW w:w="119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millions except per share data)</w:t>
            </w:r>
          </w:p>
        </w:tc>
        <w:tc>
          <w:tcPr>
            <w:tcW w:w="31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 (Decrease)</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profit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53.8 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48.9 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490 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Less: 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gross profit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50.2 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48.9 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130 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profit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18.2 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14.9 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330 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Amortization of acquired intangible assets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Share-based payment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Add-back: Acquisition-related costs </w:t>
            </w:r>
            <w:r>
              <w:rPr>
                <w:rFonts w:ascii="Arial;sans-serif" w:hAnsi="Arial;sans-serif"/>
                <w:b w:val="false"/>
                <w:color w:val="000000"/>
                <w:sz w:val="9"/>
              </w:rPr>
              <w:t>(1)</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Special charges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Less: 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operating profit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18.7 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18.6 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Amortization of acquired intangible assets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Share-based payment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Add-back: Acquisition-related costs </w:t>
            </w:r>
            <w:r>
              <w:rPr>
                <w:rFonts w:ascii="Arial;sans-serif" w:hAnsi="Arial;sans-serif"/>
                <w:b w:val="false"/>
                <w:color w:val="000000"/>
                <w:sz w:val="9"/>
              </w:rPr>
              <w:t>(1)</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back: Pension settlement loss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Special charges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Less: 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pre-tax adjustments to net income</w:t>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effects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One-time tax benefit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income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Diluted earnings per share (GAAP) </w:t>
            </w:r>
            <w:r>
              <w:rPr>
                <w:rFonts w:ascii="Arial;sans-serif" w:hAnsi="Arial;sans-serif"/>
                <w:b w:val="false"/>
                <w:color w:val="000000"/>
                <w:sz w:val="9"/>
              </w:rPr>
              <w:t>(2)</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Adjusted diluted earnings per share (Non-GAAP) </w:t>
            </w:r>
            <w:r>
              <w:rPr>
                <w:rFonts w:ascii="Arial;sans-serif" w:hAnsi="Arial;sans-serif"/>
                <w:b w:val="false"/>
                <w:color w:val="000000"/>
                <w:sz w:val="9"/>
              </w:rPr>
              <w:t>(2)</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0.57 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13.9 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9.4 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450 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net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EBITDA (Non-GAAP)</w:t>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21.1 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15.8 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530 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payment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Miscellaneous expense, net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Special charges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Acquisition-related costs </w:t>
            </w:r>
            <w:r>
              <w:rPr>
                <w:rFonts w:ascii="Arial;sans-serif" w:hAnsi="Arial;sans-serif"/>
                <w:b w:val="false"/>
                <w:color w:val="000000"/>
                <w:sz w:val="9"/>
              </w:rPr>
              <w:t>(1)</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EBITDA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20.0 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19.9 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00" w:after="283"/>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Acquisition-related costs include professional fees.</w:t>
      </w:r>
    </w:p>
    <w:p>
      <w:pPr>
        <w:pStyle w:val="TextBody"/>
        <w:bidi w:val="0"/>
        <w:spacing w:lineRule="auto" w:line="288" w:before="0" w:after="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Earnings per share is calculated using unrounded numbers. Amounts in the table may not recalculate exactly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310"/>
                <wp:effectExtent l="0" t="0" r="0" b="0"/>
                <wp:wrapNone/>
                <wp:docPr id="14" name="Frame1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p>
      <w:pPr>
        <w:pStyle w:val="TextBody"/>
        <w:bidi w:val="0"/>
        <w:spacing w:before="140" w:after="283"/>
        <w:jc w:val="both"/>
        <w:rPr/>
      </w:pPr>
      <w:r>
        <w:rPr/>
      </w:r>
    </w:p>
    <w:tbl>
      <w:tblPr>
        <w:tblW w:w="10205" w:type="dxa"/>
        <w:jc w:val="left"/>
        <w:tblInd w:w="0" w:type="dxa"/>
        <w:tblLayout w:type="fixed"/>
        <w:tblCellMar>
          <w:top w:w="28" w:type="dxa"/>
          <w:left w:w="28" w:type="dxa"/>
          <w:bottom w:w="28" w:type="dxa"/>
          <w:right w:w="28" w:type="dxa"/>
        </w:tblCellMar>
      </w:tblPr>
      <w:tblGrid>
        <w:gridCol w:w="1341"/>
        <w:gridCol w:w="1156"/>
        <w:gridCol w:w="1164"/>
        <w:gridCol w:w="109"/>
        <w:gridCol w:w="109"/>
        <w:gridCol w:w="109"/>
        <w:gridCol w:w="219"/>
        <w:gridCol w:w="623"/>
        <w:gridCol w:w="286"/>
        <w:gridCol w:w="121"/>
        <w:gridCol w:w="121"/>
        <w:gridCol w:w="121"/>
        <w:gridCol w:w="219"/>
        <w:gridCol w:w="623"/>
        <w:gridCol w:w="286"/>
        <w:gridCol w:w="109"/>
        <w:gridCol w:w="109"/>
        <w:gridCol w:w="109"/>
        <w:gridCol w:w="391"/>
        <w:gridCol w:w="966"/>
        <w:gridCol w:w="221"/>
        <w:gridCol w:w="109"/>
        <w:gridCol w:w="109"/>
        <w:gridCol w:w="109"/>
        <w:gridCol w:w="288"/>
        <w:gridCol w:w="281"/>
        <w:gridCol w:w="797"/>
      </w:tblGrid>
      <w:tr>
        <w:trPr/>
        <w:tc>
          <w:tcPr>
            <w:tcW w:w="134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Acuity Brands Lighting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3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962.4 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Share-based payment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back: Special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tbl>
      <w:tblPr>
        <w:tblW w:w="10205" w:type="dxa"/>
        <w:jc w:val="left"/>
        <w:tblInd w:w="0" w:type="dxa"/>
        <w:tblLayout w:type="fixed"/>
        <w:tblCellMar>
          <w:top w:w="28" w:type="dxa"/>
          <w:left w:w="28" w:type="dxa"/>
          <w:bottom w:w="28" w:type="dxa"/>
          <w:right w:w="28" w:type="dxa"/>
        </w:tblCellMar>
      </w:tblPr>
      <w:tblGrid>
        <w:gridCol w:w="1327"/>
        <w:gridCol w:w="1158"/>
        <w:gridCol w:w="1166"/>
        <w:gridCol w:w="109"/>
        <w:gridCol w:w="109"/>
        <w:gridCol w:w="109"/>
        <w:gridCol w:w="219"/>
        <w:gridCol w:w="623"/>
        <w:gridCol w:w="286"/>
        <w:gridCol w:w="121"/>
        <w:gridCol w:w="121"/>
        <w:gridCol w:w="121"/>
        <w:gridCol w:w="219"/>
        <w:gridCol w:w="623"/>
        <w:gridCol w:w="286"/>
        <w:gridCol w:w="109"/>
        <w:gridCol w:w="109"/>
        <w:gridCol w:w="109"/>
        <w:gridCol w:w="400"/>
        <w:gridCol w:w="952"/>
        <w:gridCol w:w="223"/>
        <w:gridCol w:w="109"/>
        <w:gridCol w:w="109"/>
        <w:gridCol w:w="109"/>
        <w:gridCol w:w="294"/>
        <w:gridCol w:w="290"/>
        <w:gridCol w:w="795"/>
      </w:tblGrid>
      <w:tr>
        <w:trPr/>
        <w:tc>
          <w:tcPr>
            <w:tcW w:w="132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Acuity Intelligent Spaces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3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7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131.1 </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Share-based payment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back: Special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310"/>
                <wp:effectExtent l="0" t="0" r="0" b="0"/>
                <wp:wrapNone/>
                <wp:docPr id="15" name="Frame1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tbl>
      <w:tblPr>
        <w:tblW w:w="10205" w:type="dxa"/>
        <w:jc w:val="center"/>
        <w:tblInd w:w="0" w:type="dxa"/>
        <w:tblLayout w:type="fixed"/>
        <w:tblCellMar>
          <w:top w:w="28" w:type="dxa"/>
          <w:left w:w="28" w:type="dxa"/>
          <w:bottom w:w="28" w:type="dxa"/>
          <w:right w:w="28" w:type="dxa"/>
        </w:tblCellMar>
      </w:tblPr>
      <w:tblGrid>
        <w:gridCol w:w="1184"/>
        <w:gridCol w:w="974"/>
        <w:gridCol w:w="981"/>
        <w:gridCol w:w="181"/>
        <w:gridCol w:w="616"/>
        <w:gridCol w:w="109"/>
        <w:gridCol w:w="109"/>
        <w:gridCol w:w="109"/>
        <w:gridCol w:w="109"/>
        <w:gridCol w:w="210"/>
        <w:gridCol w:w="211"/>
        <w:gridCol w:w="226"/>
        <w:gridCol w:w="109"/>
        <w:gridCol w:w="109"/>
        <w:gridCol w:w="109"/>
        <w:gridCol w:w="181"/>
        <w:gridCol w:w="616"/>
        <w:gridCol w:w="109"/>
        <w:gridCol w:w="109"/>
        <w:gridCol w:w="109"/>
        <w:gridCol w:w="109"/>
        <w:gridCol w:w="210"/>
        <w:gridCol w:w="211"/>
        <w:gridCol w:w="226"/>
        <w:gridCol w:w="109"/>
        <w:gridCol w:w="109"/>
        <w:gridCol w:w="109"/>
        <w:gridCol w:w="304"/>
        <w:gridCol w:w="835"/>
        <w:gridCol w:w="183"/>
        <w:gridCol w:w="271"/>
        <w:gridCol w:w="256"/>
        <w:gridCol w:w="536"/>
        <w:gridCol w:w="109"/>
        <w:gridCol w:w="158"/>
      </w:tblGrid>
      <w:tr>
        <w:trPr/>
        <w:tc>
          <w:tcPr>
            <w:tcW w:w="118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millions, except per share data)</w:t>
            </w:r>
          </w:p>
        </w:tc>
        <w:tc>
          <w:tcPr>
            <w:tcW w:w="31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 (Decrease)</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profit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50.6 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47.8 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280 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Acquired profit in inventory</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Less: 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gross profit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49.5 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48.5 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profit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15.4 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13.0 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240 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Acquired profit in inventory</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Amortization of acquired intangible assets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Share-based payment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Add-back: Acquisition-related costs </w:t>
            </w:r>
            <w:r>
              <w:rPr>
                <w:rFonts w:ascii="Arial;sans-serif" w:hAnsi="Arial;sans-serif"/>
                <w:b w:val="false"/>
                <w:color w:val="000000"/>
                <w:sz w:val="9"/>
              </w:rPr>
              <w:t>(1)</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Special charges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Less: 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operating profit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17.9 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17.7 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20 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Acquired profit in inventory</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Amortization of acquired intangible assets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Share-based payment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Add-back: Acquisition-related costs </w:t>
            </w:r>
            <w:r>
              <w:rPr>
                <w:rFonts w:ascii="Arial;sans-serif" w:hAnsi="Arial;sans-serif"/>
                <w:b w:val="false"/>
                <w:color w:val="000000"/>
                <w:sz w:val="9"/>
              </w:rPr>
              <w:t>(1)</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Add-back: Special charges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back: Pension settlement loss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Less: 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pre-tax adjustments to net income</w:t>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effect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One-time tax benefit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income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Diluted earnings per share (GAAP) </w:t>
            </w:r>
            <w:r>
              <w:rPr>
                <w:rFonts w:ascii="Arial;sans-serif" w:hAnsi="Arial;sans-serif"/>
                <w:b w:val="false"/>
                <w:color w:val="000000"/>
                <w:sz w:val="9"/>
              </w:rPr>
              <w:t>(2)</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Adjusted diluted earnings per share (Non-GAAP) </w:t>
            </w:r>
            <w:r>
              <w:rPr>
                <w:rFonts w:ascii="Arial;sans-serif" w:hAnsi="Arial;sans-serif"/>
                <w:b w:val="false"/>
                <w:color w:val="000000"/>
                <w:sz w:val="9"/>
              </w:rPr>
              <w:t>(2)</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11.4 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9.1 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230 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net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EBITDA (Non-GAAP)</w:t>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18.6 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15.1 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350 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payment expense</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Miscellaneous expense, net</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Special charges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Acquisition-related costs </w:t>
            </w:r>
            <w:r>
              <w:rPr>
                <w:rFonts w:ascii="Arial;sans-serif" w:hAnsi="Arial;sans-serif"/>
                <w:b w:val="false"/>
                <w:color w:val="000000"/>
                <w:sz w:val="9"/>
              </w:rPr>
              <w:t>(1)</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Acquired profit in inventory</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Tariff refunds</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EBITDA (Non-GAAP)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Percent of net sales (Non-GAAP)</w:t>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19.2 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19.0 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20 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bps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______________________________</w:t>
      </w:r>
    </w:p>
    <w:p>
      <w:pPr>
        <w:pStyle w:val="TextBody"/>
        <w:bidi w:val="0"/>
        <w:spacing w:lineRule="auto" w:line="288"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Acquisition-related costs include professional fees.</w:t>
      </w:r>
    </w:p>
    <w:p>
      <w:pPr>
        <w:pStyle w:val="TextBody"/>
        <w:bidi w:val="0"/>
        <w:spacing w:lineRule="auto" w:line="288" w:before="0" w:after="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Earnings per share is calculated using unrounded numbers. Amounts in the table may not recalculate exactly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16" name="Frame1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209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16"/>
        <w:gridCol w:w="416"/>
        <w:gridCol w:w="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Press Release</w:t>
              <w:br/>
              <w:t>Exhibit 99.1</w:t>
            </w:r>
          </w:p>
        </w:tc>
      </w:tr>
    </w:tbl>
    <w:tbl>
      <w:tblPr>
        <w:tblW w:w="10205" w:type="dxa"/>
        <w:jc w:val="left"/>
        <w:tblInd w:w="0" w:type="dxa"/>
        <w:tblLayout w:type="fixed"/>
        <w:tblCellMar>
          <w:top w:w="28" w:type="dxa"/>
          <w:left w:w="28" w:type="dxa"/>
          <w:bottom w:w="28" w:type="dxa"/>
          <w:right w:w="28" w:type="dxa"/>
        </w:tblCellMar>
      </w:tblPr>
      <w:tblGrid>
        <w:gridCol w:w="1343"/>
        <w:gridCol w:w="1159"/>
        <w:gridCol w:w="1167"/>
        <w:gridCol w:w="109"/>
        <w:gridCol w:w="109"/>
        <w:gridCol w:w="109"/>
        <w:gridCol w:w="196"/>
        <w:gridCol w:w="691"/>
        <w:gridCol w:w="256"/>
        <w:gridCol w:w="109"/>
        <w:gridCol w:w="109"/>
        <w:gridCol w:w="109"/>
        <w:gridCol w:w="196"/>
        <w:gridCol w:w="691"/>
        <w:gridCol w:w="256"/>
        <w:gridCol w:w="109"/>
        <w:gridCol w:w="109"/>
        <w:gridCol w:w="109"/>
        <w:gridCol w:w="392"/>
        <w:gridCol w:w="967"/>
        <w:gridCol w:w="221"/>
        <w:gridCol w:w="109"/>
        <w:gridCol w:w="109"/>
        <w:gridCol w:w="109"/>
        <w:gridCol w:w="288"/>
        <w:gridCol w:w="282"/>
        <w:gridCol w:w="792"/>
      </w:tblGrid>
      <w:tr>
        <w:trPr/>
        <w:tc>
          <w:tcPr>
            <w:tcW w:w="134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Acuity Brands Lighting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3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3,576.4 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1,634.4 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1,654.5 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Share-based payment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Special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tbl>
      <w:tblPr>
        <w:tblW w:w="10205" w:type="dxa"/>
        <w:jc w:val="left"/>
        <w:tblInd w:w="0" w:type="dxa"/>
        <w:tblLayout w:type="fixed"/>
        <w:tblCellMar>
          <w:top w:w="28" w:type="dxa"/>
          <w:left w:w="28" w:type="dxa"/>
          <w:bottom w:w="28" w:type="dxa"/>
          <w:right w:w="28" w:type="dxa"/>
        </w:tblCellMar>
      </w:tblPr>
      <w:tblGrid>
        <w:gridCol w:w="1362"/>
        <w:gridCol w:w="1193"/>
        <w:gridCol w:w="1200"/>
        <w:gridCol w:w="109"/>
        <w:gridCol w:w="109"/>
        <w:gridCol w:w="109"/>
        <w:gridCol w:w="196"/>
        <w:gridCol w:w="691"/>
        <w:gridCol w:w="256"/>
        <w:gridCol w:w="109"/>
        <w:gridCol w:w="109"/>
        <w:gridCol w:w="109"/>
        <w:gridCol w:w="196"/>
        <w:gridCol w:w="556"/>
        <w:gridCol w:w="256"/>
        <w:gridCol w:w="109"/>
        <w:gridCol w:w="109"/>
        <w:gridCol w:w="109"/>
        <w:gridCol w:w="363"/>
        <w:gridCol w:w="1035"/>
        <w:gridCol w:w="204"/>
        <w:gridCol w:w="109"/>
        <w:gridCol w:w="109"/>
        <w:gridCol w:w="109"/>
        <w:gridCol w:w="294"/>
        <w:gridCol w:w="292"/>
        <w:gridCol w:w="803"/>
      </w:tblGrid>
      <w:tr>
        <w:trPr/>
        <w:tc>
          <w:tcPr>
            <w:tcW w:w="136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Acuity Intelligent Spaces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3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1,106.6 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342.3 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Acquired profit in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453.6 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145.1 </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Amortization of acquired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Share-based payment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Add-back: Acquired profit in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back: Special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Tariff refunds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r>
        <w:trPr/>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profit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bps</w:t>
            </w:r>
          </w:p>
        </w:tc>
      </w:tr>
    </w:tbl>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73" w:type="dxa"/>
        <w:jc w:val="center"/>
        <w:tblInd w:w="0" w:type="dxa"/>
        <w:tblLayout w:type="fixed"/>
        <w:tblCellMar>
          <w:top w:w="28" w:type="dxa"/>
          <w:left w:w="28" w:type="dxa"/>
          <w:bottom w:w="28" w:type="dxa"/>
          <w:right w:w="28" w:type="dxa"/>
        </w:tblCellMar>
      </w:tblPr>
      <w:tblGrid>
        <w:gridCol w:w="1373"/>
        <w:gridCol w:w="1204"/>
        <w:gridCol w:w="1217"/>
        <w:gridCol w:w="196"/>
        <w:gridCol w:w="556"/>
        <w:gridCol w:w="109"/>
        <w:gridCol w:w="109"/>
        <w:gridCol w:w="109"/>
        <w:gridCol w:w="109"/>
        <w:gridCol w:w="196"/>
        <w:gridCol w:w="556"/>
        <w:gridCol w:w="109"/>
        <w:gridCol w:w="109"/>
        <w:gridCol w:w="109"/>
        <w:gridCol w:w="109"/>
        <w:gridCol w:w="374"/>
        <w:gridCol w:w="1065"/>
        <w:gridCol w:w="210"/>
        <w:gridCol w:w="109"/>
        <w:gridCol w:w="109"/>
        <w:gridCol w:w="109"/>
        <w:gridCol w:w="312"/>
        <w:gridCol w:w="312"/>
        <w:gridCol w:w="740"/>
        <w:gridCol w:w="109"/>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 (GAAP)</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Purchases of property, plant, and equipment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 (Non-GAAP)</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17" name="Frame1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5359</Words>
  <Characters>28697</Characters>
  <CharactersWithSpaces>33251</CharactersWithSpaces>
  <Paragraphs>1454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