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940" w:right="1380" w:hanging="2440"/>
        <w:spacing w:after="0" w:line="442" w:lineRule="auto"/>
        <w:tabs>
          <w:tab w:leader="none" w:pos="24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28,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_____________________________________________</w:t>
      </w:r>
    </w:p>
    <w:p>
      <w:pPr>
        <w:sectPr>
          <w:pgSz w:w="11900" w:h="16838" w:orient="portrait"/>
          <w:cols w:equalWidth="0" w:num="1">
            <w:col w:w="11240"/>
          </w:cols>
          <w:pgMar w:left="320" w:top="242" w:right="339" w:bottom="1440" w:gutter="0" w:footer="0" w:header="0"/>
        </w:sectPr>
      </w:pPr>
    </w:p>
    <w:p>
      <w:pPr>
        <w:spacing w:after="0" w:line="122"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58-2632672</w:t>
      </w:r>
    </w:p>
    <w:p>
      <w:pPr>
        <w:spacing w:after="0" w:line="43" w:lineRule="exact"/>
        <w:rPr>
          <w:sz w:val="24"/>
          <w:szCs w:val="24"/>
          <w:color w:val="auto"/>
        </w:rPr>
      </w:pPr>
    </w:p>
    <w:p>
      <w:pPr>
        <w:sectPr>
          <w:pgSz w:w="11900" w:h="16838" w:orient="portrait"/>
          <w:cols w:equalWidth="0" w:num="2">
            <w:col w:w="7400" w:space="720"/>
            <w:col w:w="3120"/>
          </w:cols>
          <w:pgMar w:left="320" w:top="242" w:right="339" w:bottom="1440" w:gutter="0" w:footer="0" w:header="0"/>
          <w:type w:val="continuous"/>
        </w:sectPr>
      </w:pPr>
    </w:p>
    <w:p>
      <w:pPr>
        <w:ind w:left="1820"/>
        <w:spacing w:after="0"/>
        <w:rPr>
          <w:sz w:val="20"/>
          <w:szCs w:val="20"/>
          <w:color w:val="auto"/>
        </w:rPr>
      </w:pPr>
      <w:r>
        <w:rPr>
          <w:rFonts w:ascii="Arial" w:cs="Arial" w:eastAsia="Arial" w:hAnsi="Arial"/>
          <w:sz w:val="14"/>
          <w:szCs w:val="14"/>
          <w:i w:val="1"/>
          <w:iCs w:val="1"/>
          <w:color w:val="auto"/>
        </w:rPr>
        <w:t>(State or other jurisdiction of</w:t>
      </w:r>
    </w:p>
    <w:p>
      <w:pPr>
        <w:ind w:left="178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200" w:lineRule="exact"/>
        <w:rPr>
          <w:sz w:val="24"/>
          <w:szCs w:val="24"/>
          <w:color w:val="auto"/>
        </w:rPr>
      </w:pPr>
    </w:p>
    <w:p>
      <w:pPr>
        <w:sectPr>
          <w:pgSz w:w="11900" w:h="16838" w:orient="portrait"/>
          <w:cols w:equalWidth="0" w:num="2">
            <w:col w:w="7240" w:space="720"/>
            <w:col w:w="3280"/>
          </w:cols>
          <w:pgMar w:left="320" w:top="242"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1200, Atlanta, Georgia 30309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type w:val="continuous"/>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4"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$0.01 par value </w:t>
      </w:r>
      <w:r>
        <w:rPr>
          <w:rFonts w:ascii="Arial" w:cs="Arial" w:eastAsia="Arial" w:hAnsi="Arial"/>
          <w:sz w:val="17"/>
          <w:szCs w:val="17"/>
          <w:color w:val="auto"/>
        </w:rPr>
        <w:t>—</w:t>
      </w:r>
      <w:r>
        <w:rPr>
          <w:rFonts w:ascii="Arial" w:cs="Arial" w:eastAsia="Arial" w:hAnsi="Arial"/>
          <w:sz w:val="16"/>
          <w:szCs w:val="16"/>
          <w:color w:val="auto"/>
        </w:rPr>
        <w:t xml:space="preserve"> 30,315,168 shares as of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 xml:space="preserve">Consolidated Balance Sheets -- </w:t>
            </w:r>
            <w:r>
              <w:rPr>
                <w:rFonts w:ascii="Arial" w:cs="Arial" w:eastAsia="Arial" w:hAnsi="Arial"/>
                <w:sz w:val="16"/>
                <w:szCs w:val="16"/>
                <w:color w:val="0E32E1"/>
              </w:rPr>
              <w:t>February</w:t>
            </w:r>
            <w:r>
              <w:rPr>
                <w:rFonts w:ascii="Arial" w:cs="Arial" w:eastAsia="Arial" w:hAnsi="Arial"/>
                <w:sz w:val="16"/>
                <w:szCs w:val="16"/>
                <w:color w:val="0000FF"/>
              </w:rPr>
              <w:t xml:space="preserve"> 28, 2026 </w:t>
            </w:r>
            <w:r>
              <w:rPr>
                <w:rFonts w:ascii="Arial" w:cs="Arial" w:eastAsia="Arial" w:hAnsi="Arial"/>
                <w:sz w:val="16"/>
                <w:szCs w:val="16"/>
                <w:color w:val="0E32E1"/>
              </w:rPr>
              <w:t>(</w:t>
            </w:r>
            <w:r>
              <w:rPr>
                <w:rFonts w:ascii="Arial" w:cs="Arial" w:eastAsia="Arial" w:hAnsi="Arial"/>
                <w:sz w:val="16"/>
                <w:szCs w:val="16"/>
                <w:color w:val="0000FF"/>
              </w:rPr>
              <w:t>Unaudited) and August 31, 2025</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and six months ended February 28, 2026 and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82" w:lineRule="exact"/>
              <w:rPr>
                <w:sz w:val="20"/>
                <w:szCs w:val="20"/>
                <w:color w:val="auto"/>
              </w:rPr>
            </w:pPr>
            <w:r>
              <w:rPr>
                <w:rFonts w:ascii="Arial" w:cs="Arial" w:eastAsia="Arial" w:hAnsi="Arial"/>
                <w:sz w:val="16"/>
                <w:szCs w:val="16"/>
                <w:color w:val="0000FF"/>
              </w:rPr>
              <w:t>February 28, 2025</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Six months ended February 28, 2026 and February 28, 2025</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Other Expense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20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0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2025</w:t>
            </w:r>
          </w:p>
        </w:tc>
      </w:tr>
      <w:tr>
        <w:trPr>
          <w:trHeight w:val="196"/>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$6.3 and $4.3, respectively</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579.0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593.9</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w:t>
            </w: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1,651.5</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350.3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343.2</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1,495.5</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1,099.0</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4,755.2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w:t>
            </w: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845.8</w:t>
            </w: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697.1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896.8</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39.2</w:t>
            </w: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r>
      <w:tr>
        <w:trPr>
          <w:trHeight w:val="200"/>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2,030.3</w:t>
            </w:r>
          </w:p>
        </w:tc>
      </w:tr>
      <w:tr>
        <w:trPr>
          <w:trHeight w:val="178"/>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per share; 50.0 shares authorized; none issued</w:t>
            </w:r>
          </w:p>
        </w:tc>
        <w:tc>
          <w:tcPr>
            <w:tcW w:w="2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per share; 500.0 shares authorized; 55.0 and 54.9 shares issued, respectively</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1,164.7</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4,285.8</w:t>
            </w: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(76.5)</w:t>
            </w: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24.5 and 24.2 shares,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(2,649.6)</w:t>
            </w: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2,724.9</w:t>
            </w:r>
          </w:p>
        </w:tc>
      </w:tr>
      <w:tr>
        <w:trPr>
          <w:trHeight w:val="225"/>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4,755.2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2026</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2025</w:t>
            </w:r>
          </w:p>
        </w:tc>
        <w:tc>
          <w:tcPr>
            <w:tcW w:w="10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2025</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2,199.4</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1,957.9</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774.9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673.8</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243.5</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31.454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r>
      <w:tr>
        <w:trPr>
          <w:trHeight w:val="21"/>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2025</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184.2</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from term loan</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Repayments of term loan borrowings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provided by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(447.9)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845.8</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Inc. (referred to herein as “we,” “our,” “us,” the “Company,” or similar references) is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Brands Lighting Segment</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mission at ABL is to provide sustainable and intelligent lighting solutions that enrich communities where people live, learn, work, and play. Our strategy is to increase product vitality, elevate service levels, use technology to improve and differentiate both our products and how we operate the business, and drive productivity. At ABL, our offering combines luminaires with advanced electronics. Our luminaires deliver performance and aesthetic appeal, while our electronics portfolio, featuring drivers and a leading controls platform, provides connectivity and functionality. ABL's portfolio of products includes, but is not limited to the following brands: Aculux</w:t>
      </w:r>
      <w:r>
        <w:rPr>
          <w:rFonts w:ascii="Arial" w:cs="Arial" w:eastAsia="Arial" w:hAnsi="Arial"/>
          <w:sz w:val="22"/>
          <w:szCs w:val="22"/>
          <w:color w:val="auto"/>
          <w:vertAlign w:val="superscript"/>
        </w:rPr>
        <w:t>TM</w:t>
      </w:r>
      <w:r>
        <w:rPr>
          <w:rFonts w:ascii="Arial" w:cs="Arial" w:eastAsia="Arial" w:hAnsi="Arial"/>
          <w:sz w:val="17"/>
          <w:szCs w:val="17"/>
          <w:color w:val="auto"/>
        </w:rPr>
        <w:t>, American Electric Lighting</w:t>
      </w:r>
      <w:r>
        <w:rPr>
          <w:rFonts w:ascii="Arial" w:cs="Arial" w:eastAsia="Arial" w:hAnsi="Arial"/>
          <w:sz w:val="22"/>
          <w:szCs w:val="22"/>
          <w:color w:val="auto"/>
          <w:vertAlign w:val="superscript"/>
        </w:rPr>
        <w:t>®</w:t>
      </w:r>
      <w:r>
        <w:rPr>
          <w:rFonts w:ascii="Arial" w:cs="Arial" w:eastAsia="Arial" w:hAnsi="Arial"/>
          <w:sz w:val="17"/>
          <w:szCs w:val="17"/>
          <w:color w:val="auto"/>
        </w:rPr>
        <w:t>, Cyclone</w:t>
      </w:r>
      <w:r>
        <w:rPr>
          <w:rFonts w:ascii="Arial" w:cs="Arial" w:eastAsia="Arial" w:hAnsi="Arial"/>
          <w:sz w:val="22"/>
          <w:szCs w:val="22"/>
          <w:color w:val="auto"/>
          <w:vertAlign w:val="superscript"/>
        </w:rPr>
        <w:t>TM</w:t>
      </w:r>
      <w:r>
        <w:rPr>
          <w:rFonts w:ascii="Arial" w:cs="Arial" w:eastAsia="Arial" w:hAnsi="Arial"/>
          <w:sz w:val="17"/>
          <w:szCs w:val="17"/>
          <w:color w:val="auto"/>
        </w:rPr>
        <w:t>, Dark to Light</w:t>
      </w:r>
      <w:r>
        <w:rPr>
          <w:rFonts w:ascii="Arial" w:cs="Arial" w:eastAsia="Arial" w:hAnsi="Arial"/>
          <w:sz w:val="22"/>
          <w:szCs w:val="22"/>
          <w:color w:val="auto"/>
          <w:vertAlign w:val="superscript"/>
        </w:rPr>
        <w:t>®</w:t>
      </w:r>
      <w:r>
        <w:rPr>
          <w:rFonts w:ascii="Arial" w:cs="Arial" w:eastAsia="Arial" w:hAnsi="Arial"/>
          <w:sz w:val="17"/>
          <w:szCs w:val="17"/>
          <w:color w:val="auto"/>
        </w:rPr>
        <w:t>, eldoLED</w:t>
      </w:r>
      <w:r>
        <w:rPr>
          <w:rFonts w:ascii="Arial" w:cs="Arial" w:eastAsia="Arial" w:hAnsi="Arial"/>
          <w:sz w:val="22"/>
          <w:szCs w:val="22"/>
          <w:color w:val="auto"/>
          <w:vertAlign w:val="superscript"/>
        </w:rPr>
        <w:t>®</w:t>
      </w:r>
      <w:r>
        <w:rPr>
          <w:rFonts w:ascii="Arial" w:cs="Arial" w:eastAsia="Arial" w:hAnsi="Arial"/>
          <w:sz w:val="17"/>
          <w:szCs w:val="17"/>
          <w:color w:val="auto"/>
        </w:rPr>
        <w:t>, Eureka</w:t>
      </w:r>
      <w:r>
        <w:rPr>
          <w:rFonts w:ascii="Arial" w:cs="Arial" w:eastAsia="Arial" w:hAnsi="Arial"/>
          <w:sz w:val="22"/>
          <w:szCs w:val="22"/>
          <w:color w:val="auto"/>
          <w:vertAlign w:val="superscript"/>
        </w:rPr>
        <w:t>®</w:t>
      </w:r>
      <w:r>
        <w:rPr>
          <w:rFonts w:ascii="Arial" w:cs="Arial" w:eastAsia="Arial" w:hAnsi="Arial"/>
          <w:sz w:val="17"/>
          <w:szCs w:val="17"/>
          <w:color w:val="auto"/>
        </w:rPr>
        <w:t>, Fresco</w:t>
      </w:r>
      <w:r>
        <w:rPr>
          <w:rFonts w:ascii="Arial" w:cs="Arial" w:eastAsia="Arial" w:hAnsi="Arial"/>
          <w:sz w:val="22"/>
          <w:szCs w:val="22"/>
          <w:color w:val="auto"/>
          <w:vertAlign w:val="superscript"/>
        </w:rPr>
        <w:t>TM</w:t>
      </w:r>
      <w:r>
        <w:rPr>
          <w:rFonts w:ascii="Arial" w:cs="Arial" w:eastAsia="Arial" w:hAnsi="Arial"/>
          <w:sz w:val="17"/>
          <w:szCs w:val="17"/>
          <w:color w:val="auto"/>
        </w:rPr>
        <w:t>, Gotham</w:t>
      </w:r>
      <w:r>
        <w:rPr>
          <w:rFonts w:ascii="Arial" w:cs="Arial" w:eastAsia="Arial" w:hAnsi="Arial"/>
          <w:sz w:val="22"/>
          <w:szCs w:val="22"/>
          <w:color w:val="auto"/>
          <w:vertAlign w:val="superscript"/>
        </w:rPr>
        <w:t>®</w:t>
      </w:r>
      <w:r>
        <w:rPr>
          <w:rFonts w:ascii="Arial" w:cs="Arial" w:eastAsia="Arial" w:hAnsi="Arial"/>
          <w:sz w:val="17"/>
          <w:szCs w:val="17"/>
          <w:color w:val="auto"/>
        </w:rPr>
        <w:t>, Healthcare Lighting</w:t>
      </w:r>
      <w:r>
        <w:rPr>
          <w:rFonts w:ascii="Arial" w:cs="Arial" w:eastAsia="Arial" w:hAnsi="Arial"/>
          <w:sz w:val="22"/>
          <w:szCs w:val="22"/>
          <w:color w:val="auto"/>
          <w:vertAlign w:val="superscript"/>
        </w:rPr>
        <w:t>®</w:t>
      </w:r>
      <w:r>
        <w:rPr>
          <w:rFonts w:ascii="Arial" w:cs="Arial" w:eastAsia="Arial" w:hAnsi="Arial"/>
          <w:sz w:val="17"/>
          <w:szCs w:val="17"/>
          <w:color w:val="auto"/>
        </w:rPr>
        <w:t>, Holophane</w:t>
      </w:r>
      <w:r>
        <w:rPr>
          <w:rFonts w:ascii="Arial" w:cs="Arial" w:eastAsia="Arial" w:hAnsi="Arial"/>
          <w:sz w:val="22"/>
          <w:szCs w:val="22"/>
          <w:color w:val="auto"/>
          <w:vertAlign w:val="superscript"/>
        </w:rPr>
        <w:t>®</w:t>
      </w:r>
      <w:r>
        <w:rPr>
          <w:rFonts w:ascii="Arial" w:cs="Arial" w:eastAsia="Arial" w:hAnsi="Arial"/>
          <w:sz w:val="17"/>
          <w:szCs w:val="17"/>
          <w:color w:val="auto"/>
        </w:rPr>
        <w:t>, Hydrel</w:t>
      </w:r>
      <w:r>
        <w:rPr>
          <w:rFonts w:ascii="Arial" w:cs="Arial" w:eastAsia="Arial" w:hAnsi="Arial"/>
          <w:sz w:val="22"/>
          <w:szCs w:val="22"/>
          <w:color w:val="auto"/>
          <w:vertAlign w:val="superscript"/>
        </w:rPr>
        <w:t>®</w:t>
      </w:r>
      <w:r>
        <w:rPr>
          <w:rFonts w:ascii="Arial" w:cs="Arial" w:eastAsia="Arial" w:hAnsi="Arial"/>
          <w:sz w:val="17"/>
          <w:szCs w:val="17"/>
          <w:color w:val="auto"/>
        </w:rPr>
        <w:t>, IOTA</w:t>
      </w:r>
      <w:r>
        <w:rPr>
          <w:rFonts w:ascii="Arial" w:cs="Arial" w:eastAsia="Arial" w:hAnsi="Arial"/>
          <w:sz w:val="22"/>
          <w:szCs w:val="22"/>
          <w:color w:val="auto"/>
          <w:vertAlign w:val="superscript"/>
        </w:rPr>
        <w:t>®</w:t>
      </w:r>
      <w:r>
        <w:rPr>
          <w:rFonts w:ascii="Arial" w:cs="Arial" w:eastAsia="Arial" w:hAnsi="Arial"/>
          <w:sz w:val="17"/>
          <w:szCs w:val="17"/>
          <w:color w:val="auto"/>
        </w:rPr>
        <w:t>, Juno</w:t>
      </w:r>
      <w:r>
        <w:rPr>
          <w:rFonts w:ascii="Arial" w:cs="Arial" w:eastAsia="Arial" w:hAnsi="Arial"/>
          <w:sz w:val="22"/>
          <w:szCs w:val="22"/>
          <w:color w:val="auto"/>
          <w:vertAlign w:val="superscript"/>
        </w:rPr>
        <w:t>®</w:t>
      </w:r>
      <w:r>
        <w:rPr>
          <w:rFonts w:ascii="Arial" w:cs="Arial" w:eastAsia="Arial" w:hAnsi="Arial"/>
          <w:sz w:val="17"/>
          <w:szCs w:val="17"/>
          <w:color w:val="auto"/>
        </w:rPr>
        <w:t>, Lithonia Lighting</w:t>
      </w:r>
      <w:r>
        <w:rPr>
          <w:rFonts w:ascii="Arial" w:cs="Arial" w:eastAsia="Arial" w:hAnsi="Arial"/>
          <w:sz w:val="22"/>
          <w:szCs w:val="22"/>
          <w:color w:val="auto"/>
          <w:vertAlign w:val="superscript"/>
        </w:rPr>
        <w:t>®</w:t>
      </w:r>
      <w:r>
        <w:rPr>
          <w:rFonts w:ascii="Arial" w:cs="Arial" w:eastAsia="Arial" w:hAnsi="Arial"/>
          <w:sz w:val="17"/>
          <w:szCs w:val="17"/>
          <w:color w:val="auto"/>
        </w:rPr>
        <w:t>, Luminaire LED</w:t>
      </w:r>
      <w:r>
        <w:rPr>
          <w:rFonts w:ascii="Arial" w:cs="Arial" w:eastAsia="Arial" w:hAnsi="Arial"/>
          <w:sz w:val="22"/>
          <w:szCs w:val="22"/>
          <w:color w:val="auto"/>
          <w:vertAlign w:val="superscript"/>
        </w:rPr>
        <w:t>TM</w:t>
      </w:r>
      <w:r>
        <w:rPr>
          <w:rFonts w:ascii="Arial" w:cs="Arial" w:eastAsia="Arial" w:hAnsi="Arial"/>
          <w:sz w:val="17"/>
          <w:szCs w:val="17"/>
          <w:color w:val="auto"/>
        </w:rPr>
        <w:t>, Luminis</w:t>
      </w:r>
      <w:r>
        <w:rPr>
          <w:rFonts w:ascii="Arial" w:cs="Arial" w:eastAsia="Arial" w:hAnsi="Arial"/>
          <w:sz w:val="22"/>
          <w:szCs w:val="22"/>
          <w:color w:val="auto"/>
          <w:vertAlign w:val="superscript"/>
        </w:rPr>
        <w:t>®</w:t>
      </w:r>
      <w:r>
        <w:rPr>
          <w:rFonts w:ascii="Arial" w:cs="Arial" w:eastAsia="Arial" w:hAnsi="Arial"/>
          <w:sz w:val="17"/>
          <w:szCs w:val="17"/>
          <w:color w:val="auto"/>
        </w:rPr>
        <w:t>, Mark Architectural Lighting</w:t>
      </w:r>
      <w:r>
        <w:rPr>
          <w:rFonts w:ascii="Arial" w:cs="Arial" w:eastAsia="Arial" w:hAnsi="Arial"/>
          <w:sz w:val="22"/>
          <w:szCs w:val="22"/>
          <w:color w:val="auto"/>
          <w:vertAlign w:val="superscript"/>
        </w:rPr>
        <w:t>TM</w:t>
      </w:r>
      <w:r>
        <w:rPr>
          <w:rFonts w:ascii="Arial" w:cs="Arial" w:eastAsia="Arial" w:hAnsi="Arial"/>
          <w:sz w:val="17"/>
          <w:szCs w:val="17"/>
          <w:color w:val="auto"/>
        </w:rPr>
        <w:t>, Nightingale</w:t>
      </w:r>
      <w:r>
        <w:rPr>
          <w:rFonts w:ascii="Arial" w:cs="Arial" w:eastAsia="Arial" w:hAnsi="Arial"/>
          <w:sz w:val="22"/>
          <w:szCs w:val="22"/>
          <w:color w:val="auto"/>
          <w:vertAlign w:val="superscript"/>
        </w:rPr>
        <w:t>TM</w:t>
      </w:r>
      <w:r>
        <w:rPr>
          <w:rFonts w:ascii="Arial" w:cs="Arial" w:eastAsia="Arial" w:hAnsi="Arial"/>
          <w:sz w:val="17"/>
          <w:szCs w:val="17"/>
          <w:color w:val="auto"/>
        </w:rPr>
        <w:t>, nLight</w:t>
      </w:r>
      <w:r>
        <w:rPr>
          <w:rFonts w:ascii="Arial" w:cs="Arial" w:eastAsia="Arial" w:hAnsi="Arial"/>
          <w:sz w:val="22"/>
          <w:szCs w:val="22"/>
          <w:color w:val="auto"/>
          <w:vertAlign w:val="superscript"/>
        </w:rPr>
        <w:t>®</w:t>
      </w:r>
      <w:r>
        <w:rPr>
          <w:rFonts w:ascii="Arial" w:cs="Arial" w:eastAsia="Arial" w:hAnsi="Arial"/>
          <w:sz w:val="17"/>
          <w:szCs w:val="17"/>
          <w:color w:val="auto"/>
        </w:rPr>
        <w:t>, Peerless</w:t>
      </w:r>
      <w:r>
        <w:rPr>
          <w:rFonts w:ascii="Arial" w:cs="Arial" w:eastAsia="Arial" w:hAnsi="Arial"/>
          <w:sz w:val="22"/>
          <w:szCs w:val="22"/>
          <w:color w:val="auto"/>
          <w:vertAlign w:val="superscript"/>
        </w:rPr>
        <w:t>®</w:t>
      </w:r>
      <w:r>
        <w:rPr>
          <w:rFonts w:ascii="Arial" w:cs="Arial" w:eastAsia="Arial" w:hAnsi="Arial"/>
          <w:sz w:val="17"/>
          <w:szCs w:val="17"/>
          <w:color w:val="auto"/>
        </w:rPr>
        <w:t>, RELOC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Wiring Solutions, and SensorSwitch</w:t>
      </w:r>
      <w:r>
        <w:rPr>
          <w:rFonts w:ascii="Arial" w:cs="Arial" w:eastAsia="Arial" w:hAnsi="Arial"/>
          <w:sz w:val="22"/>
          <w:szCs w:val="22"/>
          <w:color w:val="auto"/>
          <w:vertAlign w:val="superscript"/>
        </w:rPr>
        <w:t>TM</w:t>
      </w:r>
      <w:r>
        <w:rPr>
          <w:rFonts w:ascii="Arial" w:cs="Arial" w:eastAsia="Arial" w:hAnsi="Arial"/>
          <w:sz w:val="17"/>
          <w:szCs w:val="17"/>
          <w:color w:val="auto"/>
        </w:rPr>
        <w:t>.</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of ABL are located in North America and select international markets that serve new construction, renovation and retrofit, and maintenance and repair applications. Our lighting solutions are sold primarily through a network of independent sales agencies, by internal sales representatives, through electrical distributors and consumer retailers, directly to large corporate accounts, and directly to original equipment manufacturer (“OEM”) customers. Products are delivered directly from our manufacturing facilities or through a network of distribution centers.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Acuity Intelligent Spaces Segment</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AIS, through Atrius</w:t>
      </w:r>
      <w:r>
        <w:rPr>
          <w:rFonts w:ascii="Arial" w:cs="Arial" w:eastAsia="Arial" w:hAnsi="Arial"/>
          <w:sz w:val="23"/>
          <w:szCs w:val="23"/>
          <w:color w:val="auto"/>
          <w:vertAlign w:val="superscript"/>
        </w:rPr>
        <w:t>®</w:t>
      </w:r>
      <w:r>
        <w:rPr>
          <w:rFonts w:ascii="Arial" w:cs="Arial" w:eastAsia="Arial" w:hAnsi="Arial"/>
          <w:sz w:val="18"/>
          <w:szCs w:val="18"/>
          <w:color w:val="auto"/>
        </w:rPr>
        <w:t>,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and QSC</w:t>
      </w:r>
      <w:r>
        <w:rPr>
          <w:rFonts w:ascii="Arial" w:cs="Arial" w:eastAsia="Arial" w:hAnsi="Arial"/>
          <w:sz w:val="23"/>
          <w:szCs w:val="23"/>
          <w:color w:val="auto"/>
          <w:vertAlign w:val="superscript"/>
        </w:rPr>
        <w:t>®</w:t>
      </w:r>
      <w:r>
        <w:rPr>
          <w:rFonts w:ascii="Arial" w:cs="Arial" w:eastAsia="Arial" w:hAnsi="Arial"/>
          <w:sz w:val="18"/>
          <w:szCs w:val="18"/>
          <w:color w:val="auto"/>
        </w:rPr>
        <w:t>, we have unique and disruptive technologies that are driving productivity for people experiencing spaces and for the people providing those spaces. We do this through edge-with-cloud network effects, data-driven growth, a global operating model and end-customer focus.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Atrius makes data in a space accessible, usable, and actionable. Our data platform and cloud applications for building performance and spatial intelligence aim to maximize occupant and owner experiences. Our Distech Controls intelligent Building Management Systems (“BMS”) provide management of a space through controls, sensors, and software. Our open technology includes products for heating, ventilation, and air conditioning (“HVAC”), refrigeration, lighting, shades, and building access that prioritize end-user outcomes. Q-SYS, our full-stack audio, video, and control platform, unifies data, devices, and a cloud-first architecture to deliver real-time action, experiences, and insights. QSC Audio includes audio technology that enhances experiences for live entertainers and sound reinforcement professionals.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AIS goes to market primarily through system integrators. Key customer verticals include retail stores, airports, universities, enterprise campuses, sports venues, themed entertainment, and hospitality, among many other broad applications throughout North America, Europe, and other select international locations.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Inc. and its wholly-owned subsidiaries.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2026, our consolidated comprehensive income for the three and six months ended February 28, 2026 and February 28,</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2025, and our consolidated cash flows for the six months ended February 28, 2026 and February 28, 2025.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2025 and notes thereto included in our Annual Report on Form 10-K filed with the Securities and Exchange Commission (the “SEC”) on October 27, 2025 (“Form 10-K”).</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Historically, with certain exceptions, we have experienced our highest sales in the last two quarters of each fiscal year due to these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QSC, LLC</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2025, we acquired all of the equity interests of QSC, LLC (“QSC”), a leader in the design, engineering, and manufacturing of audio, video, and control solutions and services, for $1.2 billion in cash.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indebtedness.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accounted for the acquisition of QSC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We recorded acquired assets and liabilities at their acquisition date fair values. We finalized the purchase accounting for QSC during the second quarter of fiscal 2026. No measurement period adjustments were recorded during the three and six months ended February 28, 2026.</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Acquisition-related professional fees of $23.8 million were expensed as incurred in fiscal 2025, of which $14.1 million and $ 18.7 million were incurred during the three and six months ended February 28, 2025, respectively. These costs were recorded in </w:t>
      </w:r>
      <w:r>
        <w:rPr>
          <w:rFonts w:ascii="Arial" w:cs="Arial" w:eastAsia="Arial" w:hAnsi="Arial"/>
          <w:sz w:val="18"/>
          <w:szCs w:val="18"/>
          <w:i w:val="1"/>
          <w:iCs w:val="1"/>
          <w:color w:val="auto"/>
        </w:rPr>
        <w:t>Selling, 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 were reflected in our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outlines the final fair values of the assets and liabilities obtained in connection with the QSC acquisition as of January 1, 2025 (in millions):</w:t>
      </w: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 transferred:</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consideration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Identifiable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Intangible assets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identifiable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liabilities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1,240.7</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713.9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101.9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28.4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55.7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51.3</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45.8</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2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32.6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100.7</w:t>
      </w:r>
    </w:p>
    <w:p>
      <w:pPr>
        <w:spacing w:after="0" w:line="31"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9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r>
      <w:tr>
        <w:trPr>
          <w:trHeight w:val="20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identifiable net assets</w:t>
            </w: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w:t>
            </w:r>
          </w:p>
        </w:tc>
      </w:tr>
      <w:tr>
        <w:trPr>
          <w:trHeight w:val="234"/>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final fair values and useful lives of identifiable intangible assets as of January 1, 2025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 Useful</w:t>
            </w:r>
          </w:p>
        </w:tc>
        <w:tc>
          <w:tcPr>
            <w:tcW w:w="3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Arial" w:cs="Arial" w:eastAsia="Arial" w:hAnsi="Arial"/>
                <w:sz w:val="16"/>
                <w:szCs w:val="16"/>
                <w:b w:val="1"/>
                <w:bCs w:val="1"/>
                <w:color w:val="auto"/>
              </w:rPr>
              <w:t>Fair Value</w:t>
            </w:r>
          </w:p>
        </w:tc>
      </w:tr>
      <w:tr>
        <w:trPr>
          <w:trHeight w:val="216"/>
        </w:trPr>
        <w:tc>
          <w:tcPr>
            <w:tcW w:w="676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 (Years)</w:t>
            </w:r>
          </w:p>
        </w:tc>
        <w:tc>
          <w:tcPr>
            <w:tcW w:w="380" w:type="dxa"/>
            <w:vAlign w:val="bottom"/>
          </w:tcPr>
          <w:p>
            <w:pPr>
              <w:spacing w:after="0"/>
              <w:rPr>
                <w:sz w:val="18"/>
                <w:szCs w:val="18"/>
                <w:color w:val="auto"/>
              </w:rPr>
            </w:pPr>
          </w:p>
        </w:tc>
        <w:tc>
          <w:tcPr>
            <w:tcW w:w="1820" w:type="dxa"/>
            <w:vAlign w:val="bottom"/>
          </w:tcPr>
          <w:p>
            <w:pPr>
              <w:jc w:val="right"/>
              <w:ind w:right="559"/>
              <w:spacing w:after="0"/>
              <w:rPr>
                <w:sz w:val="20"/>
                <w:szCs w:val="20"/>
                <w:color w:val="auto"/>
              </w:rPr>
            </w:pPr>
            <w:r>
              <w:rPr>
                <w:rFonts w:ascii="Arial" w:cs="Arial" w:eastAsia="Arial" w:hAnsi="Arial"/>
                <w:sz w:val="16"/>
                <w:szCs w:val="16"/>
                <w:b w:val="1"/>
                <w:bCs w:val="1"/>
                <w:color w:val="auto"/>
              </w:rPr>
              <w:t>(in millions)</w:t>
            </w:r>
          </w:p>
        </w:tc>
      </w:tr>
      <w:tr>
        <w:trPr>
          <w:trHeight w:val="210"/>
        </w:trPr>
        <w:tc>
          <w:tcPr>
            <w:tcW w:w="67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Developed technology and patents</w:t>
            </w:r>
            <w:r>
              <w:rPr>
                <w:rFonts w:ascii="Arial" w:cs="Arial" w:eastAsia="Arial" w:hAnsi="Arial"/>
                <w:sz w:val="21"/>
                <w:szCs w:val="21"/>
                <w:color w:val="auto"/>
                <w:vertAlign w:val="superscript"/>
              </w:rPr>
              <w:t>(1)</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w:t>
            </w:r>
          </w:p>
        </w:tc>
      </w:tr>
      <w:tr>
        <w:trPr>
          <w:trHeight w:val="215"/>
        </w:trPr>
        <w:tc>
          <w:tcPr>
            <w:tcW w:w="67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180" w:type="dxa"/>
            <w:vAlign w:val="bottom"/>
          </w:tcPr>
          <w:p>
            <w:pPr>
              <w:jc w:val="center"/>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intangible assets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Substantially all of the developed technology intangible assets relates to Q-SYS, an audio, video, and control platform.</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Assets and liabilities for QSC have been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since the acquisition date. The goodwill is recorded in the AIS segment, and it is primarily comprised of benefits related to the expansion of AIS’ technology and audio, video, and control solution product portfolios. Approximately $350.0 million of the goodwill is deductible for tax purposes.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operating results of QSC have been included in our consolidated financial statements since the date of acquisition. The following table provides the amount of QSC net sales and net income included within our consolidated financial statements for fiscal 2025 since the acquisition date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4"/>
          </w:tcPr>
          <w:p>
            <w:pPr>
              <w:jc w:val="right"/>
              <w:ind w:right="1619"/>
              <w:spacing w:after="0"/>
              <w:rPr>
                <w:sz w:val="20"/>
                <w:szCs w:val="20"/>
                <w:color w:val="auto"/>
              </w:rPr>
            </w:pPr>
            <w:r>
              <w:rPr>
                <w:rFonts w:ascii="Arial" w:cs="Arial" w:eastAsia="Arial" w:hAnsi="Arial"/>
                <w:sz w:val="16"/>
                <w:szCs w:val="16"/>
                <w:b w:val="1"/>
                <w:bCs w:val="1"/>
                <w:color w:val="auto"/>
              </w:rPr>
              <w:t>February 28, 2025</w:t>
            </w:r>
          </w:p>
        </w:tc>
      </w:tr>
      <w:tr>
        <w:trPr>
          <w:trHeight w:val="210"/>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060" w:type="dxa"/>
            <w:vAlign w:val="bottom"/>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85"/>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5" w:lineRule="exact"/>
        <w:rPr>
          <w:sz w:val="20"/>
          <w:szCs w:val="20"/>
          <w:color w:val="auto"/>
        </w:rPr>
      </w:pPr>
    </w:p>
    <w:p>
      <w:pPr>
        <w:ind w:firstLine="8"/>
        <w:spacing w:after="0" w:line="284" w:lineRule="auto"/>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Net income includes pre-tax nonrecurring acquisition date fair value adjustments to inventory of $10.4 million and amortization of acquired intangible assets of $7.8 million for the three and six months ended February 28,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unaudited pro forma financial information for fiscal 2025 to show the impacts of the QSC acquisition to our consolidated results assuming the acquisition closed as of the first day of fiscal 2024. The unaudited pro forma information is not necessarily indicative of our results of operations had the acquisition been completed on this date, neither is it necessarily indicative of our future results. Amounts in the table below combine our previously reported results with QSC’s results for the corresponding periods as well as adjustments for purchase accounting, accounting policy alignments, changes to our capital structure, including additional interest expense associated with borrowings to fund the acquisition, and other nonrecurring items that were incurred in connection with the acquisition, assuming they occurred as of September 1, 2023 (in millions):</w:t>
      </w:r>
    </w:p>
    <w:p>
      <w:pPr>
        <w:sectPr>
          <w:pgSz w:w="11900" w:h="16838" w:orient="portrait"/>
          <w:cols w:equalWidth="0" w:num="1">
            <w:col w:w="11240"/>
          </w:cols>
          <w:pgMar w:left="320" w:top="121" w:right="339" w:bottom="1440" w:gutter="0" w:footer="0" w:header="0"/>
        </w:sectPr>
      </w:pPr>
    </w:p>
    <w:p>
      <w:pPr>
        <w:spacing w:after="0" w:line="22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Quarter-to-Date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20955</wp:posOffset>
            </wp:positionV>
            <wp:extent cx="11487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6"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February 28, 2025</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20955</wp:posOffset>
            </wp:positionV>
            <wp:extent cx="11487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6"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February 28, 2025</w:t>
      </w:r>
    </w:p>
    <w:p>
      <w:pPr>
        <w:spacing w:after="0" w:line="33" w:lineRule="exact"/>
        <w:rPr>
          <w:sz w:val="20"/>
          <w:szCs w:val="20"/>
          <w:color w:val="auto"/>
        </w:rPr>
      </w:pPr>
    </w:p>
    <w:p>
      <w:pPr>
        <w:sectPr>
          <w:pgSz w:w="11900" w:h="16838" w:orient="portrait"/>
          <w:cols w:equalWidth="0" w:num="2">
            <w:col w:w="9120" w:space="540"/>
            <w:col w:w="15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208.8</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Accounting Standards Update (</w:t>
      </w:r>
      <w:r>
        <w:rPr>
          <w:rFonts w:ascii="Arial" w:cs="Arial" w:eastAsia="Arial" w:hAnsi="Arial"/>
          <w:sz w:val="16"/>
          <w:szCs w:val="16"/>
          <w:color w:val="auto"/>
        </w:rPr>
        <w:t>“</w:t>
      </w:r>
      <w:r>
        <w:rPr>
          <w:rFonts w:ascii="Arial" w:cs="Arial" w:eastAsia="Arial" w:hAnsi="Arial"/>
          <w:sz w:val="18"/>
          <w:szCs w:val="18"/>
          <w:i w:val="1"/>
          <w:iCs w:val="1"/>
          <w:color w:val="auto"/>
        </w:rPr>
        <w:t>ASU</w:t>
      </w:r>
      <w:r>
        <w:rPr>
          <w:rFonts w:ascii="Arial" w:cs="Arial" w:eastAsia="Arial" w:hAnsi="Arial"/>
          <w:sz w:val="18"/>
          <w:szCs w:val="18"/>
          <w:color w:val="auto"/>
        </w:rPr>
        <w:t>”</w:t>
      </w:r>
      <w:r>
        <w:rPr>
          <w:rFonts w:ascii="Arial" w:cs="Arial" w:eastAsia="Arial" w:hAnsi="Arial"/>
          <w:sz w:val="18"/>
          <w:szCs w:val="18"/>
          <w:i w:val="1"/>
          <w:iCs w:val="1"/>
          <w:color w:val="auto"/>
        </w:rPr>
        <w:t>) 2025-06, Intangibles - Goodwill and Other - Internal-Use Software (Subtopic 350-40): Targeted Improvements to the Accounting for Internal-Use Software (</w:t>
      </w:r>
      <w:r>
        <w:rPr>
          <w:rFonts w:ascii="Arial" w:cs="Arial" w:eastAsia="Arial" w:hAnsi="Arial"/>
          <w:sz w:val="18"/>
          <w:szCs w:val="18"/>
          <w:color w:val="auto"/>
        </w:rPr>
        <w:t>“</w:t>
      </w:r>
      <w:r>
        <w:rPr>
          <w:rFonts w:ascii="Arial" w:cs="Arial" w:eastAsia="Arial" w:hAnsi="Arial"/>
          <w:sz w:val="18"/>
          <w:szCs w:val="18"/>
          <w:i w:val="1"/>
          <w:iCs w:val="1"/>
          <w:color w:val="auto"/>
        </w:rPr>
        <w:t>ASU 2025-06</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the Financial Accounting Standards Board (“FASB”) issued ASU 2025-06, which modernizes the accounting for internal-use software costs by aligning the guidance with incremental and iterative software development methods used today. The amendment removes all references to development stages and requires capitalization of software costs to begin once management approves funds for the project and it is probable the software will be completed and used as intended. The amendment may be applied prospectively, retrospectively, or using a modified prospective approach, and early adoption is permitted. ASU 2025-06 is effective for fiscal years beginning after December 15, 2027, or our fiscal 2029. We are currently assessing the impact of the requirements on our consolidated financial statements and disclosures.</w:t>
      </w:r>
    </w:p>
    <w:p>
      <w:pPr>
        <w:spacing w:after="0" w:line="212"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ASU 2024-03, Income Statement - Reporting Comprehensive Income - Expense Disaggregation Disclosures (Topic 220): Disaggregation of Income Statement Expenses (</w:t>
      </w:r>
      <w:r>
        <w:rPr>
          <w:rFonts w:ascii="Arial" w:cs="Arial" w:eastAsia="Arial" w:hAnsi="Arial"/>
          <w:sz w:val="18"/>
          <w:szCs w:val="18"/>
          <w:color w:val="auto"/>
        </w:rPr>
        <w:t>“</w:t>
      </w:r>
      <w:r>
        <w:rPr>
          <w:rFonts w:ascii="Arial" w:cs="Arial" w:eastAsia="Arial" w:hAnsi="Arial"/>
          <w:sz w:val="18"/>
          <w:szCs w:val="18"/>
          <w:i w:val="1"/>
          <w:iCs w:val="1"/>
          <w:color w:val="auto"/>
        </w:rPr>
        <w:t>ASU 2024-03</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2024, the FASB issued ASU 2024-03, which requires public entities to disaggregate specific types of expenses, including disclosures for purchases of inventory, employee compensation, depreciation, intangible asset amortization, and selling expenses. Annual disclosures are required for fiscal years beginning after December 15, 2026, or our fiscal 2028. Interim disclosures are required for periods within fiscal years beginning after December 15, 2027, or our fiscal 2029. Prospective application is required, and retrospective application is permitted. Early adoption is permitted. We are currently assessing the impact of the requirements on our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2023-09, Income Taxes (Topic 740): Improvements to Income Tax Disclosures (</w:t>
      </w:r>
      <w:r>
        <w:rPr>
          <w:rFonts w:ascii="Arial" w:cs="Arial" w:eastAsia="Arial" w:hAnsi="Arial"/>
          <w:sz w:val="18"/>
          <w:szCs w:val="18"/>
          <w:color w:val="auto"/>
        </w:rPr>
        <w:t>“</w:t>
      </w:r>
      <w:r>
        <w:rPr>
          <w:rFonts w:ascii="Arial" w:cs="Arial" w:eastAsia="Arial" w:hAnsi="Arial"/>
          <w:sz w:val="18"/>
          <w:szCs w:val="18"/>
          <w:i w:val="1"/>
          <w:iCs w:val="1"/>
          <w:color w:val="auto"/>
        </w:rPr>
        <w:t>ASU 2023-09</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2023-09, which expands income tax disclosure requirements to include additional information related to the rate reconciliation of our effective tax rates to statutory rates as well as additional disaggregation of taxes paid. The amendments in the ASU also remove disclosures related to certain unrecognized tax benefits and deferred taxes. The amendments may be applied prospectively or retrospectively, and early adoption is permitted. ASU 2023 -09 is effective for fiscal years beginning after December 15, 2024. We will adopt the standard as required in our annual disclosures for fiscal 2026.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 We may from time to time be required to remeasure the carrying value of certain assets and liabilities to fair value on a nonrecurring basis. Such adjustments typically arise if we determine that certain of our assets are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balances and the fair value hierarchy level of our financial instruments recorded at fair value on a recurring basis as of the dates presented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August 31, 2025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09"/>
        </w:trPr>
        <w:tc>
          <w:tcPr>
            <w:tcW w:w="2760" w:type="dxa"/>
            <w:vAlign w:val="bottom"/>
          </w:tcPr>
          <w:p>
            <w:pPr>
              <w:ind w:left="20"/>
              <w:spacing w:after="0"/>
              <w:rPr>
                <w:sz w:val="20"/>
                <w:szCs w:val="20"/>
                <w:color w:val="auto"/>
              </w:rPr>
            </w:pPr>
            <w:r>
              <w:rPr>
                <w:rFonts w:ascii="Arial" w:cs="Arial" w:eastAsia="Arial" w:hAnsi="Arial"/>
                <w:sz w:val="16"/>
                <w:szCs w:val="16"/>
                <w:color w:val="auto"/>
              </w:rPr>
              <w:t>Assets in fair value hierarchy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422.5</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investments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strategic investments in privately-held entities over which we do not exercise significant influence or control and without readily determinable fair values. Amounts are recorded at cost less any impairment adjusted for observable price changes,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for our senior unsecured public notes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$454.9 million and $446.7 million as of February 28, 2026 and August 31, 2025, respectively.</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$ 200.0 million and $400.0 million of borrowings outstanding under our Term Loan Facility (as defined herein) as of February 28, 2026 and August 31, 2025, respectively. Such borrowings are variable-rate instruments that reset on a frequent short-term basis; therefore, we estimate that any outstanding carrying values of these instruments, which are equal to their face amounts,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and other risks, the fair values of all assets and liabilities should be taken into consideration, not only those presented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2025</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Although our historical experience related to demand and market conditions have been within expectations, a significant change in customer demand, market conditions, or technology could render certain inventory obsolete and thus could have a material adverse impact on our operating results in the period the change occurs.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235.3</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equipment, and information technology</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1,096.9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(753.7)</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the third quarter of fiscal 2025, one of our assets, with a carrying value of $5.5 million, met the criteria to be classified as held for sale. This asset is reflected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It is expected to be sold within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developed technology and patents,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for definite-lived intangible assets of $24.0 million and $16.8 million during the three months ended February 28, 2026 and February 28, 2025, respectively and $47.4 million and $25.5 million during the six months ended February 28, 2026 and February 28, 2025,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AIS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2025</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1,495.5</w:t>
            </w:r>
          </w:p>
        </w:tc>
      </w:tr>
      <w:tr>
        <w:trPr>
          <w:trHeight w:val="21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February 28, 2026</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AIS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2024</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Provisional amounts from acquired businesses</w:t>
            </w:r>
          </w:p>
        </w:tc>
        <w:tc>
          <w:tcPr>
            <w:tcW w:w="1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363.5</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Balance at February 28, 2025</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1,450.3</w:t>
            </w:r>
          </w:p>
        </w:tc>
      </w:tr>
      <w:tr>
        <w:trPr>
          <w:trHeight w:val="21"/>
        </w:trPr>
        <w:tc>
          <w:tcPr>
            <w:tcW w:w="5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Product warranty costs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within our Form 10-K for additional information.</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value-added taxes.</w:t>
      </w:r>
    </w:p>
    <w:p>
      <w:pPr>
        <w:spacing w:after="0" w:line="54" w:lineRule="exact"/>
        <w:rPr>
          <w:rFonts w:ascii="Arial" w:cs="Arial" w:eastAsia="Arial" w:hAnsi="Arial"/>
          <w:sz w:val="9"/>
          <w:szCs w:val="9"/>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the </w:t>
      </w:r>
      <w:r>
        <w:rPr>
          <w:rFonts w:ascii="Arial" w:cs="Arial" w:eastAsia="Arial" w:hAnsi="Arial"/>
          <w:sz w:val="12"/>
          <w:szCs w:val="12"/>
          <w:i w:val="1"/>
          <w:iCs w:val="1"/>
          <w:color w:val="auto"/>
        </w:rPr>
        <w:t>Debt and Lines of Credit</w:t>
      </w:r>
      <w:r>
        <w:rPr>
          <w:rFonts w:ascii="Arial" w:cs="Arial" w:eastAsia="Arial" w:hAnsi="Arial"/>
          <w:sz w:val="12"/>
          <w:szCs w:val="12"/>
          <w:color w:val="auto"/>
        </w:rPr>
        <w:t xml:space="preserve"> footnote of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a wholly-owned operating subsidiary of Acuity Inc., issued $500.0 million aggregate principal amount of 2.150% senior unsecured notes due December 15, 2030 (the “Unsecured Notes”) at a price equal to 99.737% of their face value. Interest on the Unsecured Notes is paid semi-annually in arrears on June 15 and December 15 of each year. At issuance we recorded $ 4.8 million of deferred issuance costs related to the Unsecured Notes as a direct deduction from the face amount of the Unsecured Notes. These issuance costs are amortized over the 10-year term of the Unsecured Notes.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Inc. and ABL IP Holding LLC, a wholly-owned subsidiary of Acuity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outstanding under the Revolving Credit Facility at February 28, 2026 and August 31, 2025.</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25, 2024, we entered into an amendment to the Credit Agreement that, among other things, provided for a delayed draw term loan facility of up to $600.0 million (the “Term Loan Facility”), which could be drawn in a single borrowing at any time, subject to certain conditions. In connection with the acquisition of QSC, we incurred an aggregate $600.0 million in indebtedness under the Term Loan Facility. In fiscal 2025, we voluntarily repaid $200.0 million of the outstanding obligation. In the first six months of fiscal 2026, we voluntarily repaid an additional $200.0 million of the outstanding obligation. We had borrowings outstanding under the Term Loan Facility of $200.0 million and $400.0 million at February 28, 2026 and August 31, 2025, respectively.</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will mature on June 30, 2027, which is the maturity date of the revolving loans and commitments under the existing Credit Agreement. Borrowings under the Term Loan Facility bear interest at an adjusted term Secured Overnight Financing Rate (“SOFR”), adjusted daily simple SOFR rate, or base rate, at the Company’s option, plus an applicable margin. The applicable margin is based on, at our option, the Company’s leverage ratio or ratings level, each as defined in the Credit Agreement, and ranges from 0.875% to 1.375% (for SOFR-based loans) and from 0.0% to 0.375% (for base rate loans).</w:t>
      </w:r>
    </w:p>
    <w:p>
      <w:pPr>
        <w:spacing w:after="0" w:line="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covenants and events of default that apply to the revolving loans and commitments under the Credit Agreement also apply to the Term Loan Facility, and borrowings under the Term Loan Facility are guaranteed by the Company and the subsidiaries of the Company that guarantee the revolving loans and commitments.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the periods presented. At February 28, 2026, we had additional borrowing capacity under the Credit Agreement of $593.4 million under the most restrictive covenant in effect at the time, which represents the full amount of the Revolving Credit Facility less outstanding letters of credit of $6.6 million issued under the Revolving Credit Facility, primarily for securing collateral requirements under our casualty insurance policies.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None of our existing debt instruments include provisions that would require an acceleration of repayments based solely on changes in our credit ratings. 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28, 2026,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products generally have a standard warranty term of five years or less that assures our products comply with agreed upon specifications. We record an accrual for the estimated amount of future warranty costs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when the related revenue is recognized and when costs are deemed to be probable and can be reasonably estimated. Liabilities related to product warranty costs are subject to uncertainty because they require estimates of future costs. Estimated future warranty costs are primarily based on historical experience, including the number and costs of identified warranty claims as well as the period of time between the shipment of products and our settlement of related claims.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 Recoveries are recorded net of allowances for credit losses.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assume that historical experience will continue to be the best indicator of future warranty costs, we cannot assure that future warranty costs will not exceed historical amounts, and/or loss recoveries will be fully collectible. If actual future warranty costs exceed recorded amounts, or recoveries are no longer collectible, adjustments to our accruals and/or receivables may be warranted, which could have a material adverse impact on our results of operations and cash flows.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based upon when we expect to settle the incurred warranty. The following table summarizes changes in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product warranty costs, excluding any estimated or actual lost recoveries,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Product warranty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Acquired warranty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Six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February 28, 2025</w:t>
            </w:r>
          </w:p>
        </w:tc>
      </w:tr>
      <w:tr>
        <w:trPr>
          <w:trHeight w:val="208"/>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7"/>
        </w:trPr>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-736600</wp:posOffset>
            </wp:positionV>
            <wp:extent cx="710628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-453390</wp:posOffset>
            </wp:positionV>
            <wp:extent cx="71062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10628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5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2,724.9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64"/>
        </w:trPr>
        <w:tc>
          <w:tcPr>
            <w:tcW w:w="4580" w:type="dxa"/>
            <w:vAlign w:val="bottom"/>
          </w:tcPr>
          <w:p>
            <w:pPr>
              <w:ind w:left="20"/>
              <w:spacing w:after="0"/>
              <w:rPr>
                <w:sz w:val="20"/>
                <w:szCs w:val="20"/>
                <w:color w:val="auto"/>
              </w:rPr>
            </w:pPr>
            <w:r>
              <w:rPr>
                <w:rFonts w:ascii="Arial" w:cs="Arial" w:eastAsia="Arial" w:hAnsi="Arial"/>
                <w:sz w:val="13"/>
                <w:szCs w:val="13"/>
                <w:color w:val="auto"/>
              </w:rPr>
              <w:t>Balance, November 30, 2025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1,151.0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4,401.0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2,794.0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21"/>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Stock options exercised and 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$0.20 per share paid on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3,909.8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Cash dividends of $0.15 per share paid on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4"/>
        </w:trPr>
        <w:tc>
          <w:tcPr>
            <w:tcW w:w="4580" w:type="dxa"/>
            <w:vAlign w:val="bottom"/>
          </w:tcPr>
          <w:p>
            <w:pPr>
              <w:ind w:left="20"/>
              <w:spacing w:after="0"/>
              <w:rPr>
                <w:sz w:val="20"/>
                <w:szCs w:val="20"/>
                <w:color w:val="auto"/>
              </w:rPr>
            </w:pPr>
            <w:r>
              <w:rPr>
                <w:rFonts w:ascii="Arial" w:cs="Arial" w:eastAsia="Arial" w:hAnsi="Arial"/>
                <w:sz w:val="13"/>
                <w:szCs w:val="13"/>
                <w:color w:val="auto"/>
              </w:rPr>
              <w:t>Balance, November 30, 2024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1,120.5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4,012.0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(2,537.9)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2,463.4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Stock options exercised and other</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$0.17 per share paid on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1"/>
        </w:trPr>
        <w:tc>
          <w:tcPr>
            <w:tcW w:w="458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right="6960" w:firstLine="8"/>
        <w:spacing w:after="0" w:line="246"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Share activity and balances above are calculated using rounded numbers. * Represents shares of less than 0.1 million.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2026</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38.0</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upfront fees collected for service-type warranties, time-bound software licenses, software as a service arrangements, and professional fees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Revenue recognized from beginning balances of contract liabilities during the six months ended February 28, 2026 totaled $13.7 million.</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years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February 28, 2026 and consist primarily of orders for physical goods that have not yet been shipped.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luminaires and electronics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AIS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5"/>
          </w:tcPr>
          <w:p>
            <w:pPr>
              <w:ind w:left="11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February 28, 2025</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2026</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2025</w:t>
            </w:r>
          </w:p>
        </w:tc>
      </w:tr>
      <w:tr>
        <w:trPr>
          <w:trHeight w:val="19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24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5"/>
        </w:trPr>
        <w:tc>
          <w:tcPr>
            <w:tcW w:w="31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616.7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615.2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1,283.0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1,259.1</w:t>
            </w:r>
          </w:p>
        </w:tc>
      </w:tr>
      <w:tr>
        <w:trPr>
          <w:trHeight w:val="217"/>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r>
      <w:tr>
        <w:trPr>
          <w:trHeight w:val="215"/>
        </w:trPr>
        <w:tc>
          <w:tcPr>
            <w:tcW w:w="31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17"/>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15"/>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1,726.6</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AIS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248.1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1,957.9</w:t>
            </w:r>
          </w:p>
        </w:tc>
      </w:tr>
      <w:tr>
        <w:trPr>
          <w:trHeight w:val="21"/>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restricted stock, performance stock units, and stock options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60" w:type="dxa"/>
            <w:vAlign w:val="bottom"/>
            <w:gridSpan w:val="5"/>
          </w:tcPr>
          <w:p>
            <w:pPr>
              <w:ind w:left="11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2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February 28, 2025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2025</w:t>
            </w: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fixed income and equity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40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February 28, 2026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February 28, 2025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2026</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2025</w:t>
            </w: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760" w:type="dxa"/>
            <w:vAlign w:val="bottom"/>
            <w:tcBorders>
              <w:top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1.0</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Administrative cost</w:t>
            </w:r>
          </w:p>
        </w:tc>
        <w:tc>
          <w:tcPr>
            <w:tcW w:w="17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center"/>
              <w:ind w:left="1199"/>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w w:val="98"/>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7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7"/>
              </w:rPr>
              <w:t>(0.8)</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7"/>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179"/>
              <w:spacing w:after="0"/>
              <w:rPr>
                <w:sz w:val="20"/>
                <w:szCs w:val="20"/>
                <w:color w:val="auto"/>
              </w:rPr>
            </w:pPr>
            <w:r>
              <w:rPr>
                <w:rFonts w:ascii="Arial" w:cs="Arial" w:eastAsia="Arial" w:hAnsi="Arial"/>
                <w:sz w:val="16"/>
                <w:szCs w:val="16"/>
                <w:color w:val="auto"/>
                <w:w w:val="97"/>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80" w:type="dxa"/>
            <w:vAlign w:val="bottom"/>
          </w:tcPr>
          <w:p>
            <w:pPr>
              <w:spacing w:after="0"/>
              <w:rPr>
                <w:sz w:val="18"/>
                <w:szCs w:val="18"/>
                <w:color w:val="auto"/>
              </w:rPr>
            </w:pPr>
          </w:p>
        </w:tc>
        <w:tc>
          <w:tcPr>
            <w:tcW w:w="178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3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second fiscal quarter of 2026, we recognized pre-tax special charges consisting of employee severance costs of $ 5.9 million related to productivity improvements in our ABL segment. These charges primarily related to labor cost reductions. We recognized no special charges during the three and six months ended February 28, 2025.</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 of February 28, 2026, remaining accruals related to special charges totaled $4.9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amounts related to unpaid severance and employee-related costs from our second quarter fiscal 2026</w:t>
      </w:r>
      <w:r>
        <w:rPr>
          <w:rFonts w:ascii="Arial" w:cs="Arial" w:eastAsia="Arial" w:hAnsi="Arial"/>
          <w:sz w:val="18"/>
          <w:szCs w:val="18"/>
          <w:i w:val="1"/>
          <w:iCs w:val="1"/>
          <w:color w:val="auto"/>
        </w:rPr>
        <w:t xml:space="preserve"> </w:t>
      </w:r>
      <w:r>
        <w:rPr>
          <w:rFonts w:ascii="Arial" w:cs="Arial" w:eastAsia="Arial" w:hAnsi="Arial"/>
          <w:sz w:val="18"/>
          <w:szCs w:val="18"/>
          <w:color w:val="auto"/>
        </w:rPr>
        <w:t>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w:t>
      </w:r>
      <w:r>
        <w:rPr>
          <w:rFonts w:ascii="Arial" w:cs="Arial" w:eastAsia="Arial" w:hAnsi="Arial"/>
          <w:sz w:val="18"/>
          <w:szCs w:val="18"/>
          <w:i w:val="1"/>
          <w:iCs w:val="1"/>
          <w:color w:val="auto"/>
        </w:rPr>
        <w:t>ther expense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xml:space="preserve">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2026</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2025</w:t>
            </w:r>
          </w:p>
        </w:tc>
        <w:tc>
          <w:tcPr>
            <w:tcW w:w="16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2026</w:t>
            </w:r>
          </w:p>
        </w:tc>
        <w:tc>
          <w:tcPr>
            <w:tcW w:w="160" w:type="dxa"/>
            <w:vAlign w:val="bottom"/>
          </w:tcPr>
          <w:p>
            <w:pPr>
              <w:spacing w:after="0"/>
              <w:rPr>
                <w:sz w:val="17"/>
                <w:szCs w:val="17"/>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rPr>
              <w:t>February 28, 2025</w:t>
            </w:r>
          </w:p>
        </w:tc>
      </w:tr>
      <w:tr>
        <w:trPr>
          <w:trHeight w:val="18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(income), net:</w:t>
            </w:r>
          </w:p>
        </w:tc>
        <w:tc>
          <w:tcPr>
            <w:tcW w:w="1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198"/>
        </w:trPr>
        <w:tc>
          <w:tcPr>
            <w:tcW w:w="44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7"/>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448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(income) expense, net: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8"/>
        </w:trPr>
        <w:tc>
          <w:tcPr>
            <w:tcW w:w="4480" w:type="dxa"/>
            <w:vAlign w:val="bottom"/>
          </w:tcPr>
          <w:p>
            <w:pPr>
              <w:ind w:left="140"/>
              <w:spacing w:after="0"/>
              <w:rPr>
                <w:sz w:val="20"/>
                <w:szCs w:val="20"/>
                <w:color w:val="auto"/>
              </w:rPr>
            </w:pPr>
            <w:r>
              <w:rPr>
                <w:rFonts w:ascii="Arial" w:cs="Arial" w:eastAsia="Arial" w:hAnsi="Arial"/>
                <w:sz w:val="14"/>
                <w:szCs w:val="14"/>
                <w:color w:val="auto"/>
              </w:rPr>
              <w:t>Non-service components of net periodic pension cost</w:t>
            </w:r>
          </w:p>
        </w:tc>
        <w:tc>
          <w:tcPr>
            <w:tcW w:w="1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transaction losses (gains)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items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4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2026</w:t>
            </w: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2025</w:t>
            </w: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2026</w:t>
            </w:r>
          </w:p>
        </w:tc>
        <w:tc>
          <w:tcPr>
            <w:tcW w:w="160" w:type="dxa"/>
            <w:vAlign w:val="bottom"/>
          </w:tcPr>
          <w:p>
            <w:pPr>
              <w:spacing w:after="0"/>
              <w:rPr>
                <w:sz w:val="17"/>
                <w:szCs w:val="17"/>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rPr>
              <w:t>February 28, 2025</w:t>
            </w:r>
          </w:p>
        </w:tc>
        <w:tc>
          <w:tcPr>
            <w:tcW w:w="0" w:type="dxa"/>
            <w:vAlign w:val="bottom"/>
          </w:tcPr>
          <w:p>
            <w:pPr>
              <w:spacing w:after="0"/>
              <w:rPr>
                <w:sz w:val="1"/>
                <w:szCs w:val="1"/>
                <w:color w:val="auto"/>
              </w:rPr>
            </w:pPr>
          </w:p>
        </w:tc>
      </w:tr>
      <w:tr>
        <w:trPr>
          <w:trHeight w:val="22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30.630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30.999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30.660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30.957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0.785</w:t>
            </w: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31.742</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tcPr>
          <w:p>
            <w:pPr>
              <w:ind w:left="2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9"/>
                <w:szCs w:val="9"/>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 options, performance stock awards, and restricted stock awards that were excluded from the diluted earnings per share calculation as the effect of inclusion would have been antidilutive were immaterial for the three and six months ended February 28, 2026 and February 28, 2025.</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(loss) income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2025</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Items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2024</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0" w:lineRule="exact"/>
        <w:rPr>
          <w:sz w:val="20"/>
          <w:szCs w:val="20"/>
          <w:color w:val="auto"/>
        </w:rPr>
      </w:pPr>
    </w:p>
    <w:p>
      <w:pPr>
        <w:ind w:firstLine="8"/>
        <w:spacing w:after="0" w:line="291" w:lineRule="auto"/>
        <w:tabs>
          <w:tab w:leader="none" w:pos="122"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 xml:space="preserve">The before tax amounts of the defined benefit pension plan items are included in net periodic pension cost. See the </w:t>
      </w:r>
      <w:r>
        <w:rPr>
          <w:rFonts w:ascii="Arial" w:cs="Arial" w:eastAsia="Arial" w:hAnsi="Arial"/>
          <w:sz w:val="11"/>
          <w:szCs w:val="11"/>
          <w:i w:val="1"/>
          <w:iCs w:val="1"/>
          <w:color w:val="auto"/>
        </w:rPr>
        <w:t>Pension and Defined Contribution Plans</w:t>
      </w:r>
      <w:r>
        <w:rPr>
          <w:rFonts w:ascii="Arial" w:cs="Arial" w:eastAsia="Arial" w:hAnsi="Arial"/>
          <w:sz w:val="11"/>
          <w:szCs w:val="11"/>
          <w:color w:val="auto"/>
        </w:rPr>
        <w:t xml:space="preserve"> footnote of the </w:t>
      </w:r>
      <w:r>
        <w:rPr>
          <w:rFonts w:ascii="Arial" w:cs="Arial" w:eastAsia="Arial" w:hAnsi="Arial"/>
          <w:sz w:val="11"/>
          <w:szCs w:val="11"/>
          <w:i w:val="1"/>
          <w:iCs w:val="1"/>
          <w:color w:val="auto"/>
        </w:rPr>
        <w:t>Notes to Consolidated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for additional details.</w:t>
      </w:r>
    </w:p>
    <w:p>
      <w:pPr>
        <w:spacing w:after="0" w:line="83"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2025</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Actuarial losses on defined benefit pension plans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report our financial results of operations in two reportable segments, ABL and AIS, consistent with how our chief operating decision maker (“CODM”), Neil Ashe, Chairman, President and Chief Executive Officer, evaluates operating results, assesses performance, and allocates resources within the Company. See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further details on how we identify our reportable segments.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both segments, our CODM uses segment operating profit as the measurement of segment profit to allocate resources and assess performance. Our CODM considers target-to-actual differences in operating profit when making decisions on how to allocate capital and resources. Additionally, he considers segment operating profit when evaluating employee compensation and personnel allocations.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allocate certain working capital assets and capital expenditures to our segments primarily to assess each segment's contribution to our consolidated operating cash flows and capital expenditures. Segment assets include accounts receivable and inventory. Unallocated assets are presented in corporate as a reconciling item to our total consolidated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segments. These include expenses related to governance, policy setting, compliance, and certain other shared services functions. Additionally, net interest expense, net miscellaneous expense, and income tax expense are not allocated to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February 28, 2026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AIS</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1,055.7</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900"/>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line="20" w:lineRule="exact"/>
              <w:rPr>
                <w:sz w:val="1"/>
                <w:szCs w:val="1"/>
                <w:color w:val="auto"/>
              </w:rPr>
            </w:pPr>
          </w:p>
        </w:tc>
      </w:tr>
      <w:tr>
        <w:trPr>
          <w:trHeight w:val="146"/>
        </w:trPr>
        <w:tc>
          <w:tcPr>
            <w:tcW w:w="39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4,558.5</w:t>
            </w:r>
          </w:p>
        </w:tc>
        <w:tc>
          <w:tcPr>
            <w:tcW w:w="0" w:type="dxa"/>
            <w:vAlign w:val="bottom"/>
          </w:tcPr>
          <w:p>
            <w:pPr>
              <w:spacing w:after="0"/>
              <w:rPr>
                <w:sz w:val="1"/>
                <w:szCs w:val="1"/>
                <w:color w:val="auto"/>
              </w:rPr>
            </w:pPr>
          </w:p>
        </w:tc>
      </w:tr>
      <w:tr>
        <w:trPr>
          <w:trHeight w:val="195"/>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February 28, 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AIS</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1,006.3</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462.6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900"/>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7"/>
                <w:szCs w:val="17"/>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 net</w:t>
            </w:r>
          </w:p>
        </w:tc>
        <w:tc>
          <w:tcPr>
            <w:tcW w:w="9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Segment assets</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834.8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3,532.2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4,581.7</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Six Months Ended February 28, 2026</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AIS</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1,712.5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2,199.4</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938.1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1,125.2</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line="20" w:lineRule="exact"/>
              <w:rPr>
                <w:sz w:val="1"/>
                <w:szCs w:val="1"/>
                <w:color w:val="auto"/>
              </w:rPr>
            </w:pPr>
          </w:p>
        </w:tc>
      </w:tr>
      <w:tr>
        <w:trPr>
          <w:trHeight w:val="146"/>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4,558.5</w:t>
            </w:r>
          </w:p>
        </w:tc>
        <w:tc>
          <w:tcPr>
            <w:tcW w:w="0" w:type="dxa"/>
            <w:vAlign w:val="bottom"/>
          </w:tcPr>
          <w:p>
            <w:pPr>
              <w:spacing w:after="0"/>
              <w:rPr>
                <w:sz w:val="1"/>
                <w:szCs w:val="1"/>
                <w:color w:val="auto"/>
              </w:rPr>
            </w:pPr>
          </w:p>
        </w:tc>
      </w:tr>
      <w:tr>
        <w:trPr>
          <w:trHeight w:val="194"/>
        </w:trPr>
        <w:tc>
          <w:tcPr>
            <w:tcW w:w="3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Six Months Ended February 28, 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ABL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AIS</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1,726.6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1,957.9</w:t>
            </w: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942.2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1,040.6</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673.8</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7"/>
                <w:szCs w:val="17"/>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 net</w:t>
            </w:r>
          </w:p>
        </w:tc>
        <w:tc>
          <w:tcPr>
            <w:tcW w:w="8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4"/>
                <w:szCs w:val="14"/>
                <w:color w:val="auto"/>
              </w:rPr>
              <w:t>Segment assets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834.8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3,532.2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4,581.7</w:t>
            </w: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Inc. (referred to herein as “we,” “our,” “us,” the “Company,” or similar references) and its subsidiaries as of February 28, 2026 and for the three and six months ended February 28, 2026 and February 28, 2025.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Inc.'s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2025, filed with the Securities and Exchange Commission (the “SEC”) on October 27, 2025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light, and more things to come. Through our two business segments, Acuity Brands Lighting (“ABL”) and Acuity Intelligent Spaces (“AIS”),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Both ABL and AIS exhibit some seasonality, with net sales being affected by business days, weather and seasonal demand on construction and installation programs, particularly during the winter months, and the annual budget cycles of major customers. Historically, with certain exceptions, we have experienced our highest sales in the last two quarters of each fiscal year due to these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pay a dividend, and to make share repurchases. Sufficient cash flow generation is also critical to fund our operations in the short and long term and to maintain compliance with covenants contained in our financing agreements.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outstanding debt, accounts payable, accrued employee compensation,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Refer to</w:t>
      </w:r>
      <w:r>
        <w:rPr>
          <w:rFonts w:ascii="Arial" w:cs="Arial" w:eastAsia="Arial" w:hAnsi="Arial"/>
          <w:sz w:val="18"/>
          <w:szCs w:val="18"/>
          <w:i w:val="1"/>
          <w:iCs w:val="1"/>
          <w:color w:val="auto"/>
        </w:rPr>
        <w:t xml:space="preserve"> Financing Arrangements </w:t>
      </w:r>
      <w:r>
        <w:rPr>
          <w:rFonts w:ascii="Arial" w:cs="Arial" w:eastAsia="Arial" w:hAnsi="Arial"/>
          <w:sz w:val="18"/>
          <w:szCs w:val="18"/>
          <w:color w:val="auto"/>
        </w:rPr>
        <w:t>below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significant changes to our contractual obligations for the first six months of fiscal 2026.</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borrowing availability under financing arrangements, and current access to capital markets.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position at February 28, 2026 was $272.5 million, a decrease of $150.0 million from August 31, 2025. Cash generated from operating activities and cash on hand were used during the current year to voluntarily repay $200.0 million of borrowings on our Term Loan Facility (as defined below) as well as to fund our capital allocation priorities as discussed below.</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$229.9 million of cash flows from operating activities during the six months ended February 28, 2026, compared to $ 191.6 million in the prior-year period, an increase of $38.3 million. Cash flows from operations increased due primarily to higher profit and lower income tax payments, partially offset by the timing of payments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inventory purchases. The decline in income tax payments is due primarily to the treatment for current and prior capitalized domestic research and development costs provided by recent tax law changes.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2.150% senior unsecured notes due December 15, 2030 (the “Unsecured Notes”), the terms of our five-year unsecured revolving credit facility (“Revolving Credit Facility”), and the terms of our unsecured term loan facility (“Term Loan Facility”) due June 30, 2027.</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February 28, 2026, our outstanding debt balance was $697.1 million, which consisted of our Unsecured Notes and borrowings on our Term Loan Facility, compared to our cash position of $272.5 million. We were in compliance with all covenants under our financing arrangements as of February 28, 2026.</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Inc. The Unsecured Notes are fully and unconditionally guaranteed on a senior unsecured basis by Acuity Inc. and ABL IP Holding LLC, a wholly-owned subsidiary of Acuity Inc. The following tables present summarized financial information for Acuity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2025</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303.5</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1,369.4</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604.0</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due to non-guarantor affiliates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1,138.4</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 February</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99"/>
              <w:spacing w:after="0"/>
              <w:rPr>
                <w:sz w:val="20"/>
                <w:szCs w:val="20"/>
                <w:color w:val="auto"/>
              </w:rPr>
            </w:pPr>
            <w:r>
              <w:rPr>
                <w:rFonts w:ascii="Arial" w:cs="Arial" w:eastAsia="Arial" w:hAnsi="Arial"/>
                <w:sz w:val="16"/>
                <w:szCs w:val="16"/>
                <w:b w:val="1"/>
                <w:bCs w:val="1"/>
                <w:color w:val="auto"/>
              </w:rPr>
              <w:t>28, 2026</w:t>
            </w:r>
          </w:p>
        </w:tc>
        <w:tc>
          <w:tcPr>
            <w:tcW w:w="0" w:type="dxa"/>
            <w:vAlign w:val="bottom"/>
          </w:tcPr>
          <w:p>
            <w:pPr>
              <w:spacing w:after="0"/>
              <w:rPr>
                <w:sz w:val="1"/>
                <w:szCs w:val="1"/>
                <w:color w:val="auto"/>
              </w:rPr>
            </w:pPr>
          </w:p>
        </w:tc>
      </w:tr>
      <w:tr>
        <w:trPr>
          <w:trHeight w:val="209"/>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1,599.8</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first six months of fiscal 2026, we voluntarily repaid $200.0 million of our outstanding Term Loan Facility obligation. As of February 28, 2026, we had $200.0 million in remaining borrowings outstanding under the Term Loan Facility.</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February 28, 2026, we had additional borrowing capacity under the Credit Agreement of $593.4 million under the most restrictive covenant in effect at the time, which represents the full amount of the Revolving Credit Facility of $600.0 million less outstanding letters of credit of $6.6 million issued under the Revolving Credit Facility, primarily for securing collateral requirements under our casualty insurance policies. As of February 28, 2026, our cash on hand combined with the additional borrowing capacity under the Revolving Credit Facility totaled $865.9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pay a dividend, and to make share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$41.8 million and $28.6 million in property, plant, and equipment during the six months ended February 28, 2026 and February 28, 2025, respectively. We invested primarily in new and enhanced equipment, information technology, tooling, and facility improvements in fiscal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seek opportunities to strategically expand and enhance our portfolio of solutions.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QSC, LLC</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2025, we acquired all of the equity interests of QSC, LLC (“QSC”), a leader in the design, engineering, and manufacturing of audio, video, and control solutions and services, for $ 1.2 billion. This acquisition expanded AIS into a cloud-manageable audio, video, and control platform that includes controls, sensors, and software with broad applications across multiple end-markets including education, commercial, hospitality, government, healthcare, and transportation. We funded the transaction using cash on hand and proceeds from our Term Loan Facility. The operating results, assets, liabilities, and cash flows of QSC have been included in our consolidated financial statements since the date of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$ 11.6 million ($ 0.37 per share) and $10.0 million ($0.32 per share) during the six months ended February 28, 2026 and February 28, 2025,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first six months of fiscal 2026 and 2025, we repurchased approximately 0.3 million shares and 0.1 million shares of our outstanding common stock for $105.5 million and $21.5 million, respectively.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cash outflows for share repurchases during the six months ended February 28, 2026 and February 28, 2025 were $103.0 million and $22.6 million, respectively.</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to repurchase shares on an opportunistic basis subject to various factors including stock price, Company performance, market conditions, and other possible uses of cash. As of February 28, 2026, 3.0 million shares remained available within the program to repurchase.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29"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On February 20, 2026, the U.S. Supreme Court issued a ruling addressing the validity of certain tariffs implemented under the International Emergency Economic Powers Act (“IEEPA”). In March 2026, the U.S. Court of International Trade Court issued an additional ruling that importers that paid tariffs under IEEPA are due refunds. While we have paid tariffs on certain imported products and materials that were subject to these IEEPA</w:t>
      </w:r>
      <w:r>
        <w:rPr>
          <w:rFonts w:ascii="MS PGothic" w:cs="MS PGothic" w:eastAsia="MS PGothic" w:hAnsi="MS PGothic"/>
          <w:sz w:val="18"/>
          <w:szCs w:val="18"/>
          <w:color w:val="auto"/>
        </w:rPr>
        <w:t>‑</w:t>
      </w:r>
      <w:r>
        <w:rPr>
          <w:rFonts w:ascii="Arial" w:cs="Arial" w:eastAsia="Arial" w:hAnsi="Arial"/>
          <w:sz w:val="18"/>
          <w:szCs w:val="18"/>
          <w:color w:val="auto"/>
        </w:rPr>
        <w:t>based duties, the nature, timing, and extent of any such refunds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2026 Compared with Second Quarter of Fiscal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2025 (in millions except per-share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2025</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1,055.7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535.3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900" w:type="dxa"/>
            <w:vAlign w:val="bottom"/>
            <w:tcBorders>
              <w:bottom w:val="single" w:sz="8" w:color="CCEEFF"/>
            </w:tcBorders>
            <w:gridSpan w:val="3"/>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520.4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49.3 %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46.5 %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280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381.5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133.0</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110.2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7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12.6 %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160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4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10.2 %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140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21.2 %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24.2 %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96.8</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0.64</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Fiscal 2025 includes $10.4 million in acquisition date fair value adjustments to inventory for the QSC acquisition.</w:t>
      </w:r>
    </w:p>
    <w:p>
      <w:pPr>
        <w:spacing w:after="0" w:line="5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Fiscal 2025 includes $14.1 million in acquisition-related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second quarter of fiscal 2026 increased $49.4 million, or 4.9%, to $1.06 billion, compared with $1.01 billion in the prior-year period due primarily to an increase in sales in our AIS segment, driven by the acquisition of QSC, as well as higher net sales of our Distech products. This increase was partially offset by a decrease in net sales in our ABL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second quarter of fiscal 2026 was $520.4 million (49.3% of net sales), compared with $468.0 million (46.5% of net sales) for the prior-year period, an increase of $52.4 million, or 11.2%. This increase was due primarily to contributions from the QSC acquisition as well as the fall through of higher net sales of our Distech products. The improvement at AIS was partially offset by lower gross profit at ABL.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second quarter of fiscal 2026 were $381.5 million, compared with $357.8 million in the prior-year period, an increase of $23.7 million, or 6.6%. The increase in SD&amp;A expenses was due primarily to amounts related to the QSC acquisition, including higher employee-related costs and higher amortization from acquired intangibles, partially offset by acquisition-related professional fees that did not recur in fiscal 2026.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special charges totaling $5.9 million during the second quarter of fiscal 2026, which consisted of employee severance costs related to productivity improvements in our ABL segment. These charges primarily related to labor cost reductions.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second quarter of fiscal 2026 was $133.0 million (12.6% of net sales), compared with $ 110.2 million (11.0% of net sales) for the prior-year period, an increase of $22.8 million, or 20.7%. The increase in operating profit was due to higher gross profit, partially offset by higher SD&amp;A expenses and the recognition of special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$7.0 million and $6.9 million for the second quarter of fiscal 2026 and 2025, respectively. Net interest expense increased year over year as lower interest income was partially offset by a decline in interest expense. These changes reflect both lower outstanding cash balances as well as lower outstanding borrowings on our Term Loan during the second quarter of fiscal 2026.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 We reported net miscellaneous expense of $3.1 million and $1.0 million for the second quarter of fiscal 2026 and 2025,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effective income tax rate was 21.2% and 24.2% for the second quarter of fiscal 2026 and 2025, respectively. This decrease primarily reflects discrete items recognized in the second quarter of fiscal 2026 that were not present in the prior year.</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second quarter of fiscal 2026 increased $19.3 million, or 24.9%, to $96.8 million, from $77.5 million reported for the prior-year period. This increase was due primarily to higher operating profit. Diluted earnings per share for the second quarter of fiscal 2026 increased $0.64, or 26.1%, to $3.09 compared with diluted earnings per share of $2.45 for the prior-year period. This increase reflects higher net income as well as lower outstanding diluted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AIS,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2026 and February 28, 2025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2026</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2025</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 (Decrease)</w:t>
            </w:r>
          </w:p>
        </w:tc>
        <w:tc>
          <w:tcPr>
            <w:tcW w:w="1560" w:type="dxa"/>
            <w:vAlign w:val="bottom"/>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18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817.4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840.6</w:t>
            </w:r>
          </w:p>
        </w:tc>
        <w:tc>
          <w:tcPr>
            <w:tcW w:w="10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378.0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480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45.7 %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45.0 %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tcPr>
          <w:p>
            <w:pPr>
              <w:spacing w:after="0"/>
              <w:rPr>
                <w:sz w:val="17"/>
                <w:szCs w:val="17"/>
                <w:color w:val="auto"/>
              </w:rPr>
            </w:pPr>
          </w:p>
        </w:tc>
        <w:tc>
          <w:tcPr>
            <w:tcW w:w="1560" w:type="dxa"/>
            <w:vAlign w:val="bottom"/>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8"/>
        </w:trPr>
        <w:tc>
          <w:tcPr>
            <w:tcW w:w="480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15.3 %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15.5 %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tcPr>
          <w:p>
            <w:pPr>
              <w:spacing w:after="0"/>
              <w:rPr>
                <w:sz w:val="17"/>
                <w:szCs w:val="17"/>
                <w:color w:val="auto"/>
              </w:rPr>
            </w:pPr>
          </w:p>
        </w:tc>
        <w:tc>
          <w:tcPr>
            <w:tcW w:w="1560" w:type="dxa"/>
            <w:vAlign w:val="bottom"/>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274"/>
        </w:trPr>
        <w:tc>
          <w:tcPr>
            <w:tcW w:w="4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02"/>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AIS: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44.7 %</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62.9 %</w:t>
            </w:r>
          </w:p>
        </w:tc>
      </w:tr>
      <w:tr>
        <w:trPr>
          <w:trHeight w:val="207"/>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52.5 %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660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4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185.9 %</w:t>
            </w:r>
          </w:p>
        </w:tc>
      </w:tr>
      <w:tr>
        <w:trPr>
          <w:trHeight w:val="207"/>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11.4 %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5.8 %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48"/>
              <w:spacing w:after="0"/>
              <w:rPr>
                <w:sz w:val="20"/>
                <w:szCs w:val="20"/>
                <w:color w:val="auto"/>
              </w:rPr>
            </w:pPr>
            <w:r>
              <w:rPr>
                <w:rFonts w:ascii="Arial" w:cs="Arial" w:eastAsia="Arial" w:hAnsi="Arial"/>
                <w:sz w:val="14"/>
                <w:szCs w:val="14"/>
                <w:i w:val="1"/>
                <w:iCs w:val="1"/>
                <w:color w:val="auto"/>
                <w:w w:val="97"/>
              </w:rPr>
              <w:t>bps</w:t>
            </w: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second quarter of fiscal 2026 decreased 2.8% compared with the prior-year period. This decrease was due primarily to lower net sales within the direct sales network, due in part from project business that did not recur, partially offset by higher net sales within the corporate accounts channel.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gross profit was $373.8 million (45.7% of ABL net sales) for the second quarter of fiscal 2026, compared with $378.0 million (45.0% of ABL net sales) in the prior-year period, a decrease of $4.2 million. The decrease in gross profit was due primarily to the fall through of lower net sales and higher tariff costs, partially offset by product and productivity improvements.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operating profit was $125.1 million (15.3% of ABL net sales) for the second quarter of fiscal 2026, compared with $130.3 million (15.5% of ABL net sales) in the prior-year period, a decrease of $5.2 million. The decrease in operating profit was due primarily to special charges and lower gross profit, partially offset by lower sales-related and employee costs.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AIS net sales for the second quarter of fiscal 2026 increased 44.7% compared with the prior-year period. The increase was due primarily to the acquisition of QSC and higher sales of Distech products.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gross profit was $146.6 million (59.1% of AIS net sales) for the second quarter of fiscal 2026, compared with $90.0 million (52.5% of AIS net sales) in the prior-year period, an increase of $56.6 million. The increase in gross profit was due primarily to the acquisition of QSC as well as the fall through of higher Distech net sales. The second quarter of fiscal 2025 also included $10.4 million in preliminary pre-tax nonrecurring acquisition date fair value adjustments to inventory related to the acquisition of QSC, which did not recur in fiscal 2026.</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operating profit was $28.3 million (11.4% of AIS net sales) for the second quarter of fiscal 2026, compared with $9.9 million (5.8% of AIS net sales) in the prior-year period, an increase of $18.4 million. This increase primarily reflects higher operating profit from the QSC acquisition. AIS's operating results also include higher amortization from acquired intangibles as well as the impact of fair value adjustments to inventory that occurred in the prior year, both of which related to the QSC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2026 Compared with First Six Months of Fiscal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2025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2026</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2025</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2,199.4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1,957.9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Cost of products sold</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1,125.2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1,074.2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48.8%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46.9 %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190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r>
              <w:rPr>
                <w:rFonts w:ascii="Arial" w:cs="Arial" w:eastAsia="Arial" w:hAnsi="Arial"/>
                <w:sz w:val="18"/>
                <w:szCs w:val="18"/>
                <w:color w:val="auto"/>
                <w:vertAlign w:val="superscript"/>
              </w:rPr>
              <w:t>(2)</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774.9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293.4</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13.3 %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Miscellaneous expense, net</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12.5 %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12.1 %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21.1 %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22.3 %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217.3</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Fiscal 2025 includes $10.4 million in pre-tax nonrecurring acquisition date fair value adjustments to inventory related to the acquisition of QSC.</w:t>
      </w:r>
    </w:p>
    <w:p>
      <w:pPr>
        <w:spacing w:after="0" w:line="5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Fiscal 2025 includes $18.7 million in acquisition-related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six months ended February 28, 2026 increased $241.5 million, or 12.3%, to $2.20 billion compared with $1.96 billion in the prior-year due to higher sales in our AIS segment, partially offset by lower sales in our ABL segment. The increase in our AIS segment was driven by the acquisition of QSC, as well higher net sales of our Distech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six months ended February 28, 2026 increased $156.9 million, or 17.1%, to $1.07 billion compared with $917.3 million in the prior-year period. This increase was due primarily to contributions from the QSC acquisition as well as the fall through of higher net sales of our Distech products. The improvement at AIS was partially offset by lower gross profit at ABL.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SD&amp;A expenses for the six months ended February 28, 2026 were $774.9 million compared with $ 673.8 million in the prior-year period, an increase of $101.1 million, or 15.0%. The increase in SD&amp;A expenses was due primarily to amounts related to the QSC acquisition, including higher employee-related costs and higher amortization from acquired intangibles, partially offset by acquisition-related professional fees that did not recur in fiscal 2026.</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special charges totaling $ 5.9 million during six months ended February 28, 2026, which consisted of employee severance costs related to productivity improvements in our ABL segment. These charges primarily related to labor cost reductions.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six months ended February 28, 2026 was $293.4 million (13.3% of net sales) compared with $243.5 million (12.4% of net sales) for the prior-year period, an increase of $49.9 million, or 20.5%. The increase in operating profit was due to higher gross profit, partially offset by higher SD&amp;A expenses and the recognition of special charges in the current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interest expense of $15.4 million and $2.9 million for the six months ended February 28, 2026 and February 28, 2025, respectively. The increase in net interest expense was due primarily to lower interest-bearing cash and cash equivalent balances as a result of our purchase of QSC and higher interest incurred on our outstanding Term Loan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Miscellaneous expense, net consists of non-service components of net periodic pension cost, gains and losses associated with foreign currency-related transactions, and non-operating gains and losses.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reported net miscellaneous expense of $2.5 million for the six months ended February 28, 2026 and $3.5 million for the six months ended February 28,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income tax rate was 21.1% and 22.3% for the six months ended February 28, 2026 and February 28, 2025, respectively. This decrease primarily reflects discrete items recognized in the second quarter of fiscal 2026 that were not present in the prior year.</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first six months of fiscal 2026 increased $33.1 million, or 18.0%, to $217.3 million from $184.2 million reported for the prior-year period. This increase was due primarily to higher operating profit, partially offset by higher net interest expense. Diluted earnings per share for the six months ended February 28, 2026 increased $1.11 to $6.91 compared with diluted earnings per share of $5.80 for the prior-year period. This increase reflects higher net income as well as lower outstanding diluted shares.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AIS, for the six months ended February 28, 2026 and February 28, 2025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2026</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2025</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1,712.5</w:t>
            </w:r>
          </w:p>
        </w:tc>
        <w:tc>
          <w:tcPr>
            <w:tcW w:w="8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1,726.6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774.4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54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45.2 %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45.4 %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274.1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98"/>
        </w:trPr>
        <w:tc>
          <w:tcPr>
            <w:tcW w:w="544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16.0 %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15.8 %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AIS: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505.5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125.6 %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59.3 %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54.2 %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215.5 %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12.9 %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8.4 %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net sales for the six months ended February 28, 2026 decreased 0.8% compared with the prior-year period due primarily to lower net sales within the direct sales network, partially offset by higher sales within the independent sales network and the corporate accounts channel.</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gross profit for the six months ended February 28, 2026 was $774.4 million (45.2% of ABL net sales), compared with $784.4 million (45.4% of ABL net sales) in the prior-year period, a decrease of $10.0 million. The decrease in gross profit was due primarily to the fall through of lower net sales and higher tariff costs, partially offset by product and productivity improvements.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ABL operating profit for the six months ended February 28, 2026 was $274.1 million (16.0% of ABL net sales), compared with $273.6 million (15.8% of ABL net sales) in the prior-year period, an increase of $0.5 million. The increase in operating profit was due primarily to lower selling and employee costs, which more than offset the decline in gross profit and the recognition of nonrecurring special charges.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AIS net sales for the six months ended February 28, 2026 increased 106.3% compared with the prior-year period. The increase in sales is attributed primarily to the acquisition of QSC as well as higher net sales of Distech products.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AIS gross profit for the six months ended February 28, 2026 was $299.8 million (59.3% of AIS net sales), compared with $132.9 million (54.2% of AIS net sales) in the prior-year period, an increase of $166.9 million. The increase in gross profit was due primarily to the acquisition of QSC as well as the fall through of higher Distech net sales. The second quarter of fiscal 2025 also included $10.4 million in preliminary pre-tax nonrecurring acquisition date fair value adjustments to inventory related to the acquisition of QSC, which did not recur in fiscal 2026.</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AIS operating profit for the six months ended February 28, 2026 was $65.3 million (12.9% of AIS net sales), compared with $20.7 million (8.4% of AIS net sales) in the prior-year period, an increase of $44.6 million. This increase primarily reflects higher operating profit from the QSC acquisition. AIS's operating results also include higher amortization from acquired intangibles as well as the impact of fair value adjustments to inventory that occurred in the prior year, both of which related to the QSC acquisition.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business combinations; and goodwill and indefinite-lived intangible assets.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quarterly report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and foreign exchange rates. We do not currently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 commodity hedging transactions for raw materials. There have been no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2026.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28, 2026.</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a control. Because of these limitations, misstatements due to error or fraud may occur and may not be detected.</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six months ended February 28, 2026,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28, 2026, the maximum number of shares that may yet be repurchased under the share repurchase program authorized by the Board equaled approximately 3.0 million shares. The following table reflects activity related to equity securities we repurchased during the quarter ended February 28, 2026:</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12/01/2025 through 12/31/2025</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34,226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366.32</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34,226</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3,227,998</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1/01/2026 through 1/31/2026</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86,175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318.06</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86,175</w:t>
            </w:r>
          </w:p>
        </w:tc>
        <w:tc>
          <w:tcPr>
            <w:tcW w:w="1940" w:type="dxa"/>
            <w:vAlign w:val="bottom"/>
          </w:tcPr>
          <w:p>
            <w:pPr>
              <w:jc w:val="right"/>
              <w:spacing w:after="0"/>
              <w:rPr>
                <w:sz w:val="20"/>
                <w:szCs w:val="20"/>
                <w:color w:val="auto"/>
              </w:rPr>
            </w:pPr>
            <w:r>
              <w:rPr>
                <w:rFonts w:ascii="Arial" w:cs="Arial" w:eastAsia="Arial" w:hAnsi="Arial"/>
                <w:sz w:val="16"/>
                <w:szCs w:val="16"/>
                <w:color w:val="auto"/>
              </w:rPr>
              <w:t>3,141,823</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2/01/2026 through 2/28/2026</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120,257</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311.20</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120,257</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3,021,566</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240,658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321.50</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240,658</w:t>
            </w:r>
          </w:p>
        </w:tc>
        <w:tc>
          <w:tcPr>
            <w:tcW w:w="1940" w:type="dxa"/>
            <w:vAlign w:val="bottom"/>
          </w:tcPr>
          <w:p>
            <w:pPr>
              <w:jc w:val="right"/>
              <w:spacing w:after="0"/>
              <w:rPr>
                <w:sz w:val="20"/>
                <w:szCs w:val="20"/>
                <w:color w:val="auto"/>
              </w:rPr>
            </w:pPr>
            <w:r>
              <w:rPr>
                <w:rFonts w:ascii="Arial" w:cs="Arial" w:eastAsia="Arial" w:hAnsi="Arial"/>
                <w:sz w:val="16"/>
                <w:szCs w:val="16"/>
                <w:color w:val="auto"/>
              </w:rPr>
              <w:t>3,021,566</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second quarter of fiscal 2026, none of our directors or Section 16 officers adopted or terminated any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9"/>
          </w:tcPr>
          <w:p>
            <w:pPr>
              <w:ind w:left="100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3940" w:type="dxa"/>
            <w:vAlign w:val="bottom"/>
            <w:tcBorders>
              <w:bottom w:val="single" w:sz="8" w:color="0000FF"/>
            </w:tcBorders>
            <w:gridSpan w:val="5"/>
          </w:tcPr>
          <w:p>
            <w:pPr>
              <w:spacing w:after="0"/>
              <w:rPr>
                <w:rFonts w:ascii="Arial" w:cs="Arial" w:eastAsia="Arial" w:hAnsi="Arial"/>
                <w:sz w:val="16"/>
                <w:szCs w:val="16"/>
                <w:color w:val="0000FF"/>
              </w:rPr>
            </w:pPr>
            <w:hyperlink r:id="rId77">
              <w:r>
                <w:rPr>
                  <w:rFonts w:ascii="Arial" w:cs="Arial" w:eastAsia="Arial" w:hAnsi="Arial"/>
                  <w:sz w:val="16"/>
                  <w:szCs w:val="16"/>
                  <w:color w:val="0000FF"/>
                </w:rPr>
                <w:t>Certificate of Amendment to the Restated Certificate of</w:t>
              </w:r>
            </w:hyperlink>
          </w:p>
        </w:tc>
        <w:tc>
          <w:tcPr>
            <w:tcW w:w="400" w:type="dxa"/>
            <w:vAlign w:val="bottom"/>
            <w:gridSpan w:val="7"/>
          </w:tcPr>
          <w:p>
            <w:pPr>
              <w:spacing w:after="0"/>
              <w:rPr>
                <w:sz w:val="24"/>
                <w:szCs w:val="24"/>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2"/>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Incorporation of Acuity Inc., effective as of March 26, 2025.</w:t>
              </w:r>
            </w:hyperlink>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2"/>
          </w:tcPr>
          <w:p>
            <w:pPr>
              <w:spacing w:after="0"/>
              <w:rPr>
                <w:rFonts w:ascii="Arial" w:cs="Arial" w:eastAsia="Arial" w:hAnsi="Arial"/>
                <w:sz w:val="16"/>
                <w:szCs w:val="16"/>
                <w:color w:val="0000FF"/>
              </w:rPr>
            </w:pPr>
            <w:hyperlink r:id="rId78">
              <w:r>
                <w:rPr>
                  <w:rFonts w:ascii="Arial" w:cs="Arial" w:eastAsia="Arial" w:hAnsi="Arial"/>
                  <w:sz w:val="16"/>
                  <w:szCs w:val="16"/>
                  <w:color w:val="0000FF"/>
                </w:rPr>
                <w:t>Restated Certificate of Incorporation of Acuity Inc., dated as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of January 25,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2"/>
          </w:tcPr>
          <w:p>
            <w:pPr>
              <w:spacing w:after="0"/>
              <w:rPr>
                <w:rFonts w:ascii="Arial" w:cs="Arial" w:eastAsia="Arial" w:hAnsi="Arial"/>
                <w:sz w:val="16"/>
                <w:szCs w:val="16"/>
                <w:color w:val="0000FF"/>
              </w:rPr>
            </w:pPr>
            <w:hyperlink r:id="rId79">
              <w:r>
                <w:rPr>
                  <w:rFonts w:ascii="Arial" w:cs="Arial" w:eastAsia="Arial" w:hAnsi="Arial"/>
                  <w:sz w:val="16"/>
                  <w:szCs w:val="16"/>
                  <w:color w:val="0000FF"/>
                </w:rPr>
                <w:t>Amended and Restated Bylaws of Acuity Inc., effective as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March 26, 2025.</w:t>
              </w:r>
            </w:hyperlink>
          </w:p>
        </w:tc>
        <w:tc>
          <w:tcPr>
            <w:tcW w:w="31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2"/>
          </w:tcPr>
          <w:p>
            <w:pPr>
              <w:spacing w:after="0"/>
              <w:rPr>
                <w:rFonts w:ascii="Arial" w:cs="Arial" w:eastAsia="Arial" w:hAnsi="Arial"/>
                <w:sz w:val="16"/>
                <w:szCs w:val="16"/>
                <w:color w:val="0000FF"/>
              </w:rPr>
            </w:pPr>
            <w:hyperlink r:id="rId80">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2"/>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5"/>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00" w:type="dxa"/>
            <w:vAlign w:val="bottom"/>
            <w:tcBorders>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2"/>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20" w:type="dxa"/>
            <w:vAlign w:val="bottom"/>
            <w:gridSpan w:val="4"/>
          </w:tcPr>
          <w:p>
            <w:pPr>
              <w:jc w:val="right"/>
              <w:ind w:right="40"/>
              <w:spacing w:after="0"/>
              <w:rPr>
                <w:sz w:val="20"/>
                <w:szCs w:val="20"/>
                <w:color w:val="auto"/>
              </w:rPr>
            </w:pPr>
            <w:r>
              <w:rPr>
                <w:rFonts w:ascii="Arial" w:cs="Arial" w:eastAsia="Arial" w:hAnsi="Arial"/>
                <w:sz w:val="10"/>
                <w:szCs w:val="10"/>
                <w:color w:val="0000FF"/>
                <w:w w:val="71"/>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2"/>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5"/>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2"/>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2"/>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2"/>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2"/>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2"/>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2"/>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2"/>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3.1 of registrant’s Form 8-K as filed with the Commission on March 12, 2025, which is incorporated herein by reference.</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Reference is made to Exhibit 3.2 of registrant’s Form 8-K as filed with the Commission on January 26, 2024, which is incorporated herein by reference.</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Reference is made to Exhibit 3.3 of registrant’s Form 8-K as filed with the Commission on March 12, 2025, which is incorporated herein by reference.</w:t>
      </w:r>
    </w:p>
    <w:p>
      <w:pPr>
        <w:spacing w:after="0" w:line="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Reference is made to Exhibit 22 of registrant's Form 10-Q as filed with the Commission on April 3, 2025,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April 2,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April 2,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242"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Acuity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Inc., and will be retained by Acuity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February 28, 2026, as filed with the Securities and Exchange Commission on the date hereof (the “Report”), the undersigned, the Chairman, President and Chief Executive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 2026</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18 U.S.C. Section 1350, as adopted pursuant to 906 of the Sarbanes-Oxley Act of 2002, and in connection with the Quarterly Report on Form 10-Q of Acuity Inc. (the “Corporation”) for the quarter ended February 28, 2026, as filed with the Securities and Exchange Commission on the date hereof (the “Report”), the undersigned, the Senior Vice President and Chief Financial Officer of the Corporation, certifies that:</w:t>
      </w:r>
    </w:p>
    <w:p>
      <w:pPr>
        <w:spacing w:after="0" w:line="6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 2026</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Inc., and will be retained by Acuity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7" Type="http://schemas.openxmlformats.org/officeDocument/2006/relationships/hyperlink" Target="https://www.sec.gov/Archives/edgar/data/1144215/000119312525052542/d931430dex31.htm" TargetMode="External"/><Relationship Id="rId78" Type="http://schemas.openxmlformats.org/officeDocument/2006/relationships/hyperlink" Target="https://www.sec.gov/Archives/edgar/data/1144215/000114421524000015/ayi-20240124xex32xrestated.htm" TargetMode="External"/><Relationship Id="rId79" Type="http://schemas.openxmlformats.org/officeDocument/2006/relationships/hyperlink" Target="https://www.sec.gov/Archives/edgar/data/1144215/000119312525052542/d931430dex33.htm" TargetMode="External"/><Relationship Id="rId80" Type="http://schemas.openxmlformats.org/officeDocument/2006/relationships/hyperlink" Target="https://www.sec.gov/Archives/edgar/data/1144215/000114421525000043/ayi2282025-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2026-04-02T06:25:19Z</dcterms:created>
  <dcterms:modified xsi:type="dcterms:W3CDTF">2026-04-02T06:25:19Z</dcterms:modified>
</cp:coreProperties>
</file>