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1517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50"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36" w:lineRule="exact"/>
        <w:rPr>
          <w:sz w:val="24"/>
          <w:szCs w:val="24"/>
          <w:color w:val="auto"/>
        </w:rPr>
      </w:pPr>
    </w:p>
    <w:p>
      <w:pPr>
        <w:ind w:left="1200"/>
        <w:spacing w:after="0"/>
        <w:rPr>
          <w:sz w:val="20"/>
          <w:szCs w:val="20"/>
          <w:color w:val="auto"/>
        </w:rPr>
      </w:pPr>
      <w:r>
        <w:rPr>
          <w:rFonts w:ascii="Arial" w:cs="Arial" w:eastAsia="Arial" w:hAnsi="Arial"/>
          <w:sz w:val="14"/>
          <w:szCs w:val="14"/>
          <w:b w:val="1"/>
          <w:bCs w:val="1"/>
          <w:color w:val="auto"/>
        </w:rPr>
        <w:t>(Mark One)</w:t>
      </w:r>
    </w:p>
    <w:p>
      <w:pPr>
        <w:spacing w:after="0" w:line="55" w:lineRule="exact"/>
        <w:rPr>
          <w:sz w:val="24"/>
          <w:szCs w:val="24"/>
          <w:color w:val="auto"/>
        </w:rPr>
      </w:pPr>
    </w:p>
    <w:p>
      <w:pPr>
        <w:ind w:left="3880" w:right="1380" w:hanging="2380"/>
        <w:spacing w:after="0" w:line="442" w:lineRule="auto"/>
        <w:tabs>
          <w:tab w:leader="none" w:pos="2473"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November 30, 2024.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4480" w:right="1380" w:hanging="2987"/>
        <w:spacing w:after="0" w:line="374" w:lineRule="auto"/>
        <w:tabs>
          <w:tab w:leader="none" w:pos="2471"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to .</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001-16583.</w:t>
      </w:r>
    </w:p>
    <w:p>
      <w:pPr>
        <w:spacing w:after="0" w:line="33"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ACUITY BRANDS,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22" w:lineRule="exact"/>
        <w:rPr>
          <w:sz w:val="24"/>
          <w:szCs w:val="24"/>
          <w:color w:val="auto"/>
        </w:rPr>
      </w:pPr>
    </w:p>
    <w:tbl>
      <w:tblPr>
        <w:tblLayout w:type="fixed"/>
        <w:tblInd w:w="1780" w:type="dxa"/>
        <w:tblCellMar>
          <w:top w:w="0" w:type="dxa"/>
          <w:left w:w="0" w:type="dxa"/>
          <w:bottom w:w="0" w:type="dxa"/>
          <w:right w:w="0" w:type="dxa"/>
        </w:tblCellMar>
      </w:tblPr>
      <w:tr>
        <w:trPr>
          <w:trHeight w:val="196"/>
        </w:trPr>
        <w:tc>
          <w:tcPr>
            <w:tcW w:w="4020" w:type="dxa"/>
            <w:vAlign w:val="bottom"/>
          </w:tcPr>
          <w:p>
            <w:pPr>
              <w:jc w:val="center"/>
              <w:ind w:right="2068"/>
              <w:spacing w:after="0"/>
              <w:rPr>
                <w:sz w:val="20"/>
                <w:szCs w:val="20"/>
                <w:color w:val="auto"/>
              </w:rPr>
            </w:pPr>
            <w:r>
              <w:rPr>
                <w:rFonts w:ascii="Arial" w:cs="Arial" w:eastAsia="Arial" w:hAnsi="Arial"/>
                <w:sz w:val="14"/>
                <w:szCs w:val="14"/>
                <w:b w:val="1"/>
                <w:bCs w:val="1"/>
                <w:color w:val="auto"/>
              </w:rPr>
              <w:t>Delaware</w:t>
            </w:r>
          </w:p>
        </w:tc>
        <w:tc>
          <w:tcPr>
            <w:tcW w:w="3280" w:type="dxa"/>
            <w:vAlign w:val="bottom"/>
          </w:tcPr>
          <w:p>
            <w:pPr>
              <w:jc w:val="center"/>
              <w:ind w:left="2068"/>
              <w:spacing w:after="0"/>
              <w:rPr>
                <w:sz w:val="20"/>
                <w:szCs w:val="20"/>
                <w:color w:val="auto"/>
              </w:rPr>
            </w:pPr>
            <w:r>
              <w:rPr>
                <w:rFonts w:ascii="Arial" w:cs="Arial" w:eastAsia="Arial" w:hAnsi="Arial"/>
                <w:sz w:val="14"/>
                <w:szCs w:val="14"/>
                <w:b w:val="1"/>
                <w:bCs w:val="1"/>
                <w:color w:val="auto"/>
              </w:rPr>
              <w:t>58-2632672</w:t>
            </w:r>
          </w:p>
        </w:tc>
      </w:tr>
      <w:tr>
        <w:trPr>
          <w:trHeight w:val="157"/>
        </w:trPr>
        <w:tc>
          <w:tcPr>
            <w:tcW w:w="4020" w:type="dxa"/>
            <w:vAlign w:val="bottom"/>
          </w:tcPr>
          <w:p>
            <w:pPr>
              <w:jc w:val="center"/>
              <w:ind w:right="2068"/>
              <w:spacing w:after="0" w:line="157" w:lineRule="exact"/>
              <w:rPr>
                <w:sz w:val="20"/>
                <w:szCs w:val="20"/>
                <w:color w:val="auto"/>
              </w:rPr>
            </w:pPr>
            <w:r>
              <w:rPr>
                <w:rFonts w:ascii="Arial" w:cs="Arial" w:eastAsia="Arial" w:hAnsi="Arial"/>
                <w:sz w:val="14"/>
                <w:szCs w:val="14"/>
                <w:i w:val="1"/>
                <w:iCs w:val="1"/>
                <w:color w:val="auto"/>
              </w:rPr>
              <w:t>(State or other jurisdiction of</w:t>
            </w:r>
          </w:p>
        </w:tc>
        <w:tc>
          <w:tcPr>
            <w:tcW w:w="3280" w:type="dxa"/>
            <w:vAlign w:val="bottom"/>
          </w:tcPr>
          <w:p>
            <w:pPr>
              <w:jc w:val="center"/>
              <w:ind w:left="2068"/>
              <w:spacing w:after="0" w:line="157" w:lineRule="exact"/>
              <w:rPr>
                <w:sz w:val="20"/>
                <w:szCs w:val="20"/>
                <w:color w:val="auto"/>
              </w:rPr>
            </w:pPr>
            <w:r>
              <w:rPr>
                <w:rFonts w:ascii="Arial" w:cs="Arial" w:eastAsia="Arial" w:hAnsi="Arial"/>
                <w:sz w:val="14"/>
                <w:szCs w:val="14"/>
                <w:i w:val="1"/>
                <w:iCs w:val="1"/>
                <w:color w:val="auto"/>
              </w:rPr>
              <w:t>(I.R.S. Employer</w:t>
            </w:r>
          </w:p>
        </w:tc>
      </w:tr>
      <w:tr>
        <w:trPr>
          <w:trHeight w:val="188"/>
        </w:trPr>
        <w:tc>
          <w:tcPr>
            <w:tcW w:w="4020" w:type="dxa"/>
            <w:vAlign w:val="bottom"/>
          </w:tcPr>
          <w:p>
            <w:pPr>
              <w:jc w:val="center"/>
              <w:ind w:right="2068"/>
              <w:spacing w:after="0"/>
              <w:rPr>
                <w:sz w:val="20"/>
                <w:szCs w:val="20"/>
                <w:color w:val="auto"/>
              </w:rPr>
            </w:pPr>
            <w:r>
              <w:rPr>
                <w:rFonts w:ascii="Arial" w:cs="Arial" w:eastAsia="Arial" w:hAnsi="Arial"/>
                <w:sz w:val="14"/>
                <w:szCs w:val="14"/>
                <w:i w:val="1"/>
                <w:iCs w:val="1"/>
                <w:color w:val="auto"/>
              </w:rPr>
              <w:t>incorporation or organization)</w:t>
            </w:r>
          </w:p>
        </w:tc>
        <w:tc>
          <w:tcPr>
            <w:tcW w:w="3280" w:type="dxa"/>
            <w:vAlign w:val="bottom"/>
          </w:tcPr>
          <w:p>
            <w:pPr>
              <w:jc w:val="center"/>
              <w:ind w:left="2088"/>
              <w:spacing w:after="0"/>
              <w:rPr>
                <w:sz w:val="20"/>
                <w:szCs w:val="20"/>
                <w:color w:val="auto"/>
              </w:rPr>
            </w:pPr>
            <w:r>
              <w:rPr>
                <w:rFonts w:ascii="Arial" w:cs="Arial" w:eastAsia="Arial" w:hAnsi="Arial"/>
                <w:sz w:val="14"/>
                <w:szCs w:val="14"/>
                <w:i w:val="1"/>
                <w:iCs w:val="1"/>
                <w:color w:val="auto"/>
              </w:rPr>
              <w:t>Identification No.)</w:t>
            </w:r>
          </w:p>
        </w:tc>
      </w:tr>
    </w:tbl>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1170 Peachtree Street, N.E., Suite 1200, Atlanta, Georgia 30309</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(404) 853-1400</w:t>
      </w:r>
    </w:p>
    <w:p>
      <w:pPr>
        <w:spacing w:after="0" w:line="24" w:lineRule="exact"/>
        <w:rPr>
          <w:sz w:val="24"/>
          <w:szCs w:val="24"/>
          <w:color w:val="auto"/>
        </w:rPr>
      </w:pPr>
    </w:p>
    <w:p>
      <w:pPr>
        <w:ind w:left="39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Registrant’s telephone number, including area code</w:t>
      </w:r>
      <w:r>
        <w:rPr>
          <w:rFonts w:ascii="Arial" w:cs="Arial" w:eastAsia="Arial" w:hAnsi="Arial"/>
          <w:sz w:val="14"/>
          <w:szCs w:val="14"/>
          <w:color w:val="auto"/>
        </w:rPr>
        <w:t>)</w:t>
      </w:r>
    </w:p>
    <w:p>
      <w:pPr>
        <w:spacing w:after="0" w:line="82" w:lineRule="exact"/>
        <w:rPr>
          <w:sz w:val="24"/>
          <w:szCs w:val="24"/>
          <w:color w:val="auto"/>
        </w:rPr>
      </w:pPr>
    </w:p>
    <w:p>
      <w:pPr>
        <w:ind w:left="5440"/>
        <w:spacing w:after="0"/>
        <w:rPr>
          <w:sz w:val="20"/>
          <w:szCs w:val="20"/>
          <w:color w:val="auto"/>
        </w:rPr>
      </w:pPr>
      <w:r>
        <w:rPr>
          <w:rFonts w:ascii="Arial" w:cs="Arial" w:eastAsia="Arial" w:hAnsi="Arial"/>
          <w:sz w:val="14"/>
          <w:szCs w:val="14"/>
          <w:b w:val="1"/>
          <w:bCs w:val="1"/>
          <w:color w:val="auto"/>
        </w:rPr>
        <w:t>None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58" w:lineRule="exact"/>
        <w:rPr>
          <w:sz w:val="24"/>
          <w:szCs w:val="24"/>
          <w:color w:val="auto"/>
        </w:rPr>
      </w:pPr>
    </w:p>
    <w:tbl>
      <w:tblPr>
        <w:tblLayout w:type="fixed"/>
        <w:tblInd w:w="20" w:type="dxa"/>
        <w:tblCellMar>
          <w:top w:w="0" w:type="dxa"/>
          <w:left w:w="0" w:type="dxa"/>
          <w:bottom w:w="0" w:type="dxa"/>
          <w:right w:w="0" w:type="dxa"/>
        </w:tblCellMar>
      </w:tblPr>
      <w:tr>
        <w:trPr>
          <w:trHeight w:val="197"/>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100" w:type="dxa"/>
            <w:vAlign w:val="bottom"/>
          </w:tcPr>
          <w:p>
            <w:pPr>
              <w:spacing w:after="0"/>
              <w:rPr>
                <w:sz w:val="17"/>
                <w:szCs w:val="17"/>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4520" w:type="dxa"/>
            <w:vAlign w:val="bottom"/>
            <w:gridSpan w:val="2"/>
          </w:tcPr>
          <w:p>
            <w:pPr>
              <w:jc w:val="center"/>
              <w:ind w:right="120"/>
              <w:spacing w:after="0"/>
              <w:rPr>
                <w:sz w:val="20"/>
                <w:szCs w:val="20"/>
                <w:color w:val="auto"/>
              </w:rPr>
            </w:pPr>
            <w:r>
              <w:rPr>
                <w:rFonts w:ascii="Arial" w:cs="Arial" w:eastAsia="Arial" w:hAnsi="Arial"/>
                <w:sz w:val="14"/>
                <w:szCs w:val="14"/>
                <w:color w:val="auto"/>
              </w:rPr>
              <w:t>Common stock, $0.01 par value per share</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AYI</w:t>
            </w:r>
          </w:p>
        </w:tc>
        <w:tc>
          <w:tcPr>
            <w:tcW w:w="442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210"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42" w:right="339" w:bottom="1440" w:gutter="0" w:footer="0" w:header="0"/>
        </w:sectPr>
      </w:pPr>
    </w:p>
    <w:p>
      <w:pPr>
        <w:spacing w:after="0" w:line="95" w:lineRule="exact"/>
        <w:rPr>
          <w:sz w:val="24"/>
          <w:szCs w:val="24"/>
          <w:color w:val="auto"/>
        </w:rPr>
      </w:pPr>
    </w:p>
    <w:p>
      <w:pPr>
        <w:ind w:left="20" w:right="840"/>
        <w:spacing w:after="0" w:line="345"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tabs>
          <w:tab w:leader="none" w:pos="4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p>
    <w:p>
      <w:pPr>
        <w:spacing w:after="0" w:line="8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14" w:lineRule="exact"/>
        <w:rPr>
          <w:sz w:val="24"/>
          <w:szCs w:val="24"/>
          <w:color w:val="auto"/>
        </w:rPr>
      </w:pPr>
    </w:p>
    <w:p>
      <w:pPr>
        <w:sectPr>
          <w:pgSz w:w="11900" w:h="16838" w:orient="portrait"/>
          <w:cols w:equalWidth="0" w:num="5">
            <w:col w:w="2580" w:space="720"/>
            <w:col w:w="140" w:space="280"/>
            <w:col w:w="2580" w:space="720"/>
            <w:col w:w="3160" w:space="720"/>
            <w:col w:w="340"/>
          </w:cols>
          <w:pgMar w:left="320" w:top="242" w:right="339" w:bottom="1440" w:gutter="0" w:footer="0" w:header="0"/>
          <w:type w:val="continuous"/>
        </w:sectPr>
      </w:pPr>
    </w:p>
    <w:p>
      <w:pPr>
        <w:ind w:right="2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spacing w:after="0" w:line="184" w:lineRule="exact"/>
        <w:tabs>
          <w:tab w:leader="none" w:pos="88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76"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Common stock </w:t>
      </w:r>
      <w:r>
        <w:rPr>
          <w:rFonts w:ascii="Arial" w:cs="Arial" w:eastAsia="Arial" w:hAnsi="Arial"/>
          <w:sz w:val="17"/>
          <w:szCs w:val="17"/>
          <w:color w:val="auto"/>
        </w:rPr>
        <w:t>—</w:t>
      </w:r>
      <w:r>
        <w:rPr>
          <w:rFonts w:ascii="Arial" w:cs="Arial" w:eastAsia="Arial" w:hAnsi="Arial"/>
          <w:sz w:val="16"/>
          <w:szCs w:val="16"/>
          <w:color w:val="auto"/>
        </w:rPr>
        <w:t xml:space="preserve"> $0.01 par value </w:t>
      </w:r>
      <w:r>
        <w:rPr>
          <w:rFonts w:ascii="Arial" w:cs="Arial" w:eastAsia="Arial" w:hAnsi="Arial"/>
          <w:sz w:val="17"/>
          <w:szCs w:val="17"/>
          <w:color w:val="auto"/>
        </w:rPr>
        <w:t>—</w:t>
      </w:r>
      <w:r>
        <w:rPr>
          <w:rFonts w:ascii="Arial" w:cs="Arial" w:eastAsia="Arial" w:hAnsi="Arial"/>
          <w:sz w:val="16"/>
          <w:szCs w:val="16"/>
          <w:color w:val="auto"/>
        </w:rPr>
        <w:t xml:space="preserve"> 30,959,298 shares as of January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161925</wp:posOffset>
            </wp:positionV>
            <wp:extent cx="711517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144780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1100" w:type="dxa"/>
            <w:vAlign w:val="bottom"/>
            <w:gridSpan w:val="6"/>
          </w:tcPr>
          <w:p>
            <w:pPr>
              <w:ind w:left="220"/>
              <w:spacing w:after="0"/>
              <w:rPr>
                <w:sz w:val="20"/>
                <w:szCs w:val="20"/>
                <w:color w:val="auto"/>
              </w:rPr>
            </w:pPr>
            <w:r>
              <w:rPr>
                <w:rFonts w:ascii="Arial" w:cs="Arial" w:eastAsia="Arial" w:hAnsi="Arial"/>
                <w:sz w:val="14"/>
                <w:szCs w:val="14"/>
                <w:b w:val="1"/>
                <w:bCs w:val="1"/>
                <w:color w:val="auto"/>
              </w:rPr>
              <w:t>Page No.</w:t>
            </w:r>
          </w:p>
        </w:tc>
      </w:tr>
      <w:tr>
        <w:trPr>
          <w:trHeight w:val="158"/>
        </w:trPr>
        <w:tc>
          <w:tcPr>
            <w:tcW w:w="20" w:type="dxa"/>
            <w:vAlign w:val="bottom"/>
          </w:tcPr>
          <w:p>
            <w:pPr>
              <w:spacing w:after="0"/>
              <w:rPr>
                <w:sz w:val="13"/>
                <w:szCs w:val="13"/>
                <w:color w:val="auto"/>
              </w:rPr>
            </w:pPr>
          </w:p>
        </w:tc>
        <w:tc>
          <w:tcPr>
            <w:tcW w:w="10120" w:type="dxa"/>
            <w:vAlign w:val="bottom"/>
            <w:gridSpan w:val="9"/>
          </w:tcPr>
          <w:p>
            <w:pPr>
              <w:spacing w:after="0" w:line="158" w:lineRule="exact"/>
              <w:rPr>
                <w:sz w:val="20"/>
                <w:szCs w:val="20"/>
                <w:color w:val="auto"/>
              </w:rPr>
            </w:pPr>
            <w:r>
              <w:rPr>
                <w:rFonts w:ascii="Arial" w:cs="Arial" w:eastAsia="Arial" w:hAnsi="Arial"/>
                <w:sz w:val="16"/>
                <w:szCs w:val="16"/>
                <w:b w:val="1"/>
                <w:bCs w:val="1"/>
                <w:color w:val="0000FF"/>
              </w:rPr>
              <w:t>Part I. FINANCIAL INFORMATION</w:t>
            </w:r>
          </w:p>
        </w:tc>
        <w:tc>
          <w:tcPr>
            <w:tcW w:w="8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1.</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Financial Statements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Consolidated Balance Sheets -- November 30, 2024 (Unaudited) and August 31, 2024</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Consolidated Statements of Comprehensive Income (Unaudited) -- Three months ended November 30, 2024 and November</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2"/>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ind w:left="60"/>
              <w:spacing w:after="0" w:line="182" w:lineRule="exact"/>
              <w:rPr>
                <w:sz w:val="20"/>
                <w:szCs w:val="20"/>
                <w:color w:val="auto"/>
              </w:rPr>
            </w:pPr>
            <w:r>
              <w:rPr>
                <w:rFonts w:ascii="Arial" w:cs="Arial" w:eastAsia="Arial" w:hAnsi="Arial"/>
                <w:sz w:val="16"/>
                <w:szCs w:val="16"/>
                <w:color w:val="0000FF"/>
              </w:rPr>
              <w:t>30, 2023</w:t>
            </w:r>
          </w:p>
        </w:tc>
        <w:tc>
          <w:tcPr>
            <w:tcW w:w="26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0" w:type="dxa"/>
            <w:vAlign w:val="bottom"/>
            <w:gridSpan w:val="4"/>
          </w:tcPr>
          <w:p>
            <w:pPr>
              <w:ind w:left="60"/>
              <w:spacing w:after="0" w:line="176" w:lineRule="exact"/>
              <w:rPr>
                <w:sz w:val="20"/>
                <w:szCs w:val="20"/>
                <w:color w:val="auto"/>
              </w:rPr>
            </w:pPr>
            <w:r>
              <w:rPr>
                <w:rFonts w:ascii="Arial" w:cs="Arial" w:eastAsia="Arial" w:hAnsi="Arial"/>
                <w:sz w:val="16"/>
                <w:szCs w:val="16"/>
                <w:color w:val="0000FF"/>
              </w:rPr>
              <w:t>Consolidated Statements of Cash Flows (Unaudited) -- Three months ended November 30, 2024 and November 30, 2023</w:t>
            </w:r>
          </w:p>
        </w:tc>
        <w:tc>
          <w:tcPr>
            <w:tcW w:w="1040" w:type="dxa"/>
            <w:vAlign w:val="bottom"/>
            <w:gridSpan w:val="4"/>
          </w:tcPr>
          <w:p>
            <w:pPr>
              <w:jc w:val="right"/>
              <w:spacing w:after="0" w:line="176" w:lineRule="exact"/>
              <w:rPr>
                <w:sz w:val="20"/>
                <w:szCs w:val="20"/>
                <w:color w:val="auto"/>
              </w:rPr>
            </w:pPr>
            <w:r>
              <w:rPr>
                <w:rFonts w:ascii="Arial" w:cs="Arial" w:eastAsia="Arial" w:hAnsi="Arial"/>
                <w:sz w:val="16"/>
                <w:szCs w:val="16"/>
                <w:color w:val="0000FF"/>
              </w:rPr>
              <w:t>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Notes to Consolidated Financial Statements (Unaudited)</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 — Description of Business and Basis of Presentation</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2 — Significant Accounting Policies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3 — New Accounting Pronouncements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4 — Fair Value Measurements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5 — Inventories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6 — Property, Plant, and Equipment</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7 — Goodwill and Intangible Assets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8 — Other Current Liabilities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9 — Debt and Lines of Credit</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10 — Commitments and Contingencies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10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11 — Changes in Stockholders' Equity</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11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12 — Revenue</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11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13 — Share-based Payments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14 — Pension Plans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15 — Other (Income) Expense</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16 — Earnings Per Share</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17 — Comprehensive Income</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18 — Segment Information</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19 — Subsequent Event</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2.</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17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3.</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Quantitative and Qualitative Disclosures about Market Risk</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4.</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Controls and Procedures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6"/>
                <w:szCs w:val="16"/>
                <w:b w:val="1"/>
                <w:bCs w:val="1"/>
                <w:color w:val="0000FF"/>
              </w:rPr>
              <w:t>Part II. OTHER INFORMATION</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1.</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Legal Proceedings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spacing w:after="0"/>
              <w:rPr>
                <w:sz w:val="20"/>
                <w:szCs w:val="20"/>
                <w:color w:val="auto"/>
              </w:rPr>
            </w:pPr>
            <w:r>
              <w:rPr>
                <w:rFonts w:ascii="Arial" w:cs="Arial" w:eastAsia="Arial" w:hAnsi="Arial"/>
                <w:sz w:val="16"/>
                <w:szCs w:val="16"/>
                <w:color w:val="0000FF"/>
              </w:rPr>
              <w:t>Item 1A.</w:t>
            </w:r>
          </w:p>
        </w:tc>
        <w:tc>
          <w:tcPr>
            <w:tcW w:w="300" w:type="dxa"/>
            <w:vAlign w:val="bottom"/>
            <w:gridSpan w:val="2"/>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Risk Factors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300" w:type="dxa"/>
            <w:vAlign w:val="bottom"/>
            <w:gridSpan w:val="2"/>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Unregistered Sales of Equity Securities and Use of Proceeds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5.</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Other Information</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6.</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Exhibits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6"/>
                <w:szCs w:val="16"/>
                <w:b w:val="1"/>
                <w:bCs w:val="1"/>
                <w:color w:val="0000FF"/>
              </w:rPr>
              <w:t>INDEX TO EXHIBITS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2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Arial" w:cs="Arial" w:eastAsia="Arial" w:hAnsi="Arial"/>
                <w:sz w:val="16"/>
                <w:szCs w:val="16"/>
                <w:b w:val="1"/>
                <w:bCs w:val="1"/>
                <w:color w:val="0000FF"/>
              </w:rPr>
              <w:t>SIGNATURES</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November 30, 2024</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August 31, 2024</w:t>
            </w:r>
          </w:p>
        </w:tc>
      </w:tr>
      <w:tr>
        <w:trPr>
          <w:trHeight w:val="196"/>
        </w:trPr>
        <w:tc>
          <w:tcPr>
            <w:tcW w:w="7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4"/>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845.8</w:t>
            </w: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Accounts receivable, less reserve for doubtful accounts of $1.9 and $1.9, respectively</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534.7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563.0</w:t>
            </w: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387.6</w:t>
            </w:r>
          </w:p>
        </w:tc>
      </w:tr>
      <w:tr>
        <w:trPr>
          <w:trHeight w:val="198"/>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Prepayments and other current assets</w:t>
            </w: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75.1</w:t>
            </w:r>
          </w:p>
        </w:tc>
      </w:tr>
      <w:tr>
        <w:trPr>
          <w:trHeight w:val="200"/>
        </w:trPr>
        <w:tc>
          <w:tcPr>
            <w:tcW w:w="7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1,937.3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1,871.5</w:t>
            </w: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299.8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303.9</w:t>
            </w: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w:t>
            </w: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1,091.8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1,098.7</w:t>
            </w: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440.5</w:t>
            </w: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3"/>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assets</w:t>
            </w:r>
          </w:p>
        </w:tc>
        <w:tc>
          <w:tcPr>
            <w:tcW w:w="20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r>
      <w:tr>
        <w:trPr>
          <w:trHeight w:val="200"/>
        </w:trPr>
        <w:tc>
          <w:tcPr>
            <w:tcW w:w="7280" w:type="dxa"/>
            <w:vAlign w:val="bottom"/>
          </w:tcPr>
          <w:p>
            <w:pPr>
              <w:ind w:left="36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3,864.3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3,814.6</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70"/>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352.3</w:t>
            </w: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Current operating lease liabilities</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19.2</w:t>
            </w: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compensation</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w:t>
            </w:r>
          </w:p>
        </w:tc>
      </w:tr>
      <w:tr>
        <w:trPr>
          <w:trHeight w:val="199"/>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current liabilities</w:t>
            </w: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206.3</w:t>
            </w:r>
          </w:p>
        </w:tc>
      </w:tr>
      <w:tr>
        <w:trPr>
          <w:trHeight w:val="200"/>
        </w:trPr>
        <w:tc>
          <w:tcPr>
            <w:tcW w:w="7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687.9</w:t>
            </w: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496.3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496.2</w:t>
            </w:r>
          </w:p>
        </w:tc>
      </w:tr>
      <w:tr>
        <w:trPr>
          <w:trHeight w:val="20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operating lease liabilities</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w:t>
            </w:r>
          </w:p>
        </w:tc>
      </w:tr>
      <w:tr>
        <w:trPr>
          <w:trHeight w:val="199"/>
        </w:trPr>
        <w:tc>
          <w:tcPr>
            <w:tcW w:w="7280" w:type="dxa"/>
            <w:vAlign w:val="bottom"/>
          </w:tcPr>
          <w:p>
            <w:pPr>
              <w:ind w:left="20"/>
              <w:spacing w:after="0"/>
              <w:rPr>
                <w:sz w:val="20"/>
                <w:szCs w:val="20"/>
                <w:color w:val="auto"/>
              </w:rPr>
            </w:pPr>
            <w:r>
              <w:rPr>
                <w:rFonts w:ascii="Arial" w:cs="Arial" w:eastAsia="Arial" w:hAnsi="Arial"/>
                <w:sz w:val="14"/>
                <w:szCs w:val="14"/>
                <w:color w:val="auto"/>
              </w:rPr>
              <w:t>Accrued pension liabilities</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37.5</w:t>
            </w:r>
          </w:p>
        </w:tc>
      </w:tr>
      <w:tr>
        <w:trPr>
          <w:trHeight w:val="20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r>
      <w:tr>
        <w:trPr>
          <w:trHeight w:val="199"/>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long-term liabilities</w:t>
            </w: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130.1</w:t>
            </w:r>
          </w:p>
        </w:tc>
      </w:tr>
      <w:tr>
        <w:trPr>
          <w:trHeight w:val="200"/>
        </w:trPr>
        <w:tc>
          <w:tcPr>
            <w:tcW w:w="7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1,400.9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1,435.8</w:t>
            </w:r>
          </w:p>
        </w:tc>
      </w:tr>
      <w:tr>
        <w:trPr>
          <w:trHeight w:val="178"/>
        </w:trPr>
        <w:tc>
          <w:tcPr>
            <w:tcW w:w="7280" w:type="dxa"/>
            <w:vAlign w:val="bottom"/>
          </w:tcPr>
          <w:p>
            <w:pPr>
              <w:ind w:left="20"/>
              <w:spacing w:after="0"/>
              <w:rPr>
                <w:sz w:val="20"/>
                <w:szCs w:val="20"/>
                <w:color w:val="auto"/>
              </w:rPr>
            </w:pPr>
            <w:r>
              <w:rPr>
                <w:rFonts w:ascii="Arial" w:cs="Arial" w:eastAsia="Arial" w:hAnsi="Arial"/>
                <w:sz w:val="14"/>
                <w:szCs w:val="14"/>
                <w:color w:val="auto"/>
              </w:rPr>
              <w:t xml:space="preserve">Commitments and contingencies (see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Preferred stock, $0.01 par value per share; 50.0 shares authorized; none issued</w:t>
            </w:r>
          </w:p>
        </w:tc>
        <w:tc>
          <w:tcPr>
            <w:tcW w:w="200" w:type="dxa"/>
            <w:vAlign w:val="bottom"/>
          </w:tcPr>
          <w:p>
            <w:pPr>
              <w:spacing w:after="0"/>
              <w:rPr>
                <w:sz w:val="17"/>
                <w:szCs w:val="17"/>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 $0.01 par value per share; 500.0 shares authorized; 54.8 and 54.6 shares issued, respectively</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Paid-in capital</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1,120.5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1,115.9</w:t>
            </w: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4,012.0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3,909.8</w:t>
            </w:r>
          </w:p>
        </w:tc>
      </w:tr>
      <w:tr>
        <w:trPr>
          <w:trHeight w:val="199"/>
        </w:trPr>
        <w:tc>
          <w:tcPr>
            <w:tcW w:w="7280" w:type="dxa"/>
            <w:vAlign w:val="bottom"/>
          </w:tcPr>
          <w:p>
            <w:pPr>
              <w:ind w:left="14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(131.7)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(114.9)</w:t>
            </w: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Treasury stock, at cost, of 23.8 and 23.8 shares, respectively</w:t>
            </w:r>
          </w:p>
        </w:tc>
        <w:tc>
          <w:tcPr>
            <w:tcW w:w="20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(2,537.9)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(2,532.5)</w:t>
            </w:r>
          </w:p>
        </w:tc>
      </w:tr>
      <w:tr>
        <w:trPr>
          <w:trHeight w:val="192"/>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2,463.4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2,378.8</w:t>
            </w:r>
          </w:p>
        </w:tc>
      </w:tr>
      <w:tr>
        <w:trPr>
          <w:trHeight w:val="225"/>
        </w:trPr>
        <w:tc>
          <w:tcPr>
            <w:tcW w:w="7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3,864.3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3,814.6</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 except per-share data)</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8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Three Months Ended</w:t>
            </w:r>
          </w:p>
        </w:tc>
      </w:tr>
      <w:tr>
        <w:trPr>
          <w:trHeight w:val="155"/>
        </w:trPr>
        <w:tc>
          <w:tcPr>
            <w:tcW w:w="8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rPr>
              <w:t>November 30,</w:t>
            </w:r>
          </w:p>
        </w:tc>
        <w:tc>
          <w:tcPr>
            <w:tcW w:w="160" w:type="dxa"/>
            <w:vAlign w:val="bottom"/>
          </w:tcPr>
          <w:p>
            <w:pPr>
              <w:spacing w:after="0"/>
              <w:rPr>
                <w:sz w:val="13"/>
                <w:szCs w:val="13"/>
                <w:color w:val="auto"/>
              </w:rPr>
            </w:pPr>
          </w:p>
        </w:tc>
        <w:tc>
          <w:tcPr>
            <w:tcW w:w="1300" w:type="dxa"/>
            <w:vAlign w:val="bottom"/>
          </w:tcPr>
          <w:p>
            <w:pPr>
              <w:jc w:val="right"/>
              <w:ind w:right="119"/>
              <w:spacing w:after="0" w:line="155" w:lineRule="exact"/>
              <w:rPr>
                <w:sz w:val="20"/>
                <w:szCs w:val="20"/>
                <w:color w:val="auto"/>
              </w:rPr>
            </w:pPr>
            <w:r>
              <w:rPr>
                <w:rFonts w:ascii="Arial" w:cs="Arial" w:eastAsia="Arial" w:hAnsi="Arial"/>
                <w:sz w:val="16"/>
                <w:szCs w:val="16"/>
                <w:b w:val="1"/>
                <w:bCs w:val="1"/>
                <w:color w:val="auto"/>
              </w:rPr>
              <w:t>November 30,</w:t>
            </w:r>
          </w:p>
        </w:tc>
      </w:tr>
      <w:tr>
        <w:trPr>
          <w:trHeight w:val="216"/>
        </w:trPr>
        <w:tc>
          <w:tcPr>
            <w:tcW w:w="8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934.7</w:t>
            </w:r>
          </w:p>
        </w:tc>
      </w:tr>
      <w:tr>
        <w:trPr>
          <w:trHeight w:val="215"/>
        </w:trPr>
        <w:tc>
          <w:tcPr>
            <w:tcW w:w="8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products sold</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506.3</w:t>
            </w: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428.4</w:t>
            </w:r>
          </w:p>
        </w:tc>
      </w:tr>
      <w:tr>
        <w:trPr>
          <w:trHeight w:val="215"/>
        </w:trPr>
        <w:tc>
          <w:tcPr>
            <w:tcW w:w="8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Selling, distribution, and administrative expenses</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295.5</w:t>
            </w: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6"/>
                <w:szCs w:val="16"/>
                <w:color w:val="auto"/>
              </w:rPr>
              <w:t>Operating profit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r>
      <w:tr>
        <w:trPr>
          <w:trHeight w:val="215"/>
        </w:trPr>
        <w:tc>
          <w:tcPr>
            <w:tcW w:w="8160" w:type="dxa"/>
            <w:vAlign w:val="bottom"/>
          </w:tcPr>
          <w:p>
            <w:pPr>
              <w:spacing w:after="0"/>
              <w:rPr>
                <w:sz w:val="20"/>
                <w:szCs w:val="20"/>
                <w:color w:val="auto"/>
              </w:rPr>
            </w:pPr>
            <w:r>
              <w:rPr>
                <w:rFonts w:ascii="Arial" w:cs="Arial" w:eastAsia="Arial" w:hAnsi="Arial"/>
                <w:sz w:val="16"/>
                <w:szCs w:val="16"/>
                <w:color w:val="auto"/>
              </w:rPr>
              <w:t>Other (income) expense:</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(income) expense, net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5"/>
        </w:trPr>
        <w:tc>
          <w:tcPr>
            <w:tcW w:w="81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Miscellaneous expense, net</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10"/>
        </w:trPr>
        <w:tc>
          <w:tcPr>
            <w:tcW w:w="8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other (income) expense</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9"/>
        </w:trPr>
        <w:tc>
          <w:tcPr>
            <w:tcW w:w="816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130.9</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r>
      <w:tr>
        <w:trPr>
          <w:trHeight w:val="210"/>
        </w:trPr>
        <w:tc>
          <w:tcPr>
            <w:tcW w:w="8160" w:type="dxa"/>
            <w:vAlign w:val="bottom"/>
          </w:tcPr>
          <w:p>
            <w:pPr>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8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16"/>
        </w:trPr>
        <w:tc>
          <w:tcPr>
            <w:tcW w:w="8160" w:type="dxa"/>
            <w:vAlign w:val="bottom"/>
          </w:tcPr>
          <w:p>
            <w:pPr>
              <w:spacing w:after="0" w:line="216" w:lineRule="exact"/>
              <w:rPr>
                <w:sz w:val="20"/>
                <w:szCs w:val="20"/>
                <w:color w:val="auto"/>
              </w:rPr>
            </w:pPr>
            <w:r>
              <w:rPr>
                <w:rFonts w:ascii="Arial" w:cs="Arial" w:eastAsia="Arial" w:hAnsi="Arial"/>
                <w:sz w:val="16"/>
                <w:szCs w:val="16"/>
                <w:color w:val="auto"/>
              </w:rPr>
              <w:t>Earnings per share</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1"/>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160" w:type="dxa"/>
            <w:vAlign w:val="bottom"/>
          </w:tcPr>
          <w:p>
            <w:pPr>
              <w:ind w:left="120"/>
              <w:spacing w:after="0"/>
              <w:rPr>
                <w:sz w:val="20"/>
                <w:szCs w:val="20"/>
                <w:color w:val="auto"/>
              </w:rPr>
            </w:pPr>
            <w:r>
              <w:rPr>
                <w:rFonts w:ascii="Arial" w:cs="Arial" w:eastAsia="Arial" w:hAnsi="Arial"/>
                <w:sz w:val="16"/>
                <w:szCs w:val="16"/>
                <w:color w:val="auto"/>
              </w:rPr>
              <w:t>Basic weighted average number of shares outstanding</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31.005</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5"/>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Diluted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160" w:type="dxa"/>
            <w:vAlign w:val="bottom"/>
          </w:tcPr>
          <w:p>
            <w:pPr>
              <w:ind w:left="120"/>
              <w:spacing w:after="0"/>
              <w:rPr>
                <w:sz w:val="20"/>
                <w:szCs w:val="20"/>
                <w:color w:val="auto"/>
              </w:rPr>
            </w:pPr>
            <w:r>
              <w:rPr>
                <w:rFonts w:ascii="Arial" w:cs="Arial" w:eastAsia="Arial" w:hAnsi="Arial"/>
                <w:sz w:val="16"/>
                <w:szCs w:val="16"/>
                <w:color w:val="auto"/>
              </w:rPr>
              <w:t>Diluted weighted average number of shares outstanding</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31.799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31.365</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5"/>
        </w:trPr>
        <w:tc>
          <w:tcPr>
            <w:tcW w:w="8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Dividends declared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0.13</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5"/>
        </w:trPr>
        <w:tc>
          <w:tcPr>
            <w:tcW w:w="8160" w:type="dxa"/>
            <w:vAlign w:val="bottom"/>
          </w:tcPr>
          <w:p>
            <w:pPr>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106.7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100.6</w:t>
            </w:r>
          </w:p>
        </w:tc>
      </w:tr>
      <w:tr>
        <w:trPr>
          <w:trHeight w:val="217"/>
        </w:trPr>
        <w:tc>
          <w:tcPr>
            <w:tcW w:w="816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(loss) items: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5"/>
        </w:trPr>
        <w:tc>
          <w:tcPr>
            <w:tcW w:w="8160" w:type="dxa"/>
            <w:vAlign w:val="bottom"/>
          </w:tcPr>
          <w:p>
            <w:pPr>
              <w:ind w:left="12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7"/>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Defined benefit plans, net of tax</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09"/>
        </w:trPr>
        <w:tc>
          <w:tcPr>
            <w:tcW w:w="81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comprehensive loss items, net of tax</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35"/>
        </w:trPr>
        <w:tc>
          <w:tcPr>
            <w:tcW w:w="8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w:t>
      </w:r>
    </w:p>
    <w:p>
      <w:pPr>
        <w:spacing w:after="0" w:line="63" w:lineRule="exact"/>
        <w:rPr>
          <w:sz w:val="20"/>
          <w:szCs w:val="20"/>
          <w:color w:val="auto"/>
        </w:rPr>
      </w:pPr>
    </w:p>
    <w:p>
      <w:pPr>
        <w:ind w:left="160" w:hanging="152"/>
        <w:spacing w:after="0"/>
        <w:tabs>
          <w:tab w:leader="none" w:pos="160" w:val="left"/>
        </w:tabs>
        <w:numPr>
          <w:ilvl w:val="0"/>
          <w:numId w:val="3"/>
        </w:numPr>
        <w:rPr>
          <w:rFonts w:ascii="Arial" w:cs="Arial" w:eastAsia="Arial" w:hAnsi="Arial"/>
          <w:sz w:val="9"/>
          <w:szCs w:val="9"/>
          <w:color w:val="auto"/>
        </w:rPr>
      </w:pPr>
      <w:r>
        <w:rPr>
          <w:rFonts w:ascii="Arial" w:cs="Arial" w:eastAsia="Arial" w:hAnsi="Arial"/>
          <w:sz w:val="14"/>
          <w:szCs w:val="14"/>
          <w:color w:val="auto"/>
        </w:rPr>
        <w:t>Earnings per share is calculated using unrounded numbers. Amounts in the table may not recalculate exactly due to rounding.</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2"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4"/>
          </w:tcPr>
          <w:p>
            <w:pPr>
              <w:jc w:val="right"/>
              <w:ind w:right="111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7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2024</w:t>
            </w:r>
          </w:p>
        </w:tc>
        <w:tc>
          <w:tcPr>
            <w:tcW w:w="160" w:type="dxa"/>
            <w:vAlign w:val="bottom"/>
          </w:tcPr>
          <w:p>
            <w:pPr>
              <w:spacing w:after="0"/>
              <w:rPr>
                <w:sz w:val="18"/>
                <w:szCs w:val="18"/>
                <w:color w:val="auto"/>
              </w:rPr>
            </w:pPr>
          </w:p>
        </w:tc>
        <w:tc>
          <w:tcPr>
            <w:tcW w:w="1780" w:type="dxa"/>
            <w:vAlign w:val="bottom"/>
          </w:tcPr>
          <w:p>
            <w:pPr>
              <w:jc w:val="right"/>
              <w:ind w:right="159"/>
              <w:spacing w:after="0"/>
              <w:rPr>
                <w:sz w:val="20"/>
                <w:szCs w:val="20"/>
                <w:color w:val="auto"/>
              </w:rPr>
            </w:pPr>
            <w:r>
              <w:rPr>
                <w:rFonts w:ascii="Arial" w:cs="Arial" w:eastAsia="Arial" w:hAnsi="Arial"/>
                <w:sz w:val="16"/>
                <w:szCs w:val="16"/>
                <w:b w:val="1"/>
                <w:bCs w:val="1"/>
                <w:color w:val="auto"/>
              </w:rPr>
              <w:t>November 30, 2023</w:t>
            </w:r>
          </w:p>
        </w:tc>
      </w:tr>
      <w:tr>
        <w:trPr>
          <w:trHeight w:val="196"/>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106.7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100.6</w:t>
            </w: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cash flows from operating activities: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payment expense</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15"/>
        </w:trPr>
        <w:tc>
          <w:tcPr>
            <w:tcW w:w="724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 net of acquisitions and divestitures:</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Prepayments and other current assets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09"/>
        </w:trPr>
        <w:tc>
          <w:tcPr>
            <w:tcW w:w="72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190.0</w:t>
            </w: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72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used for investing activities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Repurchases of common stock</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(48.2)</w:t>
            </w: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stock option exercises and other</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Payments of taxes withheld on net settlement of equity awards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09"/>
        </w:trPr>
        <w:tc>
          <w:tcPr>
            <w:tcW w:w="72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used for financing activities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w:t>
            </w: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09"/>
        </w:trPr>
        <w:tc>
          <w:tcPr>
            <w:tcW w:w="724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115.4</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397.9</w:t>
            </w:r>
          </w:p>
        </w:tc>
      </w:tr>
      <w:tr>
        <w:trPr>
          <w:trHeight w:val="210"/>
        </w:trPr>
        <w:tc>
          <w:tcPr>
            <w:tcW w:w="724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513.3</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Income taxes paid during the period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paid during the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Acuity Brands, Inc. (referred to herein as “we,” “our,” “us,” the “Company,” or similar references) is a market-leading industrial technology company. We use technology to solve problems in spaces and light. Through our two business segments, Acuity Brands Lighting and Acuity Intelligent Spaces, we design, manufacture, and bring to market products and services that make a valuable difference in people's lives. We achieve growth through the development of innovative new products and services, including lighting, lighting controls, building management solutions, and location-aware applications.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Acuity Brands Lighting Segment</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Acuity Brands Lighting strategy is to increase product vitality, elevate service levels, use technology to improve and differentiate both our products and how we operate the business, and drive productivity. Acuity Brands Lighting's portfolio of lighting solutions includes commercial, architectural, and specialty lighting in addition to lighting controls and components that can be combined to create integrated lighting controls systems. We offer devices such as luminaires that predominantly utilize light emitting diode (“LED”) technology designed to optimize energy efficiency and comfort for various indoor and outdoor applications. Acuity Brands Lighting's portfolio of products includes but is not limited to the following brands: A-Light</w:t>
      </w:r>
      <w:r>
        <w:rPr>
          <w:rFonts w:ascii="Arial" w:cs="Arial" w:eastAsia="Arial" w:hAnsi="Arial"/>
          <w:sz w:val="23"/>
          <w:szCs w:val="23"/>
          <w:color w:val="auto"/>
          <w:vertAlign w:val="superscript"/>
        </w:rPr>
        <w:t>TM</w:t>
      </w:r>
      <w:r>
        <w:rPr>
          <w:rFonts w:ascii="Arial" w:cs="Arial" w:eastAsia="Arial" w:hAnsi="Arial"/>
          <w:sz w:val="18"/>
          <w:szCs w:val="18"/>
          <w:color w:val="auto"/>
        </w:rPr>
        <w:t>, Aculux</w:t>
      </w:r>
      <w:r>
        <w:rPr>
          <w:rFonts w:ascii="Arial" w:cs="Arial" w:eastAsia="Arial" w:hAnsi="Arial"/>
          <w:sz w:val="23"/>
          <w:szCs w:val="23"/>
          <w:color w:val="auto"/>
          <w:vertAlign w:val="superscript"/>
        </w:rPr>
        <w:t>TM</w:t>
      </w:r>
      <w:r>
        <w:rPr>
          <w:rFonts w:ascii="Arial" w:cs="Arial" w:eastAsia="Arial" w:hAnsi="Arial"/>
          <w:sz w:val="18"/>
          <w:szCs w:val="18"/>
          <w:color w:val="auto"/>
        </w:rPr>
        <w:t>, American Electric Lighting</w:t>
      </w:r>
      <w:r>
        <w:rPr>
          <w:rFonts w:ascii="Arial" w:cs="Arial" w:eastAsia="Arial" w:hAnsi="Arial"/>
          <w:sz w:val="23"/>
          <w:szCs w:val="23"/>
          <w:color w:val="auto"/>
          <w:vertAlign w:val="superscript"/>
        </w:rPr>
        <w:t>®</w:t>
      </w:r>
      <w:r>
        <w:rPr>
          <w:rFonts w:ascii="Arial" w:cs="Arial" w:eastAsia="Arial" w:hAnsi="Arial"/>
          <w:sz w:val="18"/>
          <w:szCs w:val="18"/>
          <w:color w:val="auto"/>
        </w:rPr>
        <w:t>, Cyclone</w:t>
      </w:r>
      <w:r>
        <w:rPr>
          <w:rFonts w:ascii="Arial" w:cs="Arial" w:eastAsia="Arial" w:hAnsi="Arial"/>
          <w:sz w:val="23"/>
          <w:szCs w:val="23"/>
          <w:color w:val="auto"/>
          <w:vertAlign w:val="superscript"/>
        </w:rPr>
        <w:t>TM</w:t>
      </w:r>
      <w:r>
        <w:rPr>
          <w:rFonts w:ascii="Arial" w:cs="Arial" w:eastAsia="Arial" w:hAnsi="Arial"/>
          <w:sz w:val="18"/>
          <w:szCs w:val="18"/>
          <w:color w:val="auto"/>
        </w:rPr>
        <w:t>, Dark to Light</w:t>
      </w:r>
      <w:r>
        <w:rPr>
          <w:rFonts w:ascii="Arial" w:cs="Arial" w:eastAsia="Arial" w:hAnsi="Arial"/>
          <w:sz w:val="23"/>
          <w:szCs w:val="23"/>
          <w:color w:val="auto"/>
          <w:vertAlign w:val="superscript"/>
        </w:rPr>
        <w:t>®</w:t>
      </w:r>
      <w:r>
        <w:rPr>
          <w:rFonts w:ascii="Arial" w:cs="Arial" w:eastAsia="Arial" w:hAnsi="Arial"/>
          <w:sz w:val="18"/>
          <w:szCs w:val="18"/>
          <w:color w:val="auto"/>
        </w:rPr>
        <w:t>, eldoLED</w:t>
      </w:r>
      <w:r>
        <w:rPr>
          <w:rFonts w:ascii="Arial" w:cs="Arial" w:eastAsia="Arial" w:hAnsi="Arial"/>
          <w:sz w:val="23"/>
          <w:szCs w:val="23"/>
          <w:color w:val="auto"/>
          <w:vertAlign w:val="superscript"/>
        </w:rPr>
        <w:t>®</w:t>
      </w:r>
      <w:r>
        <w:rPr>
          <w:rFonts w:ascii="Arial" w:cs="Arial" w:eastAsia="Arial" w:hAnsi="Arial"/>
          <w:sz w:val="18"/>
          <w:szCs w:val="18"/>
          <w:color w:val="auto"/>
        </w:rPr>
        <w:t>, Eureka</w:t>
      </w:r>
      <w:r>
        <w:rPr>
          <w:rFonts w:ascii="Arial" w:cs="Arial" w:eastAsia="Arial" w:hAnsi="Arial"/>
          <w:sz w:val="23"/>
          <w:szCs w:val="23"/>
          <w:color w:val="auto"/>
          <w:vertAlign w:val="superscript"/>
        </w:rPr>
        <w:t>®</w:t>
      </w:r>
      <w:r>
        <w:rPr>
          <w:rFonts w:ascii="Arial" w:cs="Arial" w:eastAsia="Arial" w:hAnsi="Arial"/>
          <w:sz w:val="18"/>
          <w:szCs w:val="18"/>
          <w:color w:val="auto"/>
        </w:rPr>
        <w:t>, Gotham</w:t>
      </w:r>
      <w:r>
        <w:rPr>
          <w:rFonts w:ascii="Arial" w:cs="Arial" w:eastAsia="Arial" w:hAnsi="Arial"/>
          <w:sz w:val="23"/>
          <w:szCs w:val="23"/>
          <w:color w:val="auto"/>
          <w:vertAlign w:val="superscript"/>
        </w:rPr>
        <w:t>®</w:t>
      </w:r>
      <w:r>
        <w:rPr>
          <w:rFonts w:ascii="Arial" w:cs="Arial" w:eastAsia="Arial" w:hAnsi="Arial"/>
          <w:sz w:val="18"/>
          <w:szCs w:val="18"/>
          <w:color w:val="auto"/>
        </w:rPr>
        <w:t>, Healthcare Lighting</w:t>
      </w:r>
      <w:r>
        <w:rPr>
          <w:rFonts w:ascii="Arial" w:cs="Arial" w:eastAsia="Arial" w:hAnsi="Arial"/>
          <w:sz w:val="23"/>
          <w:szCs w:val="23"/>
          <w:color w:val="auto"/>
          <w:vertAlign w:val="superscript"/>
        </w:rPr>
        <w:t>®</w:t>
      </w:r>
      <w:r>
        <w:rPr>
          <w:rFonts w:ascii="Arial" w:cs="Arial" w:eastAsia="Arial" w:hAnsi="Arial"/>
          <w:sz w:val="18"/>
          <w:szCs w:val="18"/>
          <w:color w:val="auto"/>
        </w:rPr>
        <w:t>, Holophane</w:t>
      </w:r>
      <w:r>
        <w:rPr>
          <w:rFonts w:ascii="Arial" w:cs="Arial" w:eastAsia="Arial" w:hAnsi="Arial"/>
          <w:sz w:val="23"/>
          <w:szCs w:val="23"/>
          <w:color w:val="auto"/>
          <w:vertAlign w:val="superscript"/>
        </w:rPr>
        <w:t>®</w:t>
      </w:r>
      <w:r>
        <w:rPr>
          <w:rFonts w:ascii="Arial" w:cs="Arial" w:eastAsia="Arial" w:hAnsi="Arial"/>
          <w:sz w:val="18"/>
          <w:szCs w:val="18"/>
          <w:color w:val="auto"/>
        </w:rPr>
        <w:t>, Hydrel</w:t>
      </w:r>
      <w:r>
        <w:rPr>
          <w:rFonts w:ascii="Arial" w:cs="Arial" w:eastAsia="Arial" w:hAnsi="Arial"/>
          <w:sz w:val="23"/>
          <w:szCs w:val="23"/>
          <w:color w:val="auto"/>
          <w:vertAlign w:val="superscript"/>
        </w:rPr>
        <w:t>®</w:t>
      </w:r>
      <w:r>
        <w:rPr>
          <w:rFonts w:ascii="Arial" w:cs="Arial" w:eastAsia="Arial" w:hAnsi="Arial"/>
          <w:sz w:val="18"/>
          <w:szCs w:val="18"/>
          <w:color w:val="auto"/>
        </w:rPr>
        <w:t>, IOTA</w:t>
      </w:r>
      <w:r>
        <w:rPr>
          <w:rFonts w:ascii="Arial" w:cs="Arial" w:eastAsia="Arial" w:hAnsi="Arial"/>
          <w:sz w:val="23"/>
          <w:szCs w:val="23"/>
          <w:color w:val="auto"/>
          <w:vertAlign w:val="superscript"/>
        </w:rPr>
        <w:t>®</w:t>
      </w:r>
      <w:r>
        <w:rPr>
          <w:rFonts w:ascii="Arial" w:cs="Arial" w:eastAsia="Arial" w:hAnsi="Arial"/>
          <w:sz w:val="18"/>
          <w:szCs w:val="18"/>
          <w:color w:val="auto"/>
        </w:rPr>
        <w:t>, Juno</w:t>
      </w:r>
      <w:r>
        <w:rPr>
          <w:rFonts w:ascii="Arial" w:cs="Arial" w:eastAsia="Arial" w:hAnsi="Arial"/>
          <w:sz w:val="23"/>
          <w:szCs w:val="23"/>
          <w:color w:val="auto"/>
          <w:vertAlign w:val="superscript"/>
        </w:rPr>
        <w:t>®</w:t>
      </w:r>
      <w:r>
        <w:rPr>
          <w:rFonts w:ascii="Arial" w:cs="Arial" w:eastAsia="Arial" w:hAnsi="Arial"/>
          <w:sz w:val="18"/>
          <w:szCs w:val="18"/>
          <w:color w:val="auto"/>
        </w:rPr>
        <w:t>, Lithonia Lighting</w:t>
      </w:r>
      <w:r>
        <w:rPr>
          <w:rFonts w:ascii="Arial" w:cs="Arial" w:eastAsia="Arial" w:hAnsi="Arial"/>
          <w:sz w:val="23"/>
          <w:szCs w:val="23"/>
          <w:color w:val="auto"/>
          <w:vertAlign w:val="superscript"/>
        </w:rPr>
        <w:t>®</w:t>
      </w:r>
      <w:r>
        <w:rPr>
          <w:rFonts w:ascii="Arial" w:cs="Arial" w:eastAsia="Arial" w:hAnsi="Arial"/>
          <w:sz w:val="18"/>
          <w:szCs w:val="18"/>
          <w:color w:val="auto"/>
        </w:rPr>
        <w:t>, Luminaire LED</w:t>
      </w:r>
      <w:r>
        <w:rPr>
          <w:rFonts w:ascii="Arial" w:cs="Arial" w:eastAsia="Arial" w:hAnsi="Arial"/>
          <w:sz w:val="23"/>
          <w:szCs w:val="23"/>
          <w:color w:val="auto"/>
          <w:vertAlign w:val="superscript"/>
        </w:rPr>
        <w:t>TM</w:t>
      </w:r>
      <w:r>
        <w:rPr>
          <w:rFonts w:ascii="Arial" w:cs="Arial" w:eastAsia="Arial" w:hAnsi="Arial"/>
          <w:sz w:val="18"/>
          <w:szCs w:val="18"/>
          <w:color w:val="auto"/>
        </w:rPr>
        <w:t>, Luminis</w:t>
      </w:r>
      <w:r>
        <w:rPr>
          <w:rFonts w:ascii="Arial" w:cs="Arial" w:eastAsia="Arial" w:hAnsi="Arial"/>
          <w:sz w:val="23"/>
          <w:szCs w:val="23"/>
          <w:color w:val="auto"/>
          <w:vertAlign w:val="superscript"/>
        </w:rPr>
        <w:t>®</w:t>
      </w:r>
      <w:r>
        <w:rPr>
          <w:rFonts w:ascii="Arial" w:cs="Arial" w:eastAsia="Arial" w:hAnsi="Arial"/>
          <w:sz w:val="18"/>
          <w:szCs w:val="18"/>
          <w:color w:val="auto"/>
        </w:rPr>
        <w:t>, Mark Architectural Lighting</w:t>
      </w:r>
      <w:r>
        <w:rPr>
          <w:rFonts w:ascii="Arial" w:cs="Arial" w:eastAsia="Arial" w:hAnsi="Arial"/>
          <w:sz w:val="23"/>
          <w:szCs w:val="23"/>
          <w:color w:val="auto"/>
          <w:vertAlign w:val="superscript"/>
        </w:rPr>
        <w:t>TM</w:t>
      </w:r>
      <w:r>
        <w:rPr>
          <w:rFonts w:ascii="Arial" w:cs="Arial" w:eastAsia="Arial" w:hAnsi="Arial"/>
          <w:sz w:val="18"/>
          <w:szCs w:val="18"/>
          <w:color w:val="auto"/>
        </w:rPr>
        <w:t>, nLight</w:t>
      </w:r>
      <w:r>
        <w:rPr>
          <w:rFonts w:ascii="Arial" w:cs="Arial" w:eastAsia="Arial" w:hAnsi="Arial"/>
          <w:sz w:val="23"/>
          <w:szCs w:val="23"/>
          <w:color w:val="auto"/>
          <w:vertAlign w:val="superscript"/>
        </w:rPr>
        <w:t>®</w:t>
      </w:r>
      <w:r>
        <w:rPr>
          <w:rFonts w:ascii="Arial" w:cs="Arial" w:eastAsia="Arial" w:hAnsi="Arial"/>
          <w:sz w:val="18"/>
          <w:szCs w:val="18"/>
          <w:color w:val="auto"/>
        </w:rPr>
        <w:t>, OPTOTRONIC</w:t>
      </w:r>
      <w:r>
        <w:rPr>
          <w:rFonts w:ascii="Arial" w:cs="Arial" w:eastAsia="Arial" w:hAnsi="Arial"/>
          <w:sz w:val="23"/>
          <w:szCs w:val="23"/>
          <w:color w:val="auto"/>
          <w:vertAlign w:val="superscript"/>
        </w:rPr>
        <w:t>®</w:t>
      </w:r>
      <w:r>
        <w:rPr>
          <w:rFonts w:ascii="Arial" w:cs="Arial" w:eastAsia="Arial" w:hAnsi="Arial"/>
          <w:sz w:val="18"/>
          <w:szCs w:val="18"/>
          <w:color w:val="auto"/>
        </w:rPr>
        <w:t>, Peerless</w:t>
      </w:r>
      <w:r>
        <w:rPr>
          <w:rFonts w:ascii="Arial" w:cs="Arial" w:eastAsia="Arial" w:hAnsi="Arial"/>
          <w:sz w:val="23"/>
          <w:szCs w:val="23"/>
          <w:color w:val="auto"/>
          <w:vertAlign w:val="superscript"/>
        </w:rPr>
        <w:t>®</w:t>
      </w:r>
      <w:r>
        <w:rPr>
          <w:rFonts w:ascii="Arial" w:cs="Arial" w:eastAsia="Arial" w:hAnsi="Arial"/>
          <w:sz w:val="18"/>
          <w:szCs w:val="18"/>
          <w:color w:val="auto"/>
        </w:rPr>
        <w:t>, RELOC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Wiring Solutions, and SensorSwitch</w:t>
      </w:r>
      <w:r>
        <w:rPr>
          <w:rFonts w:ascii="Arial" w:cs="Arial" w:eastAsia="Arial" w:hAnsi="Arial"/>
          <w:sz w:val="23"/>
          <w:szCs w:val="23"/>
          <w:color w:val="auto"/>
          <w:vertAlign w:val="superscript"/>
        </w:rPr>
        <w:t>TM</w:t>
      </w:r>
      <w:r>
        <w:rPr>
          <w:rFonts w:ascii="Arial" w:cs="Arial" w:eastAsia="Arial" w:hAnsi="Arial"/>
          <w:sz w:val="18"/>
          <w:szCs w:val="18"/>
          <w:color w:val="auto"/>
        </w:rPr>
        <w:t>.</w:t>
      </w:r>
    </w:p>
    <w:p>
      <w:pPr>
        <w:spacing w:after="0" w:line="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Principal customers of Acuity Brands Lighting include electrical distributors, retail home improvement centers, electric utilities, corporate accounts, original equipment manufacturer (“OEM”) customers, digital retailers, lighting showrooms, and energy service companies. Customers of Acuity Brands Lighting are located in North America and select international markets that serve new construction, renovation and retrofit, and maintenance and repair applications. Acuity Brands Lighting's lighting and lighting controls solutions are sold primarily through a network of independent sales agencies that cover specific geographic areas and market channels, by internal sales representatives, through consumer retail channels, directly to large corporate accounts, and directly to OEM customers. Products are delivered primarily through a network of distribution centers as well as directly from our manufacturing facilities using both common carriers and an internally-managed truck fleet.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Acuity Intelligent Spaces Segment</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mission in Acuity Intelligent Spaces is to make spaces smarter, safer, and greener through our strategy of connecting the edge with the cloud using disruptive technologies that leverage data interoperability. Acuity Intelligent Spaces offers building management solutions and building management software. Our building management solutions include products for controlling heating, ventilation, and air conditioning (“HVAC”), lighting, shades, refrigeration, and building access that deliver end-to-end optimization of those building systems. Our intelligent building management software enhances the occupant experience, improves building system management, and automates labor intensive tasks while delivering operational energy efficiency and cost reductions. Through a connected and converged building system architecture, our software delivers different applications, allows clients to upgrade over time with natural refresh cycles, and deploys new capabilities. Customers of Acuity Intelligent Spaces primarily include system integrators as well as retail stores, airports, and enterprise campuses throughout North America and select international locations. Acuity Intelligent Spaces products and solutions are marketed under multiple brand names, including but not limited to, Atrius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Distech Controls</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have prepared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accordance with U.S. generally accepted accounting principles (“U.S. GAAP”) to present the financial position, results of operations, and cash flows of Acuity Brands, Inc. and its wholly-owned subsidiaries.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unaudited interim consolidated financial statements reflect all normal and recurring adjustments that are, in the opinion of management, necessary to present fairly our consolidated financial position as of November 30, 2024, our consolidated comprehensive income for the three months ended November 30, 2024 and November 30, 2023, and our consolidated cash flows for the three months ended November 30, 2024 and November 30, 2023. Certain information and footnote disclosures normally included in our annual financial statements prepared in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accordance with U.S. GAAP have been condensed or omitted. However, we believe that the disclosures included herein are adequate to make the information presented not misleading. These financial statements should be read in conjunction with the audited consolidated financial statements as of and for the three years in the period ended August 31, 2024 and notes thereto included in our Annual Report on Form 10-K filed with the Securities and Exchange Commission (the “SEC”) on October 28, 2024 (“Form 10-K”).</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business exhibits some seasonality, with net sales being affected by weather and seasonal demand on construction and installation programs, particularly during the winter months, as well as the annual budget cycles of major customers. Historically, with certain exceptions, we have experienced our highest sales in the last two quarters of each fiscal year due to these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may reclassify certain prior period amounts to conform to the current year presentation. No material reclassifications occurred during the current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New Accounting Pronouncements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23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Accounting Standards Update (</w:t>
      </w:r>
      <w:r>
        <w:rPr>
          <w:rFonts w:ascii="Arial" w:cs="Arial" w:eastAsia="Arial" w:hAnsi="Arial"/>
          <w:sz w:val="16"/>
          <w:szCs w:val="16"/>
          <w:color w:val="auto"/>
        </w:rPr>
        <w:t>“</w:t>
      </w:r>
      <w:r>
        <w:rPr>
          <w:rFonts w:ascii="Arial" w:cs="Arial" w:eastAsia="Arial" w:hAnsi="Arial"/>
          <w:sz w:val="18"/>
          <w:szCs w:val="18"/>
          <w:i w:val="1"/>
          <w:iCs w:val="1"/>
          <w:color w:val="auto"/>
        </w:rPr>
        <w:t>ASU</w:t>
      </w:r>
      <w:r>
        <w:rPr>
          <w:rFonts w:ascii="Arial" w:cs="Arial" w:eastAsia="Arial" w:hAnsi="Arial"/>
          <w:sz w:val="18"/>
          <w:szCs w:val="18"/>
          <w:color w:val="auto"/>
        </w:rPr>
        <w:t>”</w:t>
      </w:r>
      <w:r>
        <w:rPr>
          <w:rFonts w:ascii="Arial" w:cs="Arial" w:eastAsia="Arial" w:hAnsi="Arial"/>
          <w:sz w:val="18"/>
          <w:szCs w:val="18"/>
          <w:i w:val="1"/>
          <w:iCs w:val="1"/>
          <w:color w:val="auto"/>
        </w:rPr>
        <w:t>) 2024-03, Income Statement - Reporting Comprehensive Income - Expense Disaggregation Disclosures (Topic 220): Disaggregation of Income Statement Expenses (</w:t>
      </w:r>
      <w:r>
        <w:rPr>
          <w:rFonts w:ascii="Arial" w:cs="Arial" w:eastAsia="Arial" w:hAnsi="Arial"/>
          <w:sz w:val="18"/>
          <w:szCs w:val="18"/>
          <w:color w:val="auto"/>
        </w:rPr>
        <w:t>“</w:t>
      </w:r>
      <w:r>
        <w:rPr>
          <w:rFonts w:ascii="Arial" w:cs="Arial" w:eastAsia="Arial" w:hAnsi="Arial"/>
          <w:sz w:val="18"/>
          <w:szCs w:val="18"/>
          <w:i w:val="1"/>
          <w:iCs w:val="1"/>
          <w:color w:val="auto"/>
        </w:rPr>
        <w:t>ASU 2024-03</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2024, the Financial Accounting Standards Board (“FASB”) issued ASU 2024-03, which requires public entities to disaggregate specific types of expenses, including disclosures for purchases of inventory, employee compensation, depreciation, and intangible asset amortization, as well as selling expenses. Annual disclosures are required for fiscal years beginning after December 15, 2026, or our fiscal 2028. Interim disclosures are required for periods within fiscal years beginning after December 15, 2027, or our fiscal 2029. Prospective application is required, and retrospective application is permitted. Early adoption is permitted. We are currently assessing the impact of the requirements on our consolidated financial statements and disclosures.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2023-09, Income Taxes (Topic 740): Improvements to Income Tax Disclosures (</w:t>
      </w:r>
      <w:r>
        <w:rPr>
          <w:rFonts w:ascii="Arial" w:cs="Arial" w:eastAsia="Arial" w:hAnsi="Arial"/>
          <w:sz w:val="18"/>
          <w:szCs w:val="18"/>
          <w:color w:val="auto"/>
        </w:rPr>
        <w:t>“</w:t>
      </w:r>
      <w:r>
        <w:rPr>
          <w:rFonts w:ascii="Arial" w:cs="Arial" w:eastAsia="Arial" w:hAnsi="Arial"/>
          <w:sz w:val="18"/>
          <w:szCs w:val="18"/>
          <w:i w:val="1"/>
          <w:iCs w:val="1"/>
          <w:color w:val="auto"/>
        </w:rPr>
        <w:t>ASU 2023-09</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2023, the FASB issued ASU 2023-09, which expands income tax disclosure requirements to include additional information related to the rate reconciliation of our effective tax rates to statutory rates as well as additional disaggregation of taxes paid. The amendments in the ASU also remove disclosures related to certain unrecognized tax benefits and deferred taxes. ASU 2023-09 is effective for fiscal years beginning after December 15, 2024, or our fiscal 2026. The amendments may be applied prospectively or retrospectively, and early adoption is permitted. We are currently assessing the impact of the requirements on our consolidated financial statements and disclosures.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2023-07, Segment Reporting (Topic 280): Improvements to Reportable Segment Disclosures (</w:t>
      </w:r>
      <w:r>
        <w:rPr>
          <w:rFonts w:ascii="Arial" w:cs="Arial" w:eastAsia="Arial" w:hAnsi="Arial"/>
          <w:sz w:val="18"/>
          <w:szCs w:val="18"/>
          <w:color w:val="auto"/>
        </w:rPr>
        <w:t>“</w:t>
      </w:r>
      <w:r>
        <w:rPr>
          <w:rFonts w:ascii="Arial" w:cs="Arial" w:eastAsia="Arial" w:hAnsi="Arial"/>
          <w:sz w:val="18"/>
          <w:szCs w:val="18"/>
          <w:i w:val="1"/>
          <w:iCs w:val="1"/>
          <w:color w:val="auto"/>
        </w:rPr>
        <w:t>ASU 2023-07</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2023, the FASB issued ASU 2023-07, which expands reportable segment disclosure requirements, primarily through enhanced disclosures about significant segment expenses. The amendments in the ASU require that a public entity disclose, on an annual and interim basis, significant segment expenses that are regularly provided to an entity's chief operating decision maker (“CODM”), a description of other segment items by reportable segment, and any additional measures of a segment's profit or loss used by the CODM when deciding how to allocate resources. Annual disclosures are required for fiscal years beginning after December 15, 2023 or our fiscal</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2025. Interim disclosures are required for periods within fiscal years beginning after December 15, 2024, or our fiscal 2026. Retrospective application is required for all prior periods presented, and early adoption is permitted. We are currently assessing the impact of the requirements on our consolidated financial statements and disclosures.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determine fair value measurements based on the assumptions a market participant would use in pricing an asset or liability.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establishes a three-level hierarchy that distinguishes between market participant assumptions based on (i) unadjusted quoted prices for identical assets or liabilities in an active market (Level 1), (ii) 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utilize valuation methodologies to determine the fair values of our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 No transfers between the levels of the fair value hierarchy occurred during the current fiscal period. In the event of a transfer in or out of a level within the fair value hierarchy, the transfers would be recognized on the date of occurrence. We may from time to time be required to remeasure the carrying value of certain assets and liabilities to fair value on a nonrecurring basis. Such adjustments typically arise if we determine that certain of our assets are impaired.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Recorded at Fair Value</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summarizes balances and the fair value hierarchy level of our financial instruments recorded at fair value on a recurring basis as of the dates presented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rPr>
              <w:t>November 30, 2024</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August 31, 2024</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0"/>
        </w:trPr>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2</w:t>
            </w:r>
          </w:p>
        </w:tc>
        <w:tc>
          <w:tcPr>
            <w:tcW w:w="16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2</w:t>
            </w: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w:t>
            </w:r>
          </w:p>
        </w:tc>
      </w:tr>
      <w:tr>
        <w:trPr>
          <w:trHeight w:val="210"/>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845.8</w:t>
            </w: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Other financial instruments</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in fair value hierarchy</w:t>
            </w: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845.8</w:t>
            </w:r>
          </w:p>
        </w:tc>
      </w:tr>
      <w:tr>
        <w:trPr>
          <w:trHeight w:val="216"/>
        </w:trPr>
        <w:tc>
          <w:tcPr>
            <w:tcW w:w="27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Other investments</w:t>
            </w:r>
            <w:r>
              <w:rPr>
                <w:rFonts w:ascii="Arial" w:cs="Arial" w:eastAsia="Arial" w:hAnsi="Arial"/>
                <w:sz w:val="21"/>
                <w:szCs w:val="21"/>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r>
      <w:tr>
        <w:trPr>
          <w:trHeight w:val="235"/>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 at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852.5</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69" w:lineRule="exact"/>
        <w:rPr>
          <w:sz w:val="20"/>
          <w:szCs w:val="20"/>
          <w:color w:val="auto"/>
        </w:rPr>
      </w:pPr>
    </w:p>
    <w:p>
      <w:pPr>
        <w:ind w:firstLine="8"/>
        <w:spacing w:after="0" w:line="316" w:lineRule="auto"/>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Includes strategic investments in privately-held entities over which we do not exercise significant influence or control and without readily determinable fair values. Amounts are recorded at cost less any impairment adjusted for observable price changes, if any.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Disclosures of fair value information about financial instruments, for which it is practicable to estimate that value, are required each reporting period in addition to any financial instruments carried at fair value on a recurring basis as prescribed by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such as the discount rate and estimates of future cash flows.</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Fair value for our outstanding debt obligations is estimated based on discounted future cash flows using rates currently available for debt of similar terms and maturity (Level 2). Our senior unsecured public notes are carried at the outstanding balance, net of unamortized bond discount and deferred costs, as of the end of the reporting period.</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estimated fair value of our senior unsecured public notes was $432.5 million and $429.7 million as of November 30, 2024 and August 31, 2024, respectively.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had no short-term borrowings outstanding under our revolving credit facility as of November 30, 2024 and August 31, 2024. Such borrowings, if any, are variable-rate instruments that reset on a frequent short-term basis; therefore, we estimate that any outstanding carrying values of these instruments, which are equal to their face amounts, approximate their fair values. See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details on our outstanding borrowings.</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us. In many cases, the fair value estimates cannot be substantiated by comparison to independent markets, nor can the disclosed value be realized in immediate settlement of the instruments. In evaluating our management of liquidity and other risks, the fair values of all assets and liabilities should be taken into consideration, not only those presented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Inventories include materials, direct labor, inbound freight, customs, duties, tariffs, and related manufacturing overhead. Inventories are stated on a first-in, first-out basis at the lower of cost and net realizable value and consist of the following as of the dates presented (in millions):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2024</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2024</w:t>
            </w:r>
          </w:p>
        </w:tc>
      </w:tr>
      <w:tr>
        <w:trPr>
          <w:trHeight w:val="209"/>
        </w:trPr>
        <w:tc>
          <w:tcPr>
            <w:tcW w:w="720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6"/>
                <w:szCs w:val="16"/>
                <w:color w:val="auto"/>
              </w:rPr>
              <w:t xml:space="preserve">Raw materials, supplies, and work in process </w:t>
            </w:r>
            <w:r>
              <w:rPr>
                <w:rFonts w:ascii="Arial" w:cs="Arial" w:eastAsia="Arial" w:hAnsi="Arial"/>
                <w:sz w:val="21"/>
                <w:szCs w:val="21"/>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222.1</w:t>
            </w:r>
          </w:p>
        </w:tc>
      </w:tr>
      <w:tr>
        <w:trPr>
          <w:trHeight w:val="215"/>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Finished goods</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191.1</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Inventories excluding reserves</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413.2</w:t>
            </w:r>
          </w:p>
        </w:tc>
      </w:tr>
      <w:tr>
        <w:trPr>
          <w:trHeight w:val="215"/>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Reserves</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r>
      <w:tr>
        <w:trPr>
          <w:trHeight w:val="235"/>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inventories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387.6</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69" w:lineRule="exact"/>
        <w:rPr>
          <w:sz w:val="20"/>
          <w:szCs w:val="20"/>
          <w:color w:val="auto"/>
        </w:rPr>
      </w:pPr>
    </w:p>
    <w:p>
      <w:pPr>
        <w:ind w:firstLine="8"/>
        <w:spacing w:after="0" w:line="316"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Due to the immaterial amount of estimated work in process and the short lead times for the conversion of raw materials to finished goods, we do not believe the segregation of raw materials and work in process is meaningful information.</w:t>
      </w:r>
    </w:p>
    <w:p>
      <w:pPr>
        <w:spacing w:after="0" w:line="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review inventory quantities on hand and record a provision for excess and obsolete inventory primarily based on estimated future demand and current market conditions. A significant change in customer demand and/or market conditions could render certain inventory obsolete and could have a material adverse impact on our operating results in the period the change occurs.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Plant, and Equipment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 as of the dates presented (in millions):</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2024</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2024</w:t>
            </w: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Land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215"/>
        </w:trPr>
        <w:tc>
          <w:tcPr>
            <w:tcW w:w="7200" w:type="dxa"/>
            <w:vAlign w:val="bottom"/>
          </w:tcPr>
          <w:p>
            <w:pPr>
              <w:spacing w:after="0"/>
              <w:rPr>
                <w:sz w:val="20"/>
                <w:szCs w:val="20"/>
                <w:color w:val="auto"/>
              </w:rPr>
            </w:pPr>
            <w:r>
              <w:rPr>
                <w:rFonts w:ascii="Arial" w:cs="Arial" w:eastAsia="Arial" w:hAnsi="Arial"/>
                <w:sz w:val="16"/>
                <w:szCs w:val="16"/>
                <w:color w:val="auto"/>
              </w:rPr>
              <w:t>Buildings and leasehold improvements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219.0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218.7</w:t>
            </w:r>
          </w:p>
        </w:tc>
      </w:tr>
      <w:tr>
        <w:trPr>
          <w:trHeight w:val="217"/>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Machinery, equipment, and information technology</w:t>
            </w: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758.7</w:t>
            </w:r>
          </w:p>
        </w:tc>
      </w:tr>
      <w:tr>
        <w:trPr>
          <w:trHeight w:val="209"/>
        </w:trPr>
        <w:tc>
          <w:tcPr>
            <w:tcW w:w="7200" w:type="dxa"/>
            <w:vAlign w:val="bottom"/>
          </w:tcPr>
          <w:p>
            <w:pPr>
              <w:spacing w:after="0"/>
              <w:rPr>
                <w:sz w:val="20"/>
                <w:szCs w:val="20"/>
                <w:color w:val="auto"/>
              </w:rPr>
            </w:pPr>
            <w:r>
              <w:rPr>
                <w:rFonts w:ascii="Arial" w:cs="Arial" w:eastAsia="Arial" w:hAnsi="Arial"/>
                <w:sz w:val="16"/>
                <w:szCs w:val="16"/>
                <w:color w:val="auto"/>
              </w:rPr>
              <w:t>Total property, plant, and equipment, at cost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1,005.0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999.7</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(695.8)</w:t>
            </w:r>
          </w:p>
        </w:tc>
      </w:tr>
      <w:tr>
        <w:trPr>
          <w:trHeight w:val="210"/>
        </w:trPr>
        <w:tc>
          <w:tcPr>
            <w:tcW w:w="72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303.9</w:t>
            </w:r>
          </w:p>
        </w:tc>
      </w:tr>
      <w:tr>
        <w:trPr>
          <w:trHeight w:val="21"/>
        </w:trPr>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Through multiple acquisitions, we acquired definite-lived intangible assets consisting primarily of customer relationships, patented technology, distribution networks, and trademarks and trade names associated with specific products, which are amortized over their estimated useful lives. Indefinite-lived intangible assets consist of trade names that are expected to generate cash flows indefinitely.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recorded amortization expense for definite-lived intangible assets of $8.7 million and $9.9 million during the three months ended November 30, 2024 and 2023,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 by segment during the periods presented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Acuity Brands</w:t>
            </w:r>
          </w:p>
        </w:tc>
        <w:tc>
          <w:tcPr>
            <w:tcW w:w="180" w:type="dxa"/>
            <w:vAlign w:val="bottom"/>
          </w:tcPr>
          <w:p>
            <w:pPr>
              <w:spacing w:after="0"/>
              <w:rPr>
                <w:sz w:val="16"/>
                <w:szCs w:val="16"/>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Acuity Intelligent</w:t>
            </w:r>
          </w:p>
        </w:tc>
        <w:tc>
          <w:tcPr>
            <w:tcW w:w="400" w:type="dxa"/>
            <w:vAlign w:val="bottom"/>
          </w:tcPr>
          <w:p>
            <w:pPr>
              <w:spacing w:after="0"/>
              <w:rPr>
                <w:sz w:val="16"/>
                <w:szCs w:val="16"/>
                <w:color w:val="auto"/>
              </w:rPr>
            </w:pPr>
          </w:p>
        </w:tc>
        <w:tc>
          <w:tcPr>
            <w:tcW w:w="1360" w:type="dxa"/>
            <w:vAlign w:val="bottom"/>
            <w:vMerge w:val="restart"/>
          </w:tcPr>
          <w:p>
            <w:pPr>
              <w:jc w:val="right"/>
              <w:ind w:right="6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Lighting</w:t>
            </w:r>
          </w:p>
        </w:tc>
        <w:tc>
          <w:tcPr>
            <w:tcW w:w="18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Spaces</w:t>
            </w:r>
          </w:p>
        </w:tc>
        <w:tc>
          <w:tcPr>
            <w:tcW w:w="4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August 31, 2024</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1,098.7</w:t>
            </w:r>
          </w:p>
        </w:tc>
        <w:tc>
          <w:tcPr>
            <w:tcW w:w="0" w:type="dxa"/>
            <w:vAlign w:val="bottom"/>
          </w:tcPr>
          <w:p>
            <w:pPr>
              <w:spacing w:after="0"/>
              <w:rPr>
                <w:sz w:val="1"/>
                <w:szCs w:val="1"/>
                <w:color w:val="auto"/>
              </w:rPr>
            </w:pPr>
          </w:p>
        </w:tc>
      </w:tr>
      <w:tr>
        <w:trPr>
          <w:trHeight w:val="215"/>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35"/>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November 30, 2024</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1,091.8</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Acuity Brands</w:t>
            </w:r>
          </w:p>
        </w:tc>
        <w:tc>
          <w:tcPr>
            <w:tcW w:w="180" w:type="dxa"/>
            <w:vAlign w:val="bottom"/>
          </w:tcPr>
          <w:p>
            <w:pPr>
              <w:spacing w:after="0"/>
              <w:rPr>
                <w:sz w:val="16"/>
                <w:szCs w:val="16"/>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Acuity Intelligent</w:t>
            </w:r>
          </w:p>
        </w:tc>
        <w:tc>
          <w:tcPr>
            <w:tcW w:w="400" w:type="dxa"/>
            <w:vAlign w:val="bottom"/>
          </w:tcPr>
          <w:p>
            <w:pPr>
              <w:spacing w:after="0"/>
              <w:rPr>
                <w:sz w:val="16"/>
                <w:szCs w:val="16"/>
                <w:color w:val="auto"/>
              </w:rPr>
            </w:pPr>
          </w:p>
        </w:tc>
        <w:tc>
          <w:tcPr>
            <w:tcW w:w="1360" w:type="dxa"/>
            <w:vAlign w:val="bottom"/>
            <w:vMerge w:val="restart"/>
          </w:tcPr>
          <w:p>
            <w:pPr>
              <w:jc w:val="right"/>
              <w:ind w:right="6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Lighting</w:t>
            </w:r>
          </w:p>
        </w:tc>
        <w:tc>
          <w:tcPr>
            <w:tcW w:w="18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Spaces</w:t>
            </w:r>
          </w:p>
        </w:tc>
        <w:tc>
          <w:tcPr>
            <w:tcW w:w="4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August 31, 2023</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1,097.9</w:t>
            </w:r>
          </w:p>
        </w:tc>
        <w:tc>
          <w:tcPr>
            <w:tcW w:w="0" w:type="dxa"/>
            <w:vAlign w:val="bottom"/>
          </w:tcPr>
          <w:p>
            <w:pPr>
              <w:spacing w:after="0"/>
              <w:rPr>
                <w:sz w:val="1"/>
                <w:szCs w:val="1"/>
                <w:color w:val="auto"/>
              </w:rPr>
            </w:pPr>
          </w:p>
        </w:tc>
      </w:tr>
      <w:tr>
        <w:trPr>
          <w:trHeight w:val="215"/>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35"/>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November 30, 2023</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discussion of goodwill and intangible assets is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Other Current Liabilities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 of the following as of the dates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2024</w:t>
            </w:r>
          </w:p>
        </w:tc>
        <w:tc>
          <w:tcPr>
            <w:tcW w:w="240" w:type="dxa"/>
            <w:vAlign w:val="bottom"/>
          </w:tcPr>
          <w:p>
            <w:pPr>
              <w:spacing w:after="0"/>
              <w:rPr>
                <w:sz w:val="18"/>
                <w:szCs w:val="18"/>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31, 2024</w:t>
            </w:r>
          </w:p>
        </w:tc>
      </w:tr>
      <w:tr>
        <w:trPr>
          <w:trHeight w:val="210"/>
        </w:trPr>
        <w:tc>
          <w:tcPr>
            <w:tcW w:w="71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Customer incentive programs</w:t>
            </w:r>
            <w:r>
              <w:rPr>
                <w:rFonts w:ascii="Arial" w:cs="Arial" w:eastAsia="Arial" w:hAnsi="Arial"/>
                <w:sz w:val="21"/>
                <w:szCs w:val="21"/>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Refunds to customers</w:t>
            </w:r>
            <w:r>
              <w:rPr>
                <w:rFonts w:ascii="Arial" w:cs="Arial" w:eastAsia="Arial" w:hAnsi="Arial"/>
                <w:sz w:val="21"/>
                <w:szCs w:val="21"/>
                <w:color w:val="auto"/>
                <w:vertAlign w:val="superscript"/>
              </w:rPr>
              <w:t>(1)</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216"/>
        </w:trPr>
        <w:tc>
          <w:tcPr>
            <w:tcW w:w="7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Deferred revenues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r>
      <w:tr>
        <w:trPr>
          <w:trHeight w:val="215"/>
        </w:trPr>
        <w:tc>
          <w:tcPr>
            <w:tcW w:w="7160" w:type="dxa"/>
            <w:vAlign w:val="bottom"/>
          </w:tcPr>
          <w:p>
            <w:pPr>
              <w:ind w:left="20"/>
              <w:spacing w:after="0"/>
              <w:rPr>
                <w:sz w:val="20"/>
                <w:szCs w:val="20"/>
                <w:color w:val="auto"/>
              </w:rPr>
            </w:pPr>
            <w:r>
              <w:rPr>
                <w:rFonts w:ascii="Arial" w:cs="Arial" w:eastAsia="Arial" w:hAnsi="Arial"/>
                <w:sz w:val="16"/>
                <w:szCs w:val="16"/>
                <w:color w:val="auto"/>
              </w:rPr>
              <w:t>Sales commissions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35.3</w:t>
            </w:r>
          </w:p>
        </w:tc>
      </w:tr>
      <w:tr>
        <w:trPr>
          <w:trHeight w:val="217"/>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Freight costs</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Product warranty costs</w:t>
            </w:r>
            <w:r>
              <w:rPr>
                <w:rFonts w:ascii="Arial" w:cs="Arial" w:eastAsia="Arial" w:hAnsi="Arial"/>
                <w:sz w:val="21"/>
                <w:szCs w:val="21"/>
                <w:color w:val="auto"/>
                <w:vertAlign w:val="superscript"/>
              </w:rPr>
              <w:t>(2)</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28.4</w:t>
            </w:r>
          </w:p>
        </w:tc>
      </w:tr>
      <w:tr>
        <w:trPr>
          <w:trHeight w:val="216"/>
        </w:trPr>
        <w:tc>
          <w:tcPr>
            <w:tcW w:w="7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Tax-related items</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Interest on long-term debt</w:t>
            </w:r>
            <w:r>
              <w:rPr>
                <w:rFonts w:ascii="Arial" w:cs="Arial" w:eastAsia="Arial" w:hAnsi="Arial"/>
                <w:sz w:val="21"/>
                <w:szCs w:val="21"/>
                <w:color w:val="auto"/>
                <w:vertAlign w:val="superscript"/>
              </w:rPr>
              <w:t>(4)</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5"/>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w:t>
            </w:r>
          </w:p>
        </w:tc>
      </w:tr>
      <w:tr>
        <w:trPr>
          <w:trHeight w:val="210"/>
        </w:trPr>
        <w:tc>
          <w:tcPr>
            <w:tcW w:w="7160" w:type="dxa"/>
            <w:vAlign w:val="bottom"/>
          </w:tcPr>
          <w:p>
            <w:pPr>
              <w:ind w:left="20"/>
              <w:spacing w:after="0"/>
              <w:rPr>
                <w:sz w:val="20"/>
                <w:szCs w:val="20"/>
                <w:color w:val="auto"/>
              </w:rPr>
            </w:pPr>
            <w:r>
              <w:rPr>
                <w:rFonts w:ascii="Arial" w:cs="Arial" w:eastAsia="Arial" w:hAnsi="Arial"/>
                <w:sz w:val="16"/>
                <w:szCs w:val="16"/>
                <w:color w:val="auto"/>
              </w:rPr>
              <w:t>Total other current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206.3</w:t>
            </w:r>
          </w:p>
        </w:tc>
      </w:tr>
      <w:tr>
        <w:trPr>
          <w:trHeight w:val="21"/>
        </w:trPr>
        <w:tc>
          <w:tcPr>
            <w:tcW w:w="7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69"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 xml:space="preserve">Refer to the </w:t>
      </w:r>
      <w:r>
        <w:rPr>
          <w:rFonts w:ascii="Arial" w:cs="Arial" w:eastAsia="Arial" w:hAnsi="Arial"/>
          <w:sz w:val="12"/>
          <w:szCs w:val="12"/>
          <w:i w:val="1"/>
          <w:iCs w:val="1"/>
          <w:color w:val="auto"/>
        </w:rPr>
        <w:t>Revenue Recognition</w:t>
      </w:r>
      <w:r>
        <w:rPr>
          <w:rFonts w:ascii="Arial" w:cs="Arial" w:eastAsia="Arial" w:hAnsi="Arial"/>
          <w:sz w:val="12"/>
          <w:szCs w:val="12"/>
          <w:color w:val="auto"/>
        </w:rPr>
        <w:t xml:space="preserve"> footnote of the </w:t>
      </w:r>
      <w:r>
        <w:rPr>
          <w:rFonts w:ascii="Arial" w:cs="Arial" w:eastAsia="Arial" w:hAnsi="Arial"/>
          <w:sz w:val="12"/>
          <w:szCs w:val="12"/>
          <w:i w:val="1"/>
          <w:iCs w:val="1"/>
          <w:color w:val="auto"/>
        </w:rPr>
        <w:t>Notes to Consolidated Financial Statements</w:t>
      </w:r>
      <w:r>
        <w:rPr>
          <w:rFonts w:ascii="Arial" w:cs="Arial" w:eastAsia="Arial" w:hAnsi="Arial"/>
          <w:sz w:val="12"/>
          <w:szCs w:val="12"/>
          <w:color w:val="auto"/>
        </w:rPr>
        <w:t xml:space="preserve"> within our Form 10-K for additional information.</w:t>
      </w:r>
    </w:p>
    <w:p>
      <w:pPr>
        <w:spacing w:after="0" w:line="59" w:lineRule="exact"/>
        <w:rPr>
          <w:rFonts w:ascii="Arial" w:cs="Arial" w:eastAsia="Arial" w:hAnsi="Arial"/>
          <w:sz w:val="16"/>
          <w:szCs w:val="16"/>
          <w:color w:val="auto"/>
          <w:vertAlign w:val="superscript"/>
        </w:rPr>
      </w:pPr>
    </w:p>
    <w:p>
      <w:pPr>
        <w:ind w:left="160" w:hanging="152"/>
        <w:spacing w:after="0" w:line="204" w:lineRule="auto"/>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40" w:lineRule="exact"/>
        <w:rPr>
          <w:rFonts w:ascii="Arial" w:cs="Arial" w:eastAsia="Arial" w:hAnsi="Arial"/>
          <w:sz w:val="18"/>
          <w:szCs w:val="18"/>
          <w:color w:val="auto"/>
          <w:vertAlign w:val="superscript"/>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Includes accruals for income, property, sales and use, and value-added taxes.</w:t>
      </w:r>
    </w:p>
    <w:p>
      <w:pPr>
        <w:spacing w:after="0" w:line="54" w:lineRule="exact"/>
        <w:rPr>
          <w:rFonts w:ascii="Arial" w:cs="Arial" w:eastAsia="Arial" w:hAnsi="Arial"/>
          <w:sz w:val="9"/>
          <w:szCs w:val="9"/>
          <w:color w:val="auto"/>
        </w:rPr>
      </w:pPr>
    </w:p>
    <w:p>
      <w:pPr>
        <w:ind w:left="140" w:hanging="132"/>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 xml:space="preserve">Refer to the </w:t>
      </w:r>
      <w:r>
        <w:rPr>
          <w:rFonts w:ascii="Arial" w:cs="Arial" w:eastAsia="Arial" w:hAnsi="Arial"/>
          <w:sz w:val="12"/>
          <w:szCs w:val="12"/>
          <w:i w:val="1"/>
          <w:iCs w:val="1"/>
          <w:color w:val="auto"/>
        </w:rPr>
        <w:t>Debt and Lines of Credit</w:t>
      </w:r>
      <w:r>
        <w:rPr>
          <w:rFonts w:ascii="Arial" w:cs="Arial" w:eastAsia="Arial" w:hAnsi="Arial"/>
          <w:sz w:val="12"/>
          <w:szCs w:val="12"/>
          <w:color w:val="auto"/>
        </w:rPr>
        <w:t xml:space="preserve"> footnote of the </w:t>
      </w:r>
      <w:r>
        <w:rPr>
          <w:rFonts w:ascii="Arial" w:cs="Arial" w:eastAsia="Arial" w:hAnsi="Arial"/>
          <w:sz w:val="12"/>
          <w:szCs w:val="12"/>
          <w:i w:val="1"/>
          <w:iCs w:val="1"/>
          <w:color w:val="auto"/>
        </w:rPr>
        <w:t>Notes to Consolidated Financial Statements</w:t>
      </w:r>
      <w:r>
        <w:rPr>
          <w:rFonts w:ascii="Arial" w:cs="Arial" w:eastAsia="Arial" w:hAnsi="Arial"/>
          <w:sz w:val="12"/>
          <w:szCs w:val="12"/>
          <w:color w:val="auto"/>
        </w:rPr>
        <w:t xml:space="preserve"> for additional information.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Debt and Lines of Credit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10, 2020, Acuity Brands Lighting, Inc., a wholly-owned operating subsidiary of Acuity Brands, Inc., issued $500.0 million aggregate principal amount of 2.150% senior unsecured notes due December 15, 2030 (the “Unsecured Notes”) at a price equal to 99.737% of their face value. Interest on the Unsecured Notes is paid semi-annually in arrears on June 15 and December 15 of each year. At issuance we recorded $4.8 million of deferred issuance costs related to the Unsecured Notes as a direct deduction from the face amount of the Unsecured Notes. These issuance costs are amortized over the 10-year term of the Unsecured Notes.</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Unsecured Notes are fully and unconditionally guaranteed on a senior unsecured basis by Acuity Brands, Inc. and ABL IP Holding LLC, a wholly-owned subsidiary of Acuity Brands, Inc.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June 30, 2022, we entered into a credit agreement (the “Credit Agreement”) with a syndicate of banks that provides us with a $600.0 million five-year unsecured revolving credit facility (the “Revolving Credit Facility”) with the ability to request an additional $ 400.0 million of borrowing capacity. We had no short-term borrowings outstanding under the Revolving Credit Facility at November 30, 2024 and August 31, 2024.</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November 25, 2024, we entered into an amendment to the Credit Agreement that, among other things, provides for a delayed draw term loan facility of up to $600.0 million (the “Term Loan Facility”), which may be drawn in a single borrowing at any time through May 25, 2025, subject to certain conditions. The Credit Agreement permits the proceeds of the Term Loan Facility to be used for general corporate purposes, including working capital, permitted acquisitions, and repurchases of capital stock.</w:t>
      </w:r>
    </w:p>
    <w:p>
      <w:pPr>
        <w:spacing w:after="0" w:line="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Term Loan Facility will mature on June 30, 2027, which is the maturity date of the revolving loans and commitments under the existing Credit Agreement. Borrowings under the Term Loan Facility bear interest at an adjusted term Secured Overnight Financing Rate (“SOFR”), adjusted daily simple SOFR rate, or base rate, at the Company’s option, plus an applicable margin. The applicable margin is based on, at our option, the Company’s leverage ratio or ratings level, each as defined in the Credit Agreement, and ranges from 0.875% to 1.375% (for SOFR-based loans) and from 0.0% to 0.375% (for base rate loans). Undrawn commitments under the Term Loan Facility will accrue a commitment fee from and after February 24, 2025 at a per annum rate ranging from 0.075% to 0.175%, depending on, at our option, the Company’s leverage ratio or ratings level, each as defined in the Credit Agreement.</w:t>
      </w:r>
    </w:p>
    <w:p>
      <w:pPr>
        <w:spacing w:after="0" w:line="8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covenants and events of default that apply to the revolving loans and commitments under the Credit Agreement also apply to the Term Loan Facility, and borrowings under the Term Loan Facility are guaranteed by the Company and the subsidiaries of the Company that guarantee the revolving loans and commitments. We had no borrowings outstanding under the Term Loan Facility at November 30, 2024.</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were in compliance with all financial covenants under the Credit Agreement as of the periods presented. At November 30, 2024, we had additional borrowing capacity under the Credit Agreement of $1.2 billion under the most restrictive covenant in effect at the time, which represents the full amount of the Revolving Credit Facility and the Term Loan Facility less outstanding letters of credit of $3.5 million issued under the Revolving Credit Facility, primarily for securing collateral requirements under our casualty insurance premiums.</w:t>
      </w:r>
    </w:p>
    <w:p>
      <w:pPr>
        <w:spacing w:after="0" w:line="9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None of our existing debt instruments include provisions that would require an acceleration of repayments based solely on changes in our credit ratings. Borrowings and repayments on our Revolving Credit Facility with terms of three months or less are reported on a net basis on our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the normal course of business, we are subject to the effects of certain contractual stipulations, events, transactions, and laws and regulations that may, at times, require the recognition of liabilities, such as those related to self-insurance estimated liabilities and claims, legal and contractual issues, environmental laws and regulations, guarantees, and indemnities. We establish estimated liabilities when the associated costs related to uncertainties or guarantees become probable and can be reasonably estimated. For the period ended November 30, 2024, no material changes have occurred in our estimated liabilities for self-insurance, litigation, environmental matters, guarantees, and indemnities, or relevant events and circumstances, from those disclosed in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Costs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products generally have a standard warranty term of five years that assure our products comply with agreed upon specifications. We record an accrual for the estimated amount of future warranty costs in accordance with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(“ASC 450”) when the related revenue is recognized and when costs are deemed to be probable and can be reasonably estimated. Liabilities related to product warranty costs are subject to uncertainty because they require estimates of future costs. Estimated future warranty costs are primarily based on historical experience, including the number and costs of identified warranty claims as well as the period of time between the shipment of products and our settlement of related claims. Any estimated or actual loss recoveries that offset our costs and payments are reflected as assets and included within </w:t>
      </w:r>
      <w:r>
        <w:rPr>
          <w:rFonts w:ascii="Arial" w:cs="Arial" w:eastAsia="Arial" w:hAnsi="Arial"/>
          <w:sz w:val="18"/>
          <w:szCs w:val="18"/>
          <w:i w:val="1"/>
          <w:iCs w:val="1"/>
          <w:color w:val="auto"/>
        </w:rPr>
        <w:t>Other current assets</w:t>
      </w:r>
      <w:r>
        <w:rPr>
          <w:rFonts w:ascii="Arial" w:cs="Arial" w:eastAsia="Arial" w:hAnsi="Arial"/>
          <w:sz w:val="18"/>
          <w:szCs w:val="18"/>
          <w:color w:val="auto"/>
        </w:rPr>
        <w:t xml:space="preserve"> or </w:t>
      </w:r>
      <w:r>
        <w:rPr>
          <w:rFonts w:ascii="Arial" w:cs="Arial" w:eastAsia="Arial" w:hAnsi="Arial"/>
          <w:sz w:val="18"/>
          <w:szCs w:val="18"/>
          <w:i w:val="1"/>
          <w:iCs w:val="1"/>
          <w:color w:val="auto"/>
        </w:rPr>
        <w:t>Other long-term assets</w:t>
      </w:r>
      <w:r>
        <w:rPr>
          <w:rFonts w:ascii="Arial" w:cs="Arial" w:eastAsia="Arial" w:hAnsi="Arial"/>
          <w:sz w:val="18"/>
          <w:szCs w:val="18"/>
          <w:color w:val="auto"/>
        </w:rPr>
        <w:t xml:space="preserve"> based on the timing of receipt of recovery. Recoveries are recorded net of allowances for credit losses.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Although we assume that historical experience will continue to be the best indicator of future warranty costs, we cannot assure that future warranty costs will not exceed historical amounts, and/or loss recoveries will not be fully collectible. If actual future warranty costs exceed recorded amounts, or recoveries are no longer collectible, adjustments to our accruals and/or receivables may be warranted, which could have a material adverse impact on our results of operations and cash flows.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Estimated liabilities for product warranty costs are included 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or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Balance Sheets </w:t>
      </w:r>
      <w:r>
        <w:rPr>
          <w:rFonts w:ascii="Arial" w:cs="Arial" w:eastAsia="Arial" w:hAnsi="Arial"/>
          <w:sz w:val="18"/>
          <w:szCs w:val="18"/>
          <w:color w:val="auto"/>
        </w:rPr>
        <w:t>based upon when we expect to settle the incurred warranty. The following table summarizes changes in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for product warranty costs during the periods presented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4"/>
          </w:tcPr>
          <w:p>
            <w:pPr>
              <w:ind w:left="1060"/>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7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2024</w:t>
            </w:r>
          </w:p>
        </w:tc>
        <w:tc>
          <w:tcPr>
            <w:tcW w:w="180" w:type="dxa"/>
            <w:vAlign w:val="bottom"/>
          </w:tcPr>
          <w:p>
            <w:pPr>
              <w:spacing w:after="0"/>
              <w:rPr>
                <w:sz w:val="18"/>
                <w:szCs w:val="18"/>
                <w:color w:val="auto"/>
              </w:rPr>
            </w:pPr>
          </w:p>
        </w:tc>
        <w:tc>
          <w:tcPr>
            <w:tcW w:w="1820" w:type="dxa"/>
            <w:vAlign w:val="bottom"/>
          </w:tcPr>
          <w:p>
            <w:pPr>
              <w:ind w:left="80"/>
              <w:spacing w:after="0"/>
              <w:rPr>
                <w:sz w:val="20"/>
                <w:szCs w:val="20"/>
                <w:color w:val="auto"/>
              </w:rPr>
            </w:pPr>
            <w:r>
              <w:rPr>
                <w:rFonts w:ascii="Arial" w:cs="Arial" w:eastAsia="Arial" w:hAnsi="Arial"/>
                <w:sz w:val="16"/>
                <w:szCs w:val="16"/>
                <w:b w:val="1"/>
                <w:bCs w:val="1"/>
                <w:color w:val="auto"/>
              </w:rPr>
              <w:t>November 30, 2023</w:t>
            </w:r>
          </w:p>
        </w:tc>
      </w:tr>
      <w:tr>
        <w:trPr>
          <w:trHeight w:val="210"/>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center"/>
              <w:ind w:left="1279"/>
              <w:spacing w:after="0"/>
              <w:rPr>
                <w:sz w:val="20"/>
                <w:szCs w:val="20"/>
                <w:color w:val="auto"/>
              </w:rPr>
            </w:pPr>
            <w:r>
              <w:rPr>
                <w:rFonts w:ascii="Arial" w:cs="Arial" w:eastAsia="Arial" w:hAnsi="Arial"/>
                <w:sz w:val="16"/>
                <w:szCs w:val="16"/>
                <w:color w:val="auto"/>
                <w:w w:val="96"/>
              </w:rPr>
              <w:t>31.6</w:t>
            </w:r>
          </w:p>
        </w:tc>
      </w:tr>
      <w:tr>
        <w:trPr>
          <w:trHeight w:val="216"/>
        </w:trPr>
        <w:tc>
          <w:tcPr>
            <w:tcW w:w="7100" w:type="dxa"/>
            <w:vAlign w:val="bottom"/>
          </w:tcPr>
          <w:p>
            <w:pPr>
              <w:ind w:left="20"/>
              <w:spacing w:after="0" w:line="216" w:lineRule="exact"/>
              <w:rPr>
                <w:sz w:val="20"/>
                <w:szCs w:val="20"/>
                <w:color w:val="auto"/>
              </w:rPr>
            </w:pPr>
            <w:r>
              <w:rPr>
                <w:rFonts w:ascii="Arial" w:cs="Arial" w:eastAsia="Arial" w:hAnsi="Arial"/>
                <w:sz w:val="16"/>
                <w:szCs w:val="16"/>
                <w:color w:val="auto"/>
              </w:rPr>
              <w:t>Product warranty costs</w:t>
            </w:r>
            <w:r>
              <w:rPr>
                <w:rFonts w:ascii="Arial" w:cs="Arial" w:eastAsia="Arial" w:hAnsi="Arial"/>
                <w:sz w:val="21"/>
                <w:szCs w:val="21"/>
                <w:color w:val="auto"/>
                <w:vertAlign w:val="superscript"/>
              </w:rPr>
              <w:t>(1)</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center"/>
              <w:ind w:left="1279"/>
              <w:spacing w:after="0"/>
              <w:rPr>
                <w:sz w:val="20"/>
                <w:szCs w:val="20"/>
                <w:color w:val="auto"/>
              </w:rPr>
            </w:pPr>
            <w:r>
              <w:rPr>
                <w:rFonts w:ascii="Arial" w:cs="Arial" w:eastAsia="Arial" w:hAnsi="Arial"/>
                <w:sz w:val="16"/>
                <w:szCs w:val="16"/>
                <w:color w:val="auto"/>
                <w:w w:val="96"/>
              </w:rPr>
              <w:t>12.4</w:t>
            </w:r>
          </w:p>
        </w:tc>
      </w:tr>
      <w:tr>
        <w:trPr>
          <w:trHeight w:val="216"/>
        </w:trPr>
        <w:tc>
          <w:tcPr>
            <w:tcW w:w="71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Payments and other deductions</w:t>
            </w:r>
            <w:r>
              <w:rPr>
                <w:rFonts w:ascii="Arial" w:cs="Arial" w:eastAsia="Arial" w:hAnsi="Arial"/>
                <w:sz w:val="21"/>
                <w:szCs w:val="21"/>
                <w:color w:val="auto"/>
                <w:vertAlign w:val="superscript"/>
              </w:rPr>
              <w:t>(1)</w:t>
            </w:r>
          </w:p>
        </w:tc>
        <w:tc>
          <w:tcPr>
            <w:tcW w:w="1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center"/>
              <w:ind w:left="1279"/>
              <w:spacing w:after="0"/>
              <w:rPr>
                <w:sz w:val="20"/>
                <w:szCs w:val="20"/>
                <w:color w:val="auto"/>
              </w:rPr>
            </w:pPr>
            <w:r>
              <w:rPr>
                <w:rFonts w:ascii="Arial" w:cs="Arial" w:eastAsia="Arial" w:hAnsi="Arial"/>
                <w:sz w:val="16"/>
                <w:szCs w:val="16"/>
                <w:color w:val="auto"/>
              </w:rPr>
              <w:t>(11.3)</w:t>
            </w:r>
          </w:p>
        </w:tc>
      </w:tr>
      <w:tr>
        <w:trPr>
          <w:trHeight w:val="210"/>
        </w:trPr>
        <w:tc>
          <w:tcPr>
            <w:tcW w:w="710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center"/>
              <w:ind w:left="1279"/>
              <w:spacing w:after="0"/>
              <w:rPr>
                <w:sz w:val="20"/>
                <w:szCs w:val="20"/>
                <w:color w:val="auto"/>
              </w:rPr>
            </w:pPr>
            <w:r>
              <w:rPr>
                <w:rFonts w:ascii="Arial" w:cs="Arial" w:eastAsia="Arial" w:hAnsi="Arial"/>
                <w:sz w:val="16"/>
                <w:szCs w:val="16"/>
                <w:color w:val="auto"/>
                <w:w w:val="96"/>
              </w:rPr>
              <w:t>32.7</w:t>
            </w:r>
          </w:p>
        </w:tc>
      </w:tr>
      <w:tr>
        <w:trPr>
          <w:trHeight w:val="20"/>
        </w:trPr>
        <w:tc>
          <w:tcPr>
            <w:tcW w:w="7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ind w:left="160" w:hanging="152"/>
        <w:spacing w:after="0" w:line="207" w:lineRule="auto"/>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2"/>
          <w:szCs w:val="12"/>
          <w:color w:val="auto"/>
        </w:rPr>
        <w:t>Amounts exclude any estimated or actual loss recoveries.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estimated liabilities for legal claims when associated costs become probable and can be reasonably estimated. The actual costs of resolving legal claims may be substantially higher than the amounts accrued for such claims. However, we cannot make a meaningful estimate of actual costs to be incurred that could possibly be higher or lower than the accrued amounts.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Changes in Stockholders'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changes in the components of stockholders' equity for the periods presented (in millions):</w:t>
      </w:r>
    </w:p>
    <w:p>
      <w:pPr>
        <w:spacing w:after="0" w:line="250"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Common Stock</w:t>
      </w:r>
    </w:p>
    <w:p>
      <w:pPr>
        <w:jc w:val="center"/>
        <w:ind w:right="460"/>
        <w:spacing w:after="0"/>
        <w:rPr>
          <w:sz w:val="20"/>
          <w:szCs w:val="20"/>
          <w:color w:val="auto"/>
        </w:rPr>
      </w:pPr>
      <w:r>
        <w:rPr>
          <w:rFonts w:ascii="Arial" w:cs="Arial" w:eastAsia="Arial" w:hAnsi="Arial"/>
          <w:sz w:val="13"/>
          <w:szCs w:val="13"/>
          <w:b w:val="1"/>
          <w:bCs w:val="1"/>
          <w:color w:val="auto"/>
        </w:rPr>
        <w:t>Outstanding</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45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13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8"/>
              </w:rPr>
              <w:t>Treasury</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580" w:type="dxa"/>
            <w:vAlign w:val="bottom"/>
          </w:tcPr>
          <w:p>
            <w:pPr>
              <w:spacing w:after="0"/>
              <w:rPr>
                <w:sz w:val="10"/>
                <w:szCs w:val="10"/>
                <w:color w:val="auto"/>
              </w:rPr>
            </w:pP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9"/>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5"/>
        </w:trPr>
        <w:tc>
          <w:tcPr>
            <w:tcW w:w="45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2024</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1,115.9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3,909.8</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(2,532.5)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2,378.8</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106.7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106.7</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760" w:type="dxa"/>
            <w:vAlign w:val="bottom"/>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Employee stock purchase plan issuances</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Cash dividends of $0.15 per share paid on common stock</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exercised</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Repurchases of common stock</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99"/>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November 30, 2024</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4,012.0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(2,537.9)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2,463.4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60" w:lineRule="exact"/>
        <w:rPr>
          <w:sz w:val="20"/>
          <w:szCs w:val="20"/>
          <w:color w:val="auto"/>
        </w:rPr>
      </w:pPr>
    </w:p>
    <w:p>
      <w:pPr>
        <w:ind w:right="6960" w:firstLine="8"/>
        <w:spacing w:after="0" w:line="246" w:lineRule="auto"/>
        <w:tabs>
          <w:tab w:leader="none" w:pos="135" w:val="left"/>
        </w:tabs>
        <w:numPr>
          <w:ilvl w:val="0"/>
          <w:numId w:val="8"/>
        </w:numPr>
        <w:rPr>
          <w:rFonts w:ascii="Arial" w:cs="Arial" w:eastAsia="Arial" w:hAnsi="Arial"/>
          <w:sz w:val="15"/>
          <w:szCs w:val="15"/>
          <w:color w:val="auto"/>
          <w:vertAlign w:val="superscript"/>
        </w:rPr>
      </w:pPr>
      <w:r>
        <w:rPr>
          <w:rFonts w:ascii="Arial" w:cs="Arial" w:eastAsia="Arial" w:hAnsi="Arial"/>
          <w:sz w:val="12"/>
          <w:szCs w:val="12"/>
          <w:color w:val="auto"/>
        </w:rPr>
        <w:t>Share activity and balances above are calculated using rounded numbers. * Represents shares of less than 0.1 million.</w:t>
      </w:r>
    </w:p>
    <w:p>
      <w:pPr>
        <w:spacing w:after="0" w:line="138"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Common Stock</w:t>
      </w:r>
    </w:p>
    <w:p>
      <w:pPr>
        <w:jc w:val="center"/>
        <w:ind w:right="460"/>
        <w:spacing w:after="0"/>
        <w:rPr>
          <w:sz w:val="20"/>
          <w:szCs w:val="20"/>
          <w:color w:val="auto"/>
        </w:rPr>
      </w:pPr>
      <w:r>
        <w:rPr>
          <w:rFonts w:ascii="Arial" w:cs="Arial" w:eastAsia="Arial" w:hAnsi="Arial"/>
          <w:sz w:val="13"/>
          <w:szCs w:val="13"/>
          <w:b w:val="1"/>
          <w:bCs w:val="1"/>
          <w:color w:val="auto"/>
        </w:rPr>
        <w:t>Outstanding</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45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13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8"/>
              </w:rPr>
              <w:t>Treasury</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580" w:type="dxa"/>
            <w:vAlign w:val="bottom"/>
          </w:tcPr>
          <w:p>
            <w:pPr>
              <w:spacing w:after="0"/>
              <w:rPr>
                <w:sz w:val="10"/>
                <w:szCs w:val="10"/>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1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9"/>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1,066.8</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3,505.4</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(2,444.7)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2,015.4</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100.6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100.6</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780" w:type="dxa"/>
            <w:vAlign w:val="bottom"/>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Employee stock purchase plan issuances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Cash dividends of $0.13 per share paid on common stock</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exercised</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Repurchases of common stock</w:t>
            </w:r>
          </w:p>
        </w:tc>
        <w:tc>
          <w:tcPr>
            <w:tcW w:w="780" w:type="dxa"/>
            <w:vAlign w:val="bottom"/>
          </w:tcPr>
          <w:p>
            <w:pPr>
              <w:jc w:val="right"/>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99"/>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November 30, 2023</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1,070.5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(2,494.7)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2,064.1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42"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Share activity and balances above are calculated using rounded numbers.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Revenue</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revenue when we transfer control of goods and services to our customers. Revenue is measured as the amount of consideration we expect to receive in exchange for goods and services and is recognized net of allowances for rebates, sales incentives, product returns, and discounts to customers. We allocate the expected consideration to be collected to each distinct performance obligation identified in a sale based on its standalone selling price. Sales and use taxes collected on behalf of governmental authorities are excluded from revenues.</w:t>
      </w:r>
    </w:p>
    <w:p>
      <w:pPr>
        <w:spacing w:after="0" w:line="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Further details regarding revenue recognition are included within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within our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Our rights related to collections from customers are unconditional and are reflected within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Sheets </w:t>
      </w:r>
      <w:r>
        <w:rPr>
          <w:rFonts w:ascii="Arial" w:cs="Arial" w:eastAsia="Arial" w:hAnsi="Arial"/>
          <w:sz w:val="18"/>
          <w:szCs w:val="18"/>
          <w:color w:val="auto"/>
        </w:rPr>
        <w:t>at net realizable value. Further details regarding our method for developing our estimate of expected credit losses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contractual term of our receivables are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within our Form 10-K.</w:t>
      </w:r>
    </w:p>
    <w:p>
      <w:pPr>
        <w:spacing w:after="0" w:line="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do not have any other significant contract assets. Contract liabilities arise when we receive cash or an unconditional right to collect cash prior to the transfer of control of goods or services.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amount of transaction price from contracts with customers allocated to our contract liabilities consists of the following as of the dates presented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ind w:left="120"/>
              <w:spacing w:after="0"/>
              <w:rPr>
                <w:sz w:val="20"/>
                <w:szCs w:val="20"/>
                <w:color w:val="auto"/>
              </w:rPr>
            </w:pPr>
            <w:r>
              <w:rPr>
                <w:rFonts w:ascii="Arial" w:cs="Arial" w:eastAsia="Arial" w:hAnsi="Arial"/>
                <w:sz w:val="16"/>
                <w:szCs w:val="16"/>
                <w:b w:val="1"/>
                <w:bCs w:val="1"/>
                <w:color w:val="auto"/>
              </w:rPr>
              <w:t>November 30, 2024</w:t>
            </w:r>
          </w:p>
        </w:tc>
        <w:tc>
          <w:tcPr>
            <w:tcW w:w="280" w:type="dxa"/>
            <w:vAlign w:val="bottom"/>
          </w:tcPr>
          <w:p>
            <w:pPr>
              <w:spacing w:after="0"/>
              <w:rPr>
                <w:sz w:val="18"/>
                <w:szCs w:val="18"/>
                <w:color w:val="auto"/>
              </w:rPr>
            </w:pPr>
          </w:p>
        </w:tc>
        <w:tc>
          <w:tcPr>
            <w:tcW w:w="1860" w:type="dxa"/>
            <w:vAlign w:val="bottom"/>
          </w:tcPr>
          <w:p>
            <w:pPr>
              <w:jc w:val="right"/>
              <w:ind w:right="379"/>
              <w:spacing w:after="0"/>
              <w:rPr>
                <w:sz w:val="20"/>
                <w:szCs w:val="20"/>
                <w:color w:val="auto"/>
              </w:rPr>
            </w:pPr>
            <w:r>
              <w:rPr>
                <w:rFonts w:ascii="Arial" w:cs="Arial" w:eastAsia="Arial" w:hAnsi="Arial"/>
                <w:sz w:val="16"/>
                <w:szCs w:val="16"/>
                <w:b w:val="1"/>
                <w:bCs w:val="1"/>
                <w:color w:val="auto"/>
              </w:rPr>
              <w:t>August 31, 2024</w:t>
            </w:r>
          </w:p>
        </w:tc>
      </w:tr>
      <w:tr>
        <w:trPr>
          <w:trHeight w:val="210"/>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deferred revenues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r>
      <w:tr>
        <w:trPr>
          <w:trHeight w:val="215"/>
        </w:trPr>
        <w:tc>
          <w:tcPr>
            <w:tcW w:w="6840" w:type="dxa"/>
            <w:vAlign w:val="bottom"/>
          </w:tcPr>
          <w:p>
            <w:pPr>
              <w:ind w:left="20"/>
              <w:spacing w:after="0"/>
              <w:rPr>
                <w:sz w:val="20"/>
                <w:szCs w:val="20"/>
                <w:color w:val="auto"/>
              </w:rPr>
            </w:pPr>
            <w:r>
              <w:rPr>
                <w:rFonts w:ascii="Arial" w:cs="Arial" w:eastAsia="Arial" w:hAnsi="Arial"/>
                <w:sz w:val="16"/>
                <w:szCs w:val="16"/>
                <w:color w:val="auto"/>
              </w:rPr>
              <w:t>Non-current deferred revenues</w:t>
            </w: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41.5</w:t>
            </w:r>
          </w:p>
        </w:tc>
      </w:tr>
    </w:tbl>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Current deferred revenues primarily consist of service-type warranty and professional service fees collected prior to performing the related service as well as software licenses. Current deferred revenues are included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r>
        <w:rPr>
          <w:rFonts w:ascii="Arial" w:cs="Arial" w:eastAsia="Arial" w:hAnsi="Arial"/>
          <w:sz w:val="18"/>
          <w:szCs w:val="18"/>
          <w:color w:val="auto"/>
        </w:rPr>
        <w:t>. These services are expected to be performed within one year. Revenue recognized from beginning balances of contract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three months ended November 30, 2024 totaled $5.4 million.</w:t>
      </w:r>
    </w:p>
    <w:p>
      <w:pPr>
        <w:spacing w:after="0" w:line="9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Non-current deferred revenues primarily consist of long-term service-type warranties, which are typically recognized ratably as revenue between five and ten years from the date of sale, and are included within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Unsatisfied performance obligations that do not represent contract liabilities are expected to be satisfied within one year from November 30, 2024 and consist primarily of orders for physical goods that have not yet been shipped.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Acuity Brands Lighting segment's products are sold primarily through independent sales agents who cover specific geographic areas and market channels, by internal sales representatives, through consumer retail channels, directly to large corporate accounts, and through other distribution methods, including directly to OEM customers. Acuity Intelligent Spaces sells predominantly to system integrators. The following table shows revenue from contracts with customers by sales channel and reconciles to our segment information for the periods presented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4"/>
          </w:tcPr>
          <w:p>
            <w:pPr>
              <w:jc w:val="right"/>
              <w:ind w:right="115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2024</w:t>
            </w:r>
          </w:p>
        </w:tc>
        <w:tc>
          <w:tcPr>
            <w:tcW w:w="180" w:type="dxa"/>
            <w:vAlign w:val="bottom"/>
          </w:tcPr>
          <w:p>
            <w:pPr>
              <w:spacing w:after="0"/>
              <w:rPr>
                <w:sz w:val="18"/>
                <w:szCs w:val="18"/>
                <w:color w:val="auto"/>
              </w:rPr>
            </w:pPr>
          </w:p>
        </w:tc>
        <w:tc>
          <w:tcPr>
            <w:tcW w:w="1800" w:type="dxa"/>
            <w:vAlign w:val="bottom"/>
          </w:tcPr>
          <w:p>
            <w:pPr>
              <w:jc w:val="right"/>
              <w:ind w:right="179"/>
              <w:spacing w:after="0"/>
              <w:rPr>
                <w:sz w:val="20"/>
                <w:szCs w:val="20"/>
                <w:color w:val="auto"/>
              </w:rPr>
            </w:pPr>
            <w:r>
              <w:rPr>
                <w:rFonts w:ascii="Arial" w:cs="Arial" w:eastAsia="Arial" w:hAnsi="Arial"/>
                <w:sz w:val="16"/>
                <w:szCs w:val="16"/>
                <w:b w:val="1"/>
                <w:bCs w:val="1"/>
                <w:color w:val="auto"/>
              </w:rPr>
              <w:t>November 30, 2023</w:t>
            </w:r>
          </w:p>
        </w:tc>
      </w:tr>
      <w:tr>
        <w:trPr>
          <w:trHeight w:val="196"/>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Acuity Brands Lighting:</w:t>
            </w:r>
          </w:p>
        </w:tc>
        <w:tc>
          <w:tcPr>
            <w:tcW w:w="18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r>
      <w:tr>
        <w:trPr>
          <w:trHeight w:val="215"/>
        </w:trPr>
        <w:tc>
          <w:tcPr>
            <w:tcW w:w="7160" w:type="dxa"/>
            <w:vAlign w:val="bottom"/>
          </w:tcPr>
          <w:p>
            <w:pPr>
              <w:ind w:left="140"/>
              <w:spacing w:after="0"/>
              <w:rPr>
                <w:sz w:val="20"/>
                <w:szCs w:val="20"/>
                <w:color w:val="auto"/>
              </w:rPr>
            </w:pPr>
            <w:r>
              <w:rPr>
                <w:rFonts w:ascii="Arial" w:cs="Arial" w:eastAsia="Arial" w:hAnsi="Arial"/>
                <w:sz w:val="16"/>
                <w:szCs w:val="16"/>
                <w:color w:val="auto"/>
              </w:rPr>
              <w:t>Independent sales network</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643.9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625.2</w:t>
            </w:r>
          </w:p>
        </w:tc>
      </w:tr>
      <w:tr>
        <w:trPr>
          <w:trHeight w:val="217"/>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Direct sales network</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w:t>
            </w:r>
          </w:p>
        </w:tc>
      </w:tr>
      <w:tr>
        <w:trPr>
          <w:trHeight w:val="215"/>
        </w:trPr>
        <w:tc>
          <w:tcPr>
            <w:tcW w:w="7160" w:type="dxa"/>
            <w:vAlign w:val="bottom"/>
          </w:tcPr>
          <w:p>
            <w:pPr>
              <w:ind w:left="140"/>
              <w:spacing w:after="0"/>
              <w:rPr>
                <w:sz w:val="20"/>
                <w:szCs w:val="20"/>
                <w:color w:val="auto"/>
              </w:rPr>
            </w:pPr>
            <w:r>
              <w:rPr>
                <w:rFonts w:ascii="Arial" w:cs="Arial" w:eastAsia="Arial" w:hAnsi="Arial"/>
                <w:sz w:val="16"/>
                <w:szCs w:val="16"/>
                <w:color w:val="auto"/>
              </w:rPr>
              <w:t>Retail sales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55.6</w:t>
            </w:r>
          </w:p>
        </w:tc>
      </w:tr>
      <w:tr>
        <w:trPr>
          <w:trHeight w:val="217"/>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accounts</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r>
      <w:tr>
        <w:trPr>
          <w:trHeight w:val="215"/>
        </w:trPr>
        <w:tc>
          <w:tcPr>
            <w:tcW w:w="71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OEM and other</w:t>
            </w: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w:t>
            </w:r>
          </w:p>
        </w:tc>
      </w:tr>
      <w:tr>
        <w:trPr>
          <w:trHeight w:val="210"/>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Acuity Brands Lighting</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876.4</w:t>
            </w:r>
          </w:p>
        </w:tc>
      </w:tr>
      <w:tr>
        <w:trPr>
          <w:trHeight w:val="215"/>
        </w:trPr>
        <w:tc>
          <w:tcPr>
            <w:tcW w:w="7160" w:type="dxa"/>
            <w:vAlign w:val="bottom"/>
          </w:tcPr>
          <w:p>
            <w:pPr>
              <w:ind w:left="20"/>
              <w:spacing w:after="0"/>
              <w:rPr>
                <w:sz w:val="20"/>
                <w:szCs w:val="20"/>
                <w:color w:val="auto"/>
              </w:rPr>
            </w:pPr>
            <w:r>
              <w:rPr>
                <w:rFonts w:ascii="Arial" w:cs="Arial" w:eastAsia="Arial" w:hAnsi="Arial"/>
                <w:sz w:val="16"/>
                <w:szCs w:val="16"/>
                <w:color w:val="auto"/>
              </w:rPr>
              <w:t>Acuity Intelligent Spaces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64.2</w:t>
            </w:r>
          </w:p>
        </w:tc>
      </w:tr>
      <w:tr>
        <w:trPr>
          <w:trHeight w:val="216"/>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10"/>
        </w:trPr>
        <w:tc>
          <w:tcPr>
            <w:tcW w:w="716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934.7</w:t>
            </w:r>
          </w:p>
        </w:tc>
      </w:tr>
      <w:tr>
        <w:trPr>
          <w:trHeight w:val="20"/>
        </w:trPr>
        <w:tc>
          <w:tcPr>
            <w:tcW w:w="7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Share-based Payments</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account for share-based payments through the measurement and recognition of compensation expense for share-based payment awards made to employees and directors over the related requisite service period, including restricted stock, performance stock units, and stock options (all part of our equity incentive plan), as well as stock units representing certain deferrals into our director deferred compensation plan or our supplemental deferred savings plan.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share-based payment expense for the periods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4"/>
          </w:tcPr>
          <w:p>
            <w:pPr>
              <w:jc w:val="right"/>
              <w:ind w:right="115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7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2024</w:t>
            </w:r>
          </w:p>
        </w:tc>
        <w:tc>
          <w:tcPr>
            <w:tcW w:w="180" w:type="dxa"/>
            <w:vAlign w:val="bottom"/>
          </w:tcPr>
          <w:p>
            <w:pPr>
              <w:spacing w:after="0"/>
              <w:rPr>
                <w:sz w:val="18"/>
                <w:szCs w:val="18"/>
                <w:color w:val="auto"/>
              </w:rPr>
            </w:pPr>
          </w:p>
        </w:tc>
        <w:tc>
          <w:tcPr>
            <w:tcW w:w="1800" w:type="dxa"/>
            <w:vAlign w:val="bottom"/>
          </w:tcPr>
          <w:p>
            <w:pPr>
              <w:jc w:val="right"/>
              <w:ind w:right="179"/>
              <w:spacing w:after="0"/>
              <w:rPr>
                <w:sz w:val="20"/>
                <w:szCs w:val="20"/>
                <w:color w:val="auto"/>
              </w:rPr>
            </w:pPr>
            <w:r>
              <w:rPr>
                <w:rFonts w:ascii="Arial" w:cs="Arial" w:eastAsia="Arial" w:hAnsi="Arial"/>
                <w:sz w:val="16"/>
                <w:szCs w:val="16"/>
                <w:b w:val="1"/>
                <w:bCs w:val="1"/>
                <w:color w:val="auto"/>
              </w:rPr>
              <w:t>November 30, 2023</w:t>
            </w:r>
          </w:p>
        </w:tc>
      </w:tr>
      <w:tr>
        <w:trPr>
          <w:trHeight w:val="210"/>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payment expense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bl>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details regarding our share-based payments are included within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within our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Pension Plans</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several pension plans, both qualified and non-qualified, covering certain hourly and salaried employees. Benefits paid under these plans are based generally on employees’ years of service and/or compensation during the final years of employment. We make at least the minimum annual contributions to the plans to the extent indicated by actuarial valuations and statutory requirements. Plan assets are invested primarily in fixed income and equity securities.</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Service cost of net periodic pension cost is allocated between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 function of the employee's services. All other components of net periodic pension cost are included within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Net periodic pension cost included the following components before tax for the periods presented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4"/>
          </w:tcPr>
          <w:p>
            <w:pPr>
              <w:ind w:left="1040"/>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7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2024</w:t>
            </w:r>
          </w:p>
        </w:tc>
        <w:tc>
          <w:tcPr>
            <w:tcW w:w="180" w:type="dxa"/>
            <w:vAlign w:val="bottom"/>
          </w:tcPr>
          <w:p>
            <w:pPr>
              <w:spacing w:after="0"/>
              <w:rPr>
                <w:sz w:val="18"/>
                <w:szCs w:val="18"/>
                <w:color w:val="auto"/>
              </w:rPr>
            </w:pPr>
          </w:p>
        </w:tc>
        <w:tc>
          <w:tcPr>
            <w:tcW w:w="1800" w:type="dxa"/>
            <w:vAlign w:val="bottom"/>
          </w:tcPr>
          <w:p>
            <w:pPr>
              <w:ind w:left="80"/>
              <w:spacing w:after="0"/>
              <w:rPr>
                <w:sz w:val="20"/>
                <w:szCs w:val="20"/>
                <w:color w:val="auto"/>
              </w:rPr>
            </w:pPr>
            <w:r>
              <w:rPr>
                <w:rFonts w:ascii="Arial" w:cs="Arial" w:eastAsia="Arial" w:hAnsi="Arial"/>
                <w:sz w:val="16"/>
                <w:szCs w:val="16"/>
                <w:b w:val="1"/>
                <w:bCs w:val="1"/>
                <w:color w:val="auto"/>
              </w:rPr>
              <w:t>November 30, 2023</w:t>
            </w:r>
          </w:p>
        </w:tc>
      </w:tr>
      <w:tr>
        <w:trPr>
          <w:trHeight w:val="210"/>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center"/>
              <w:ind w:left="1339"/>
              <w:spacing w:after="0"/>
              <w:rPr>
                <w:sz w:val="20"/>
                <w:szCs w:val="20"/>
                <w:color w:val="auto"/>
              </w:rPr>
            </w:pPr>
            <w:r>
              <w:rPr>
                <w:rFonts w:ascii="Arial" w:cs="Arial" w:eastAsia="Arial" w:hAnsi="Arial"/>
                <w:sz w:val="16"/>
                <w:szCs w:val="16"/>
                <w:color w:val="auto"/>
                <w:w w:val="98"/>
              </w:rPr>
              <w:t>1.4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center"/>
              <w:ind w:left="1339"/>
              <w:spacing w:after="0"/>
              <w:rPr>
                <w:sz w:val="20"/>
                <w:szCs w:val="20"/>
                <w:color w:val="auto"/>
              </w:rPr>
            </w:pPr>
            <w:r>
              <w:rPr>
                <w:rFonts w:ascii="Arial" w:cs="Arial" w:eastAsia="Arial" w:hAnsi="Arial"/>
                <w:sz w:val="16"/>
                <w:szCs w:val="16"/>
                <w:color w:val="auto"/>
                <w:w w:val="98"/>
              </w:rPr>
              <w:t>1.1</w:t>
            </w:r>
          </w:p>
        </w:tc>
      </w:tr>
      <w:tr>
        <w:trPr>
          <w:trHeight w:val="215"/>
        </w:trPr>
        <w:tc>
          <w:tcPr>
            <w:tcW w:w="71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80" w:type="dxa"/>
            <w:vAlign w:val="bottom"/>
          </w:tcPr>
          <w:p>
            <w:pPr>
              <w:spacing w:after="0"/>
              <w:rPr>
                <w:sz w:val="18"/>
                <w:szCs w:val="18"/>
                <w:color w:val="auto"/>
              </w:rPr>
            </w:pPr>
          </w:p>
        </w:tc>
        <w:tc>
          <w:tcPr>
            <w:tcW w:w="1800" w:type="dxa"/>
            <w:vAlign w:val="bottom"/>
          </w:tcPr>
          <w:p>
            <w:pPr>
              <w:jc w:val="center"/>
              <w:ind w:left="1339"/>
              <w:spacing w:after="0"/>
              <w:rPr>
                <w:sz w:val="20"/>
                <w:szCs w:val="20"/>
                <w:color w:val="auto"/>
              </w:rPr>
            </w:pPr>
            <w:r>
              <w:rPr>
                <w:rFonts w:ascii="Arial" w:cs="Arial" w:eastAsia="Arial" w:hAnsi="Arial"/>
                <w:sz w:val="16"/>
                <w:szCs w:val="16"/>
                <w:color w:val="auto"/>
                <w:w w:val="98"/>
              </w:rPr>
              <w:t>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center"/>
              <w:ind w:left="1339"/>
              <w:spacing w:after="0"/>
              <w:rPr>
                <w:sz w:val="20"/>
                <w:szCs w:val="20"/>
                <w:color w:val="auto"/>
              </w:rPr>
            </w:pPr>
            <w:r>
              <w:rPr>
                <w:rFonts w:ascii="Arial" w:cs="Arial" w:eastAsia="Arial" w:hAnsi="Arial"/>
                <w:sz w:val="16"/>
                <w:szCs w:val="16"/>
                <w:color w:val="auto"/>
                <w:w w:val="98"/>
              </w:rPr>
              <w:t>2.5</w:t>
            </w:r>
          </w:p>
        </w:tc>
      </w:tr>
      <w:tr>
        <w:trPr>
          <w:trHeight w:val="217"/>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center"/>
              <w:ind w:left="133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center"/>
              <w:ind w:left="1339"/>
              <w:spacing w:after="0"/>
              <w:rPr>
                <w:sz w:val="20"/>
                <w:szCs w:val="20"/>
                <w:color w:val="auto"/>
              </w:rPr>
            </w:pPr>
            <w:r>
              <w:rPr>
                <w:rFonts w:ascii="Arial" w:cs="Arial" w:eastAsia="Arial" w:hAnsi="Arial"/>
                <w:sz w:val="16"/>
                <w:szCs w:val="16"/>
                <w:color w:val="auto"/>
              </w:rPr>
              <w:t>(2.2)</w:t>
            </w:r>
          </w:p>
        </w:tc>
      </w:tr>
      <w:tr>
        <w:trPr>
          <w:trHeight w:val="215"/>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Recognized actuarial loss</w:t>
            </w: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left="1339"/>
              <w:spacing w:after="0"/>
              <w:rPr>
                <w:sz w:val="20"/>
                <w:szCs w:val="20"/>
                <w:color w:val="auto"/>
              </w:rPr>
            </w:pPr>
            <w:r>
              <w:rPr>
                <w:rFonts w:ascii="Arial" w:cs="Arial" w:eastAsia="Arial" w:hAnsi="Arial"/>
                <w:sz w:val="16"/>
                <w:szCs w:val="16"/>
                <w:color w:val="auto"/>
                <w:w w:val="98"/>
              </w:rPr>
              <w:t>0.7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left="1339"/>
              <w:spacing w:after="0"/>
              <w:rPr>
                <w:sz w:val="20"/>
                <w:szCs w:val="20"/>
                <w:color w:val="auto"/>
              </w:rPr>
            </w:pPr>
            <w:r>
              <w:rPr>
                <w:rFonts w:ascii="Arial" w:cs="Arial" w:eastAsia="Arial" w:hAnsi="Arial"/>
                <w:sz w:val="16"/>
                <w:szCs w:val="16"/>
                <w:color w:val="auto"/>
                <w:w w:val="98"/>
              </w:rPr>
              <w:t>0.8</w:t>
            </w:r>
          </w:p>
        </w:tc>
      </w:tr>
      <w:tr>
        <w:trPr>
          <w:trHeight w:val="235"/>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periodic pension cost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center"/>
              <w:ind w:left="1339"/>
              <w:spacing w:after="0"/>
              <w:rPr>
                <w:sz w:val="20"/>
                <w:szCs w:val="20"/>
                <w:color w:val="auto"/>
              </w:rPr>
            </w:pPr>
            <w:r>
              <w:rPr>
                <w:rFonts w:ascii="Arial" w:cs="Arial" w:eastAsia="Arial" w:hAnsi="Arial"/>
                <w:sz w:val="16"/>
                <w:szCs w:val="16"/>
                <w:color w:val="auto"/>
                <w:w w:val="98"/>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center"/>
              <w:ind w:left="1339"/>
              <w:spacing w:after="0"/>
              <w:rPr>
                <w:sz w:val="20"/>
                <w:szCs w:val="20"/>
                <w:color w:val="auto"/>
              </w:rPr>
            </w:pPr>
            <w:r>
              <w:rPr>
                <w:rFonts w:ascii="Arial" w:cs="Arial" w:eastAsia="Arial" w:hAnsi="Arial"/>
                <w:sz w:val="16"/>
                <w:szCs w:val="16"/>
                <w:color w:val="auto"/>
                <w:w w:val="98"/>
              </w:rPr>
              <w:t>2.2</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details regarding our pension plans are included within the </w:t>
      </w:r>
      <w:r>
        <w:rPr>
          <w:rFonts w:ascii="Arial" w:cs="Arial" w:eastAsia="Arial" w:hAnsi="Arial"/>
          <w:sz w:val="18"/>
          <w:szCs w:val="18"/>
          <w:i w:val="1"/>
          <w:iCs w:val="1"/>
          <w:color w:val="auto"/>
        </w:rPr>
        <w:t>Pension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Other (Income) Expense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O</w:t>
      </w:r>
      <w:r>
        <w:rPr>
          <w:rFonts w:ascii="Arial" w:cs="Arial" w:eastAsia="Arial" w:hAnsi="Arial"/>
          <w:sz w:val="18"/>
          <w:szCs w:val="18"/>
          <w:i w:val="1"/>
          <w:iCs w:val="1"/>
          <w:color w:val="auto"/>
        </w:rPr>
        <w:t>ther (income) expense</w:t>
      </w:r>
      <w:r>
        <w:rPr>
          <w:rFonts w:ascii="Arial" w:cs="Arial" w:eastAsia="Arial" w:hAnsi="Arial"/>
          <w:sz w:val="18"/>
          <w:szCs w:val="18"/>
          <w:color w:val="auto"/>
        </w:rPr>
        <w:t xml:space="preserve">, </w:t>
      </w:r>
      <w:r>
        <w:rPr>
          <w:rFonts w:ascii="Arial" w:cs="Arial" w:eastAsia="Arial" w:hAnsi="Arial"/>
          <w:sz w:val="18"/>
          <w:szCs w:val="18"/>
          <w:i w:val="1"/>
          <w:iCs w:val="1"/>
          <w:color w:val="auto"/>
        </w:rPr>
        <w:t>net</w:t>
      </w:r>
      <w:r>
        <w:rPr>
          <w:rFonts w:ascii="Arial" w:cs="Arial" w:eastAsia="Arial" w:hAnsi="Arial"/>
          <w:sz w:val="18"/>
          <w:szCs w:val="18"/>
          <w:color w:val="auto"/>
        </w:rPr>
        <w:t xml:space="preserve"> for the periods presented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gridSpan w:val="4"/>
          </w:tcPr>
          <w:p>
            <w:pPr>
              <w:ind w:left="1100"/>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7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ind w:left="120"/>
              <w:spacing w:after="0"/>
              <w:rPr>
                <w:sz w:val="20"/>
                <w:szCs w:val="20"/>
                <w:color w:val="auto"/>
              </w:rPr>
            </w:pPr>
            <w:r>
              <w:rPr>
                <w:rFonts w:ascii="Arial" w:cs="Arial" w:eastAsia="Arial" w:hAnsi="Arial"/>
                <w:sz w:val="14"/>
                <w:szCs w:val="14"/>
                <w:b w:val="1"/>
                <w:bCs w:val="1"/>
                <w:color w:val="auto"/>
              </w:rPr>
              <w:t>November 30, 2024</w:t>
            </w:r>
          </w:p>
        </w:tc>
        <w:tc>
          <w:tcPr>
            <w:tcW w:w="220" w:type="dxa"/>
            <w:vAlign w:val="bottom"/>
          </w:tcPr>
          <w:p>
            <w:pPr>
              <w:spacing w:after="0"/>
              <w:rPr>
                <w:sz w:val="17"/>
                <w:szCs w:val="17"/>
                <w:color w:val="auto"/>
              </w:rPr>
            </w:pPr>
          </w:p>
        </w:tc>
        <w:tc>
          <w:tcPr>
            <w:tcW w:w="1760" w:type="dxa"/>
            <w:vAlign w:val="bottom"/>
          </w:tcPr>
          <w:p>
            <w:pPr>
              <w:ind w:left="120"/>
              <w:spacing w:after="0"/>
              <w:rPr>
                <w:sz w:val="20"/>
                <w:szCs w:val="20"/>
                <w:color w:val="auto"/>
              </w:rPr>
            </w:pPr>
            <w:r>
              <w:rPr>
                <w:rFonts w:ascii="Arial" w:cs="Arial" w:eastAsia="Arial" w:hAnsi="Arial"/>
                <w:sz w:val="14"/>
                <w:szCs w:val="14"/>
                <w:b w:val="1"/>
                <w:bCs w:val="1"/>
                <w:color w:val="auto"/>
              </w:rPr>
              <w:t>November 30, 2023</w:t>
            </w:r>
          </w:p>
        </w:tc>
      </w:tr>
      <w:tr>
        <w:trPr>
          <w:trHeight w:val="18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 expense, net:</w:t>
            </w:r>
          </w:p>
        </w:tc>
        <w:tc>
          <w:tcPr>
            <w:tcW w:w="220" w:type="dxa"/>
            <w:vAlign w:val="bottom"/>
            <w:tcBorders>
              <w:top w:val="single" w:sz="8" w:color="auto"/>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r>
      <w:tr>
        <w:trPr>
          <w:trHeight w:val="198"/>
        </w:trPr>
        <w:tc>
          <w:tcPr>
            <w:tcW w:w="718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Pr>
          <w:p>
            <w:pPr>
              <w:jc w:val="center"/>
              <w:ind w:left="1368"/>
              <w:spacing w:after="0"/>
              <w:rPr>
                <w:sz w:val="20"/>
                <w:szCs w:val="20"/>
                <w:color w:val="auto"/>
              </w:rPr>
            </w:pPr>
            <w:r>
              <w:rPr>
                <w:rFonts w:ascii="Arial" w:cs="Arial" w:eastAsia="Arial" w:hAnsi="Arial"/>
                <w:sz w:val="14"/>
                <w:szCs w:val="14"/>
                <w:color w:val="auto"/>
              </w:rPr>
              <w:t>6.4</w:t>
            </w:r>
          </w:p>
        </w:tc>
      </w:tr>
      <w:tr>
        <w:trPr>
          <w:trHeight w:val="206"/>
        </w:trPr>
        <w:tc>
          <w:tcPr>
            <w:tcW w:w="7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income</w:t>
            </w: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center"/>
              <w:ind w:left="1348"/>
              <w:spacing w:after="0"/>
              <w:rPr>
                <w:sz w:val="20"/>
                <w:szCs w:val="20"/>
                <w:color w:val="auto"/>
              </w:rPr>
            </w:pPr>
            <w:r>
              <w:rPr>
                <w:rFonts w:ascii="Arial" w:cs="Arial" w:eastAsia="Arial" w:hAnsi="Arial"/>
                <w:sz w:val="14"/>
                <w:szCs w:val="14"/>
                <w:color w:val="auto"/>
              </w:rPr>
              <w:t>(5.5)</w:t>
            </w:r>
          </w:p>
        </w:tc>
      </w:tr>
      <w:tr>
        <w:trPr>
          <w:trHeight w:val="192"/>
        </w:trPr>
        <w:tc>
          <w:tcPr>
            <w:tcW w:w="7180" w:type="dxa"/>
            <w:vAlign w:val="bottom"/>
          </w:tcPr>
          <w:p>
            <w:pPr>
              <w:ind w:left="240"/>
              <w:spacing w:after="0"/>
              <w:rPr>
                <w:sz w:val="20"/>
                <w:szCs w:val="20"/>
                <w:color w:val="auto"/>
              </w:rPr>
            </w:pPr>
            <w:r>
              <w:rPr>
                <w:rFonts w:ascii="Arial" w:cs="Arial" w:eastAsia="Arial" w:hAnsi="Arial"/>
                <w:sz w:val="14"/>
                <w:szCs w:val="14"/>
                <w:color w:val="auto"/>
              </w:rPr>
              <w:t>Interest (income) expense, net</w:t>
            </w:r>
          </w:p>
        </w:tc>
        <w:tc>
          <w:tcPr>
            <w:tcW w:w="2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jc w:val="center"/>
              <w:ind w:left="1368"/>
              <w:spacing w:after="0"/>
              <w:rPr>
                <w:sz w:val="20"/>
                <w:szCs w:val="20"/>
                <w:color w:val="auto"/>
              </w:rPr>
            </w:pPr>
            <w:r>
              <w:rPr>
                <w:rFonts w:ascii="Arial" w:cs="Arial" w:eastAsia="Arial" w:hAnsi="Arial"/>
                <w:sz w:val="14"/>
                <w:szCs w:val="14"/>
                <w:color w:val="auto"/>
              </w:rPr>
              <w:t>0.9</w:t>
            </w:r>
          </w:p>
        </w:tc>
      </w:tr>
      <w:tr>
        <w:trPr>
          <w:trHeight w:val="207"/>
        </w:trPr>
        <w:tc>
          <w:tcPr>
            <w:tcW w:w="7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Miscellaneous expense, net:</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198"/>
        </w:trPr>
        <w:tc>
          <w:tcPr>
            <w:tcW w:w="7180" w:type="dxa"/>
            <w:vAlign w:val="bottom"/>
          </w:tcPr>
          <w:p>
            <w:pPr>
              <w:ind w:left="140"/>
              <w:spacing w:after="0"/>
              <w:rPr>
                <w:sz w:val="20"/>
                <w:szCs w:val="20"/>
                <w:color w:val="auto"/>
              </w:rPr>
            </w:pPr>
            <w:r>
              <w:rPr>
                <w:rFonts w:ascii="Arial" w:cs="Arial" w:eastAsia="Arial" w:hAnsi="Arial"/>
                <w:sz w:val="14"/>
                <w:szCs w:val="14"/>
                <w:color w:val="auto"/>
              </w:rPr>
              <w:t>Non-service components of net periodic pension cost</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jc w:val="center"/>
              <w:ind w:left="1368"/>
              <w:spacing w:after="0"/>
              <w:rPr>
                <w:sz w:val="20"/>
                <w:szCs w:val="20"/>
                <w:color w:val="auto"/>
              </w:rPr>
            </w:pPr>
            <w:r>
              <w:rPr>
                <w:rFonts w:ascii="Arial" w:cs="Arial" w:eastAsia="Arial" w:hAnsi="Arial"/>
                <w:sz w:val="14"/>
                <w:szCs w:val="14"/>
                <w:color w:val="auto"/>
              </w:rPr>
              <w:t>1.1</w:t>
            </w:r>
          </w:p>
        </w:tc>
      </w:tr>
      <w:tr>
        <w:trPr>
          <w:trHeight w:val="207"/>
        </w:trPr>
        <w:tc>
          <w:tcPr>
            <w:tcW w:w="7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 transaction losses</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center"/>
              <w:ind w:left="1368"/>
              <w:spacing w:after="0"/>
              <w:rPr>
                <w:sz w:val="20"/>
                <w:szCs w:val="20"/>
                <w:color w:val="auto"/>
              </w:rPr>
            </w:pPr>
            <w:r>
              <w:rPr>
                <w:rFonts w:ascii="Arial" w:cs="Arial" w:eastAsia="Arial" w:hAnsi="Arial"/>
                <w:sz w:val="14"/>
                <w:szCs w:val="14"/>
                <w:color w:val="auto"/>
              </w:rPr>
              <w:t>0.6</w:t>
            </w:r>
          </w:p>
        </w:tc>
      </w:tr>
      <w:tr>
        <w:trPr>
          <w:trHeight w:val="198"/>
        </w:trPr>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items</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left="1348"/>
              <w:spacing w:after="0"/>
              <w:rPr>
                <w:sz w:val="20"/>
                <w:szCs w:val="20"/>
                <w:color w:val="auto"/>
              </w:rPr>
            </w:pPr>
            <w:r>
              <w:rPr>
                <w:rFonts w:ascii="Arial" w:cs="Arial" w:eastAsia="Arial" w:hAnsi="Arial"/>
                <w:sz w:val="14"/>
                <w:szCs w:val="14"/>
                <w:color w:val="auto"/>
              </w:rPr>
              <w:t>(0.6)</w:t>
            </w:r>
          </w:p>
        </w:tc>
      </w:tr>
      <w:tr>
        <w:trPr>
          <w:trHeight w:val="196"/>
        </w:trPr>
        <w:tc>
          <w:tcPr>
            <w:tcW w:w="71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Miscellaneous expense, net</w:t>
            </w: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center"/>
              <w:ind w:left="1368"/>
              <w:spacing w:after="0"/>
              <w:rPr>
                <w:sz w:val="20"/>
                <w:szCs w:val="20"/>
                <w:color w:val="auto"/>
              </w:rPr>
            </w:pPr>
            <w:r>
              <w:rPr>
                <w:rFonts w:ascii="Arial" w:cs="Arial" w:eastAsia="Arial" w:hAnsi="Arial"/>
                <w:sz w:val="14"/>
                <w:szCs w:val="14"/>
                <w:color w:val="auto"/>
              </w:rPr>
              <w:t>1.1</w:t>
            </w:r>
          </w:p>
        </w:tc>
      </w:tr>
      <w:tr>
        <w:trPr>
          <w:trHeight w:val="200"/>
        </w:trPr>
        <w:tc>
          <w:tcPr>
            <w:tcW w:w="718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tcPr>
          <w:p>
            <w:pPr>
              <w:jc w:val="center"/>
              <w:ind w:left="1368"/>
              <w:spacing w:after="0"/>
              <w:rPr>
                <w:sz w:val="20"/>
                <w:szCs w:val="20"/>
                <w:color w:val="auto"/>
              </w:rPr>
            </w:pPr>
            <w:r>
              <w:rPr>
                <w:rFonts w:ascii="Arial" w:cs="Arial" w:eastAsia="Arial" w:hAnsi="Arial"/>
                <w:sz w:val="14"/>
                <w:szCs w:val="14"/>
                <w:color w:val="auto"/>
              </w:rPr>
              <w:t>2.0</w:t>
            </w:r>
          </w:p>
        </w:tc>
      </w:tr>
      <w:tr>
        <w:trPr>
          <w:trHeight w:val="20"/>
        </w:trPr>
        <w:tc>
          <w:tcPr>
            <w:tcW w:w="7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Earnings Per Share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is computed by dividing net earnings available to common stockholders by the weighted average number of common shares outstanding. Diluted earnings per share is computed similarly but reflects the potential dilution that would occur if dilutive options were exercised, unvested share-based payment awards were vested, and other distributions related to deferred stock agreements were incurred. Common stock equivalents are calculated using the treasury stock method. The dilutive effects of share-based payment awards subject to market and/or performance conditions that were not met during the period are excluded from the computation of diluted earnings per share.</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calculates basic earnings per common share and diluted earnings per common share for the periods presented (in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4"/>
          </w:tcPr>
          <w:p>
            <w:pPr>
              <w:jc w:val="right"/>
              <w:ind w:right="122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6"/>
        </w:trPr>
        <w:tc>
          <w:tcPr>
            <w:tcW w:w="7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ind w:left="120"/>
              <w:spacing w:after="0"/>
              <w:rPr>
                <w:sz w:val="20"/>
                <w:szCs w:val="20"/>
                <w:color w:val="auto"/>
              </w:rPr>
            </w:pPr>
            <w:r>
              <w:rPr>
                <w:rFonts w:ascii="Arial" w:cs="Arial" w:eastAsia="Arial" w:hAnsi="Arial"/>
                <w:sz w:val="14"/>
                <w:szCs w:val="14"/>
                <w:b w:val="1"/>
                <w:bCs w:val="1"/>
                <w:color w:val="auto"/>
              </w:rPr>
              <w:t>November 30, 2024</w:t>
            </w:r>
          </w:p>
        </w:tc>
        <w:tc>
          <w:tcPr>
            <w:tcW w:w="220" w:type="dxa"/>
            <w:vAlign w:val="bottom"/>
          </w:tcPr>
          <w:p>
            <w:pPr>
              <w:spacing w:after="0"/>
              <w:rPr>
                <w:sz w:val="17"/>
                <w:szCs w:val="17"/>
                <w:color w:val="auto"/>
              </w:rPr>
            </w:pPr>
          </w:p>
        </w:tc>
        <w:tc>
          <w:tcPr>
            <w:tcW w:w="1760" w:type="dxa"/>
            <w:vAlign w:val="bottom"/>
          </w:tcPr>
          <w:p>
            <w:pPr>
              <w:jc w:val="right"/>
              <w:ind w:right="268"/>
              <w:spacing w:after="0"/>
              <w:rPr>
                <w:sz w:val="20"/>
                <w:szCs w:val="20"/>
                <w:color w:val="auto"/>
              </w:rPr>
            </w:pPr>
            <w:r>
              <w:rPr>
                <w:rFonts w:ascii="Arial" w:cs="Arial" w:eastAsia="Arial" w:hAnsi="Arial"/>
                <w:sz w:val="14"/>
                <w:szCs w:val="14"/>
                <w:b w:val="1"/>
                <w:bCs w:val="1"/>
                <w:color w:val="auto"/>
              </w:rPr>
              <w:t>November 30, 2023</w:t>
            </w:r>
          </w:p>
        </w:tc>
        <w:tc>
          <w:tcPr>
            <w:tcW w:w="0" w:type="dxa"/>
            <w:vAlign w:val="bottom"/>
          </w:tcPr>
          <w:p>
            <w:pPr>
              <w:spacing w:after="0"/>
              <w:rPr>
                <w:sz w:val="1"/>
                <w:szCs w:val="1"/>
                <w:color w:val="auto"/>
              </w:rPr>
            </w:pPr>
          </w:p>
        </w:tc>
      </w:tr>
      <w:tr>
        <w:trPr>
          <w:trHeight w:val="222"/>
        </w:trPr>
        <w:tc>
          <w:tcPr>
            <w:tcW w:w="7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106.7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Basic weighted average shares outstanding</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2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jc w:val="right"/>
              <w:ind w:right="8"/>
              <w:spacing w:after="0"/>
              <w:rPr>
                <w:sz w:val="20"/>
                <w:szCs w:val="20"/>
                <w:color w:val="auto"/>
              </w:rPr>
            </w:pPr>
            <w:r>
              <w:rPr>
                <w:rFonts w:ascii="Arial" w:cs="Arial" w:eastAsia="Arial" w:hAnsi="Arial"/>
                <w:sz w:val="14"/>
                <w:szCs w:val="14"/>
                <w:color w:val="auto"/>
              </w:rPr>
              <w:t>30.930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31.005</w:t>
            </w: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equivalents</w:t>
            </w: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0.869</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0.360</w:t>
            </w:r>
          </w:p>
        </w:tc>
        <w:tc>
          <w:tcPr>
            <w:tcW w:w="0" w:type="dxa"/>
            <w:vAlign w:val="bottom"/>
          </w:tcPr>
          <w:p>
            <w:pPr>
              <w:spacing w:after="0"/>
              <w:rPr>
                <w:sz w:val="1"/>
                <w:szCs w:val="1"/>
                <w:color w:val="auto"/>
              </w:rPr>
            </w:pPr>
          </w:p>
        </w:tc>
      </w:tr>
      <w:tr>
        <w:trPr>
          <w:trHeight w:val="200"/>
        </w:trPr>
        <w:tc>
          <w:tcPr>
            <w:tcW w:w="7200" w:type="dxa"/>
            <w:vAlign w:val="bottom"/>
          </w:tcPr>
          <w:p>
            <w:pPr>
              <w:ind w:left="20"/>
              <w:spacing w:after="0"/>
              <w:rPr>
                <w:sz w:val="20"/>
                <w:szCs w:val="20"/>
                <w:color w:val="auto"/>
              </w:rPr>
            </w:pPr>
            <w:r>
              <w:rPr>
                <w:rFonts w:ascii="Arial" w:cs="Arial" w:eastAsia="Arial" w:hAnsi="Arial"/>
                <w:sz w:val="14"/>
                <w:szCs w:val="14"/>
                <w:color w:val="auto"/>
              </w:rPr>
              <w:t>Diluted weighted average shares outstanding</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31.799</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31.365</w:t>
            </w: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r>
              <w:rPr>
                <w:rFonts w:ascii="Arial" w:cs="Arial" w:eastAsia="Arial" w:hAnsi="Arial"/>
                <w:sz w:val="9"/>
                <w:szCs w:val="9"/>
                <w:color w:val="auto"/>
              </w:rPr>
              <w:t>(1)</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200" w:type="dxa"/>
            <w:vAlign w:val="bottom"/>
          </w:tcPr>
          <w:p>
            <w:pPr>
              <w:ind w:left="20"/>
              <w:spacing w:after="0"/>
              <w:rPr>
                <w:sz w:val="20"/>
                <w:szCs w:val="20"/>
                <w:color w:val="auto"/>
              </w:rPr>
            </w:pPr>
            <w:r>
              <w:rPr>
                <w:rFonts w:ascii="Arial" w:cs="Arial" w:eastAsia="Arial" w:hAnsi="Arial"/>
                <w:sz w:val="14"/>
                <w:szCs w:val="14"/>
                <w:color w:val="auto"/>
              </w:rPr>
              <w:t>Diluted earnings per share</w:t>
            </w:r>
            <w:r>
              <w:rPr>
                <w:rFonts w:ascii="Arial" w:cs="Arial" w:eastAsia="Arial" w:hAnsi="Arial"/>
                <w:sz w:val="9"/>
                <w:szCs w:val="9"/>
                <w:color w:val="auto"/>
              </w:rPr>
              <w:t>(1)</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3.35</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42"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Earnings per share is calculated using unrounded numbers. Amounts in the table may not recalculate exactly due to rounding.</w:t>
      </w:r>
    </w:p>
    <w:p>
      <w:pPr>
        <w:spacing w:after="0" w:line="1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Stock options, performance stock awards, and restricted stock awards that were excluded from the diluted earnings per share calculation as the effect of inclusion would have been antidilutive were immaterial for three months ended November 30, 2024 and 2023.</w:t>
      </w:r>
    </w:p>
    <w:p>
      <w:pPr>
        <w:spacing w:after="0" w:line="7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Further discussion of our share-based payment awards is included within the </w:t>
      </w:r>
      <w:r>
        <w:rPr>
          <w:rFonts w:ascii="Arial" w:cs="Arial" w:eastAsia="Arial" w:hAnsi="Arial"/>
          <w:sz w:val="18"/>
          <w:szCs w:val="18"/>
          <w:i w:val="1"/>
          <w:iCs w:val="1"/>
          <w:color w:val="auto"/>
        </w:rPr>
        <w:t>Common Stock and Related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footnotes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within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Comprehensive Income</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Comprehensive income represents a measure of all changes in equity that result from recognized transactions and other economic events other than transactions with owners in their capacity as owners. Comprehensive income includes our net income as well as other comprehensive (loss) income items, which are comprised of foreign currency translation and pension adjustments.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presents the changes in each component of accumulated other comprehensive loss net of tax during the periods presented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Foreign Currency</w:t>
            </w:r>
          </w:p>
        </w:tc>
        <w:tc>
          <w:tcPr>
            <w:tcW w:w="200" w:type="dxa"/>
            <w:vAlign w:val="bottom"/>
          </w:tcPr>
          <w:p>
            <w:pPr>
              <w:spacing w:after="0"/>
              <w:rPr>
                <w:sz w:val="14"/>
                <w:szCs w:val="14"/>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89"/>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Items</w:t>
            </w:r>
          </w:p>
        </w:tc>
        <w:tc>
          <w:tcPr>
            <w:tcW w:w="20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6"/>
                <w:szCs w:val="16"/>
                <w:color w:val="auto"/>
              </w:rPr>
            </w:pPr>
          </w:p>
        </w:tc>
        <w:tc>
          <w:tcPr>
            <w:tcW w:w="1540" w:type="dxa"/>
            <w:vAlign w:val="bottom"/>
          </w:tcPr>
          <w:p>
            <w:pPr>
              <w:jc w:val="center"/>
              <w:ind w:right="4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96"/>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2024</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(114.9)</w:t>
            </w:r>
          </w:p>
        </w:tc>
        <w:tc>
          <w:tcPr>
            <w:tcW w:w="0" w:type="dxa"/>
            <w:vAlign w:val="bottom"/>
          </w:tcPr>
          <w:p>
            <w:pPr>
              <w:spacing w:after="0"/>
              <w:rPr>
                <w:sz w:val="1"/>
                <w:szCs w:val="1"/>
                <w:color w:val="auto"/>
              </w:rPr>
            </w:pPr>
          </w:p>
        </w:tc>
      </w:tr>
      <w:tr>
        <w:trPr>
          <w:trHeight w:val="199"/>
        </w:trPr>
        <w:tc>
          <w:tcPr>
            <w:tcW w:w="608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06"/>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18"/>
                <w:szCs w:val="18"/>
                <w:color w:val="auto"/>
                <w:vertAlign w:val="superscript"/>
              </w:rPr>
              <w:t>(1)</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(loss) income</w:t>
            </w: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25"/>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November 30, 2024</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(131.7)</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Foreign Currency</w:t>
            </w:r>
          </w:p>
        </w:tc>
        <w:tc>
          <w:tcPr>
            <w:tcW w:w="200" w:type="dxa"/>
            <w:vAlign w:val="bottom"/>
          </w:tcPr>
          <w:p>
            <w:pPr>
              <w:spacing w:after="0"/>
              <w:rPr>
                <w:sz w:val="14"/>
                <w:szCs w:val="14"/>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89"/>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Items</w:t>
            </w:r>
          </w:p>
        </w:tc>
        <w:tc>
          <w:tcPr>
            <w:tcW w:w="20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6"/>
                <w:szCs w:val="16"/>
                <w:color w:val="auto"/>
              </w:rPr>
            </w:pPr>
          </w:p>
        </w:tc>
        <w:tc>
          <w:tcPr>
            <w:tcW w:w="1540" w:type="dxa"/>
            <w:vAlign w:val="bottom"/>
          </w:tcPr>
          <w:p>
            <w:pPr>
              <w:jc w:val="center"/>
              <w:ind w:right="4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96"/>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2023</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r>
        <w:trPr>
          <w:trHeight w:val="198"/>
        </w:trPr>
        <w:tc>
          <w:tcPr>
            <w:tcW w:w="608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7"/>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18"/>
                <w:szCs w:val="18"/>
                <w:color w:val="auto"/>
                <w:vertAlign w:val="superscript"/>
              </w:rPr>
              <w:t>(1)</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(loss) income</w:t>
            </w: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25"/>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November 30, 2023</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(114.1)</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60" w:lineRule="exact"/>
        <w:rPr>
          <w:sz w:val="20"/>
          <w:szCs w:val="20"/>
          <w:color w:val="auto"/>
        </w:rPr>
      </w:pPr>
    </w:p>
    <w:p>
      <w:pPr>
        <w:ind w:right="320" w:firstLine="8"/>
        <w:spacing w:after="0" w:line="291" w:lineRule="auto"/>
        <w:tabs>
          <w:tab w:leader="none" w:pos="122" w:val="left"/>
        </w:tabs>
        <w:numPr>
          <w:ilvl w:val="0"/>
          <w:numId w:val="11"/>
        </w:numPr>
        <w:rPr>
          <w:rFonts w:ascii="Arial" w:cs="Arial" w:eastAsia="Arial" w:hAnsi="Arial"/>
          <w:sz w:val="14"/>
          <w:szCs w:val="14"/>
          <w:color w:val="auto"/>
          <w:vertAlign w:val="superscript"/>
        </w:rPr>
      </w:pPr>
      <w:r>
        <w:rPr>
          <w:rFonts w:ascii="Arial" w:cs="Arial" w:eastAsia="Arial" w:hAnsi="Arial"/>
          <w:sz w:val="11"/>
          <w:szCs w:val="11"/>
          <w:color w:val="auto"/>
        </w:rPr>
        <w:t xml:space="preserve">The before tax amounts of the defined benefit pension plan items are included in net periodic pension cost. See the </w:t>
      </w:r>
      <w:r>
        <w:rPr>
          <w:rFonts w:ascii="Arial" w:cs="Arial" w:eastAsia="Arial" w:hAnsi="Arial"/>
          <w:sz w:val="11"/>
          <w:szCs w:val="11"/>
          <w:i w:val="1"/>
          <w:iCs w:val="1"/>
          <w:color w:val="auto"/>
        </w:rPr>
        <w:t>Pension and Defined Contribution Plans</w:t>
      </w:r>
      <w:r>
        <w:rPr>
          <w:rFonts w:ascii="Arial" w:cs="Arial" w:eastAsia="Arial" w:hAnsi="Arial"/>
          <w:sz w:val="11"/>
          <w:szCs w:val="11"/>
          <w:color w:val="auto"/>
        </w:rPr>
        <w:t xml:space="preserve"> footnote of the </w:t>
      </w:r>
      <w:r>
        <w:rPr>
          <w:rFonts w:ascii="Arial" w:cs="Arial" w:eastAsia="Arial" w:hAnsi="Arial"/>
          <w:sz w:val="11"/>
          <w:szCs w:val="11"/>
          <w:i w:val="1"/>
          <w:iCs w:val="1"/>
          <w:color w:val="auto"/>
        </w:rPr>
        <w:t>Notes to Consolidated</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Financial Statements </w:t>
      </w:r>
      <w:r>
        <w:rPr>
          <w:rFonts w:ascii="Arial" w:cs="Arial" w:eastAsia="Arial" w:hAnsi="Arial"/>
          <w:sz w:val="11"/>
          <w:szCs w:val="11"/>
          <w:color w:val="auto"/>
        </w:rPr>
        <w:t>for additional details.</w:t>
      </w:r>
    </w:p>
    <w:p>
      <w:pPr>
        <w:spacing w:after="0" w:line="83" w:lineRule="exact"/>
        <w:rPr>
          <w:sz w:val="20"/>
          <w:szCs w:val="20"/>
          <w:color w:val="auto"/>
        </w:rPr>
      </w:pPr>
    </w:p>
    <w:p>
      <w:pPr>
        <w:ind w:right="740"/>
        <w:spacing w:after="0" w:line="279" w:lineRule="auto"/>
        <w:rPr>
          <w:sz w:val="20"/>
          <w:szCs w:val="20"/>
          <w:color w:val="auto"/>
        </w:rPr>
      </w:pPr>
      <w:r>
        <w:rPr>
          <w:rFonts w:ascii="Arial" w:cs="Arial" w:eastAsia="Arial" w:hAnsi="Arial"/>
          <w:sz w:val="18"/>
          <w:szCs w:val="18"/>
          <w:color w:val="auto"/>
        </w:rPr>
        <w:t>The following table summarizes the tax expense or benefit allocated to each component of other comprehensive loss for the periods presented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6"/>
          </w:tcPr>
          <w:p>
            <w:pPr>
              <w:jc w:val="center"/>
              <w:ind w:left="668"/>
              <w:spacing w:after="0"/>
              <w:rPr>
                <w:sz w:val="20"/>
                <w:szCs w:val="20"/>
                <w:color w:val="auto"/>
              </w:rPr>
            </w:pPr>
            <w:r>
              <w:rPr>
                <w:rFonts w:ascii="Arial" w:cs="Arial" w:eastAsia="Arial" w:hAnsi="Arial"/>
                <w:sz w:val="14"/>
                <w:szCs w:val="14"/>
                <w:b w:val="1"/>
                <w:bCs w:val="1"/>
                <w:color w:val="auto"/>
              </w:rPr>
              <w:t>November 30, 2024</w:t>
            </w:r>
          </w:p>
        </w:tc>
        <w:tc>
          <w:tcPr>
            <w:tcW w:w="8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6"/>
          </w:tcPr>
          <w:p>
            <w:pPr>
              <w:jc w:val="center"/>
              <w:ind w:left="668"/>
              <w:spacing w:after="0"/>
              <w:rPr>
                <w:sz w:val="20"/>
                <w:szCs w:val="20"/>
                <w:color w:val="auto"/>
              </w:rPr>
            </w:pPr>
            <w:r>
              <w:rPr>
                <w:rFonts w:ascii="Arial" w:cs="Arial" w:eastAsia="Arial" w:hAnsi="Arial"/>
                <w:sz w:val="14"/>
                <w:szCs w:val="14"/>
                <w:b w:val="1"/>
                <w:bCs w:val="1"/>
                <w:color w:val="auto"/>
              </w:rPr>
              <w:t>November 30, 2023</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Before Tax</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9"/>
              </w:rPr>
              <w:t>Before Tax</w:t>
            </w:r>
          </w:p>
        </w:tc>
        <w:tc>
          <w:tcPr>
            <w:tcW w:w="120" w:type="dxa"/>
            <w:vAlign w:val="bottom"/>
          </w:tcPr>
          <w:p>
            <w:pPr>
              <w:spacing w:after="0"/>
              <w:rPr>
                <w:sz w:val="12"/>
                <w:szCs w:val="12"/>
                <w:color w:val="auto"/>
              </w:rPr>
            </w:pPr>
          </w:p>
        </w:tc>
        <w:tc>
          <w:tcPr>
            <w:tcW w:w="98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8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Benefit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center"/>
              <w:ind w:left="448"/>
              <w:spacing w:after="0"/>
              <w:rPr>
                <w:sz w:val="20"/>
                <w:szCs w:val="20"/>
                <w:color w:val="auto"/>
              </w:rPr>
            </w:pPr>
            <w:r>
              <w:rPr>
                <w:rFonts w:ascii="Arial" w:cs="Arial" w:eastAsia="Arial" w:hAnsi="Arial"/>
                <w:sz w:val="14"/>
                <w:szCs w:val="14"/>
                <w:color w:val="auto"/>
                <w:w w:val="97"/>
              </w:rPr>
              <w:t>(2.1)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44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8"/>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Actuarial losses on defined benefit pension plans</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0.5</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25"/>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center"/>
              <w:ind w:left="448"/>
              <w:spacing w:after="0"/>
              <w:rPr>
                <w:sz w:val="20"/>
                <w:szCs w:val="20"/>
                <w:color w:val="auto"/>
              </w:rPr>
            </w:pPr>
            <w:r>
              <w:rPr>
                <w:rFonts w:ascii="Arial" w:cs="Arial" w:eastAsia="Arial" w:hAnsi="Arial"/>
                <w:sz w:val="14"/>
                <w:szCs w:val="14"/>
                <w:color w:val="auto"/>
                <w:w w:val="97"/>
              </w:rPr>
              <w:t>(1.3)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center"/>
              <w:ind w:left="44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Segment Information</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report our financial results of operations in two reportable segments, Acuity Brands Lighting and Acuity Intelligent Spaces, consistent with how our chief operating decision maker currently evaluates operating results, assesses performance, and allocates resources within the Company.</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accounting policies of our reportable segments are the same as those described 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 xml:space="preserve">Notes to Consolidated Financial Statements </w:t>
      </w:r>
      <w:r>
        <w:rPr>
          <w:rFonts w:ascii="Arial" w:cs="Arial" w:eastAsia="Arial" w:hAnsi="Arial"/>
          <w:sz w:val="18"/>
          <w:szCs w:val="18"/>
          <w:color w:val="auto"/>
        </w:rPr>
        <w:t>within our Form 10-K. Corporate expenses that are primarily administrative in function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the Company on an entity-wide basis are not allocated to segments. These include expenses related to governance, policy setting, compliance, and certain other shared services functions. Additionally, net interest expense, net miscellaneous expense, and income tax expense are not allocated to segments.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information by operating segment for the periods presented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gridSpan w:val="4"/>
          </w:tcPr>
          <w:p>
            <w:pPr>
              <w:jc w:val="right"/>
              <w:ind w:right="125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6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30, 2024</w:t>
            </w:r>
          </w:p>
        </w:tc>
        <w:tc>
          <w:tcPr>
            <w:tcW w:w="220" w:type="dxa"/>
            <w:vAlign w:val="bottom"/>
          </w:tcPr>
          <w:p>
            <w:pPr>
              <w:spacing w:after="0"/>
              <w:rPr>
                <w:sz w:val="18"/>
                <w:szCs w:val="18"/>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November 30, 2023</w:t>
            </w:r>
          </w:p>
        </w:tc>
      </w:tr>
      <w:tr>
        <w:trPr>
          <w:trHeight w:val="196"/>
        </w:trPr>
        <w:tc>
          <w:tcPr>
            <w:tcW w:w="6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22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r>
      <w:tr>
        <w:trPr>
          <w:trHeight w:val="215"/>
        </w:trPr>
        <w:tc>
          <w:tcPr>
            <w:tcW w:w="6960" w:type="dxa"/>
            <w:vAlign w:val="bottom"/>
          </w:tcPr>
          <w:p>
            <w:pPr>
              <w:ind w:left="20"/>
              <w:spacing w:after="0"/>
              <w:rPr>
                <w:sz w:val="20"/>
                <w:szCs w:val="20"/>
                <w:color w:val="auto"/>
              </w:rPr>
            </w:pPr>
            <w:r>
              <w:rPr>
                <w:rFonts w:ascii="Arial" w:cs="Arial" w:eastAsia="Arial" w:hAnsi="Arial"/>
                <w:sz w:val="16"/>
                <w:szCs w:val="16"/>
                <w:color w:val="auto"/>
              </w:rPr>
              <w:t>Acuity Brands Lighting</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886.0</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876.4</w:t>
            </w:r>
          </w:p>
        </w:tc>
      </w:tr>
      <w:tr>
        <w:trPr>
          <w:trHeight w:val="217"/>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Acuity Intelligent Spaces</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w:t>
            </w:r>
          </w:p>
        </w:tc>
      </w:tr>
      <w:tr>
        <w:trPr>
          <w:trHeight w:val="216"/>
        </w:trPr>
        <w:tc>
          <w:tcPr>
            <w:tcW w:w="69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Eliminations</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r>
      <w:tr>
        <w:trPr>
          <w:trHeight w:val="234"/>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934.7</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profit:</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5"/>
        </w:trPr>
        <w:tc>
          <w:tcPr>
            <w:tcW w:w="6960" w:type="dxa"/>
            <w:vAlign w:val="bottom"/>
          </w:tcPr>
          <w:p>
            <w:pPr>
              <w:ind w:left="20"/>
              <w:spacing w:after="0"/>
              <w:rPr>
                <w:sz w:val="20"/>
                <w:szCs w:val="20"/>
                <w:color w:val="auto"/>
              </w:rPr>
            </w:pPr>
            <w:r>
              <w:rPr>
                <w:rFonts w:ascii="Arial" w:cs="Arial" w:eastAsia="Arial" w:hAnsi="Arial"/>
                <w:sz w:val="16"/>
                <w:szCs w:val="16"/>
                <w:color w:val="auto"/>
              </w:rPr>
              <w:t>Acuity Brands Lighting</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143.3</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143.8</w:t>
            </w:r>
          </w:p>
        </w:tc>
      </w:tr>
      <w:tr>
        <w:trPr>
          <w:trHeight w:val="217"/>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Acuity Intelligent Spaces</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15"/>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Unallocated corporate amounts</w:t>
            </w: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r>
      <w:tr>
        <w:trPr>
          <w:trHeight w:val="235"/>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132.9</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ind w:left="160" w:hanging="152"/>
        <w:spacing w:after="0" w:line="203" w:lineRule="auto"/>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2"/>
          <w:szCs w:val="12"/>
          <w:color w:val="auto"/>
        </w:rPr>
        <w:t>These amounts represent intersegment sales. Profit on these sales eliminates within gross profit on a consolidated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operating profit by segment to income before income taxes for the periods presented (in millions):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4"/>
          </w:tcPr>
          <w:p>
            <w:pPr>
              <w:jc w:val="right"/>
              <w:ind w:right="125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6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30, 2024</w:t>
            </w:r>
          </w:p>
        </w:tc>
        <w:tc>
          <w:tcPr>
            <w:tcW w:w="220" w:type="dxa"/>
            <w:vAlign w:val="bottom"/>
          </w:tcPr>
          <w:p>
            <w:pPr>
              <w:spacing w:after="0"/>
              <w:rPr>
                <w:sz w:val="18"/>
                <w:szCs w:val="18"/>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November 30, 2023</w:t>
            </w:r>
          </w:p>
        </w:tc>
      </w:tr>
      <w:tr>
        <w:trPr>
          <w:trHeight w:val="209"/>
        </w:trPr>
        <w:tc>
          <w:tcPr>
            <w:tcW w:w="6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profit - Acuity Brands Lighting</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w:t>
            </w:r>
          </w:p>
        </w:tc>
      </w:tr>
      <w:tr>
        <w:trPr>
          <w:trHeight w:val="215"/>
        </w:trPr>
        <w:tc>
          <w:tcPr>
            <w:tcW w:w="6900" w:type="dxa"/>
            <w:vAlign w:val="bottom"/>
          </w:tcPr>
          <w:p>
            <w:pPr>
              <w:ind w:left="20"/>
              <w:spacing w:after="0"/>
              <w:rPr>
                <w:sz w:val="20"/>
                <w:szCs w:val="20"/>
                <w:color w:val="auto"/>
              </w:rPr>
            </w:pPr>
            <w:r>
              <w:rPr>
                <w:rFonts w:ascii="Arial" w:cs="Arial" w:eastAsia="Arial" w:hAnsi="Arial"/>
                <w:sz w:val="16"/>
                <w:szCs w:val="16"/>
                <w:color w:val="auto"/>
              </w:rPr>
              <w:t>Operating profit - Acuity Intelligent Spaces</w:t>
            </w: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7"/>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Unallocated corporate amounts</w:t>
            </w:r>
          </w:p>
        </w:tc>
        <w:tc>
          <w:tcPr>
            <w:tcW w:w="22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09"/>
        </w:trPr>
        <w:tc>
          <w:tcPr>
            <w:tcW w:w="690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133.3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132.9</w:t>
            </w:r>
          </w:p>
        </w:tc>
      </w:tr>
      <w:tr>
        <w:trPr>
          <w:trHeight w:val="217"/>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expense, net</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Miscellaneous expense, net</w:t>
            </w: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35"/>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130.9</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January 1, 2025, Acuity Brands Technology Services, Inc., a wholly-owned subsidiary of Acuity Brands, Inc. acquired all of the equity interests of QSC, LLC (“QSC”), a leader in the design, engineering, and manufacturing of audio, video, and control solutions and services, for $1.215 billion. We funded the transaction using cash on hand and proceeds from our Term Loan Facility, under which we incurred an aggregate $600.0 million in indebtedness effective as of January 2,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Brands, Inc. (referred to herein as “we,” “our,” “us,” the “Company,” or similar references) and its subsidiaries as of November 30, 2024 and for the three months ended November 30, 2024 and November 30, 2023. The following discussion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included within this report. Also, please refer to Acuity Brands, Inc.'s Annual Report on Form 10-K for the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August 31, 2024, filed with the Securities and Exchange Commission (the “SEC”) on October 28, 2024 (“Form 10-K”).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14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are a market-leading industrial technology company. We use technology to solve problems in spaces and light. Through our two business segments, Acuity Brands Lighting and Acuity Intelligent Spaces, we design, manufacture, and bring to market products and services that make a valuable difference in people's lives. We achieve growth through the development of innovative new products and services, including lighting, lighting controls, building management solutions, and location-aware applications.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business exhibits some seasonality, with net sales being affected by weather and seasonal demand on construction and installation programs, particularly during the winter months, as well as the annual budget cycles of major customers. Historically, with certain exceptions, we have experienced our highest sales in the last two quarters of each fiscal year due to these factors.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numerous sources of capital, including cash on hand and cash flows generated from operations, as well as various sources of financing. Our ability to generate sufficient cash flows from operations or to access certain capital markets, including banks, is necessary to meet our capital allocation priorities, which are to invest in our current business for growth, to invest in mergers and acquisitions, to pay a dividend, and to make share repurchases. Sufficient cash flow generation is also critical to fund our operations in the short and long term and to maintain compliance with covenants contained in our financing agreements.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significant contractual cash requirements primarily include principal and interest on our unsecured notes, accounts payable, accrued employee compensation, operating lease liabilities, and certain purchase obligations incurred in the ordinary course of business that are enforceable and legally binding. Our obligations related to these items are described further within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within our Annual Report filed on Form 10-K. Refer to</w:t>
      </w:r>
      <w:r>
        <w:rPr>
          <w:rFonts w:ascii="Arial" w:cs="Arial" w:eastAsia="Arial" w:hAnsi="Arial"/>
          <w:sz w:val="18"/>
          <w:szCs w:val="18"/>
          <w:i w:val="1"/>
          <w:iCs w:val="1"/>
          <w:color w:val="auto"/>
        </w:rPr>
        <w:t xml:space="preserve"> Recent Developments </w:t>
      </w:r>
      <w:r>
        <w:rPr>
          <w:rFonts w:ascii="Arial" w:cs="Arial" w:eastAsia="Arial" w:hAnsi="Arial"/>
          <w:sz w:val="18"/>
          <w:szCs w:val="18"/>
          <w:color w:val="auto"/>
        </w:rPr>
        <w:t>for a discussion</w:t>
      </w:r>
      <w:r>
        <w:rPr>
          <w:rFonts w:ascii="Arial" w:cs="Arial" w:eastAsia="Arial" w:hAnsi="Arial"/>
          <w:sz w:val="18"/>
          <w:szCs w:val="18"/>
          <w:i w:val="1"/>
          <w:iCs w:val="1"/>
          <w:color w:val="auto"/>
        </w:rPr>
        <w:t xml:space="preserve"> </w:t>
      </w:r>
      <w:r>
        <w:rPr>
          <w:rFonts w:ascii="Arial" w:cs="Arial" w:eastAsia="Arial" w:hAnsi="Arial"/>
          <w:sz w:val="18"/>
          <w:szCs w:val="18"/>
          <w:color w:val="auto"/>
        </w:rPr>
        <w:t>of changes to our contractual obligations after November 30, 2024.</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will be able to meet our liquidity needs over the next 12 months based on our cash on hand, current projections of cash flows from operations, borrowing availability under financing arrangements, and current access to capital markets. Additionally, we believe that our cash flows from operations and sources of funding, including, but not limited to, future borrowings and borrowing capacity, will sufficiently support our long-term liquidity needs. In the event of a sustained market deterioration, we may need additional capital, which would require us to evaluate available alternatives and take appropriate actions.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cash position at November 30, 2024 was $935.6 million, an increase of $89.8 million from August 31, 2024. Cash generated from operating activities and cash on hand were used during the current year to fund our capital allocation priorities as discussed below.</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generated $132.2 million of cash flows from operating activities during the three months ended November 30, 2024, compared to $190.0 million in the prior-year period, a decrease of $57.8 million. This decrease was due primarily to timing of payments to suppliers as well as lower cash collections from customers.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discussion of the terms of our various financing arrangements, including the $500.0 million aggregate principal amount of 2.150% senior unsecured notes due December 15, 2030 (the “Unsecured Notes”), the terms of our $600.0 million five-year unsecured revolving credit facility (“Revolving Credit Facility”), and the terms of our $600.0 million two-year unsecured term loan facility (“Term Loan Facility”).</w:t>
      </w:r>
    </w:p>
    <w:p>
      <w:pPr>
        <w:spacing w:after="0" w:line="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At November 30, 2024, our outstanding debt balance was $496.3 million, which consisted solely of our Unsecured Notes, compared to our cash position of $935.6 million. We were in compliance with all covenants under our financing arrangements as of November 30, 2024.</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Unsecured Notes were issued by Acuity Brands Lighting, Inc., a wholly-owned subsidiary of Acuity Brands, Inc. The Unsecured Notes are fully and unconditionally guaranteed on a senior unsecured basis by Acuity Brands, Inc. and ABL IP Holding LLC, a wholly-owned subsidiary of Acuity Brands, Inc. The following tables present summarized financial information for Acuity Brands, Inc., Acuity Brands Lighting, Inc., and ABL IP Holding LLC on a combined basis after the elimination of all intercompany balances and transactions between the combined group as well as any investments in non-guarantors as of the dates and during the period presented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2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Summarized Balance Sheet Information</w:t>
            </w:r>
          </w:p>
        </w:tc>
        <w:tc>
          <w:tcPr>
            <w:tcW w:w="220" w:type="dxa"/>
            <w:vAlign w:val="bottom"/>
          </w:tcPr>
          <w:p>
            <w:pPr>
              <w:spacing w:after="0"/>
              <w:rPr>
                <w:sz w:val="18"/>
                <w:szCs w:val="18"/>
                <w:color w:val="auto"/>
              </w:rPr>
            </w:pPr>
          </w:p>
        </w:tc>
        <w:tc>
          <w:tcPr>
            <w:tcW w:w="194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2024</w:t>
            </w:r>
          </w:p>
        </w:tc>
        <w:tc>
          <w:tcPr>
            <w:tcW w:w="260" w:type="dxa"/>
            <w:vAlign w:val="bottom"/>
          </w:tcPr>
          <w:p>
            <w:pPr>
              <w:spacing w:after="0"/>
              <w:rPr>
                <w:sz w:val="18"/>
                <w:szCs w:val="18"/>
                <w:color w:val="auto"/>
              </w:rPr>
            </w:pPr>
          </w:p>
        </w:tc>
        <w:tc>
          <w:tcPr>
            <w:tcW w:w="180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31, 2024</w:t>
            </w:r>
          </w:p>
        </w:tc>
      </w:tr>
      <w:tr>
        <w:trPr>
          <w:trHeight w:val="209"/>
        </w:trPr>
        <w:tc>
          <w:tcPr>
            <w:tcW w:w="6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1,588.0</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1,517.6</w:t>
            </w:r>
          </w:p>
        </w:tc>
      </w:tr>
      <w:tr>
        <w:trPr>
          <w:trHeight w:val="215"/>
        </w:trPr>
        <w:tc>
          <w:tcPr>
            <w:tcW w:w="7020" w:type="dxa"/>
            <w:vAlign w:val="bottom"/>
            <w:gridSpan w:val="2"/>
          </w:tcPr>
          <w:p>
            <w:pPr>
              <w:ind w:left="20"/>
              <w:spacing w:after="0"/>
              <w:rPr>
                <w:sz w:val="20"/>
                <w:szCs w:val="20"/>
                <w:color w:val="auto"/>
              </w:rPr>
            </w:pPr>
            <w:r>
              <w:rPr>
                <w:rFonts w:ascii="Arial" w:cs="Arial" w:eastAsia="Arial" w:hAnsi="Arial"/>
                <w:sz w:val="16"/>
                <w:szCs w:val="16"/>
                <w:color w:val="auto"/>
              </w:rPr>
              <w:t>Amounts due from non-guarantor affiliates</w:t>
            </w: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371.5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338.0</w:t>
            </w:r>
          </w:p>
        </w:tc>
      </w:tr>
      <w:tr>
        <w:trPr>
          <w:trHeight w:val="217"/>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1,337.7</w:t>
            </w:r>
          </w:p>
        </w:tc>
      </w:tr>
      <w:tr>
        <w:trPr>
          <w:trHeight w:val="215"/>
        </w:trPr>
        <w:tc>
          <w:tcPr>
            <w:tcW w:w="702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526.2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553.2</w:t>
            </w:r>
          </w:p>
        </w:tc>
      </w:tr>
      <w:tr>
        <w:trPr>
          <w:trHeight w:val="217"/>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746.5</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40" w:type="dxa"/>
            <w:vAlign w:val="bottom"/>
            <w:gridSpan w:val="2"/>
            <w:vMerge w:val="restart"/>
          </w:tcPr>
          <w:p>
            <w:pPr>
              <w:ind w:left="20"/>
              <w:spacing w:after="0"/>
              <w:rPr>
                <w:sz w:val="20"/>
                <w:szCs w:val="20"/>
                <w:color w:val="auto"/>
              </w:rPr>
            </w:pPr>
            <w:r>
              <w:rPr>
                <w:rFonts w:ascii="Arial" w:cs="Arial" w:eastAsia="Arial" w:hAnsi="Arial"/>
                <w:sz w:val="16"/>
                <w:szCs w:val="16"/>
                <w:b w:val="1"/>
                <w:bCs w:val="1"/>
                <w:i w:val="1"/>
                <w:iCs w:val="1"/>
                <w:color w:val="auto"/>
              </w:rPr>
              <w:t>Summarized Income Statement Information</w:t>
            </w:r>
          </w:p>
        </w:tc>
        <w:tc>
          <w:tcPr>
            <w:tcW w:w="260" w:type="dxa"/>
            <w:vAlign w:val="bottom"/>
          </w:tcPr>
          <w:p>
            <w:pPr>
              <w:spacing w:after="0"/>
              <w:rPr>
                <w:sz w:val="16"/>
                <w:szCs w:val="16"/>
                <w:color w:val="auto"/>
              </w:rPr>
            </w:pPr>
          </w:p>
        </w:tc>
        <w:tc>
          <w:tcPr>
            <w:tcW w:w="2140" w:type="dxa"/>
            <w:vAlign w:val="bottom"/>
          </w:tcPr>
          <w:p>
            <w:pPr>
              <w:jc w:val="right"/>
              <w:ind w:right="31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88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tcPr>
          <w:p>
            <w:pPr>
              <w:jc w:val="right"/>
              <w:ind w:right="379"/>
              <w:spacing w:after="0"/>
              <w:rPr>
                <w:sz w:val="20"/>
                <w:szCs w:val="20"/>
                <w:color w:val="auto"/>
              </w:rPr>
            </w:pPr>
            <w:r>
              <w:rPr>
                <w:rFonts w:ascii="Arial" w:cs="Arial" w:eastAsia="Arial" w:hAnsi="Arial"/>
                <w:sz w:val="16"/>
                <w:szCs w:val="16"/>
                <w:b w:val="1"/>
                <w:bCs w:val="1"/>
                <w:color w:val="auto"/>
              </w:rPr>
              <w:t>November 30, 2024</w:t>
            </w:r>
          </w:p>
        </w:tc>
        <w:tc>
          <w:tcPr>
            <w:tcW w:w="0" w:type="dxa"/>
            <w:vAlign w:val="bottom"/>
          </w:tcPr>
          <w:p>
            <w:pPr>
              <w:spacing w:after="0"/>
              <w:rPr>
                <w:sz w:val="1"/>
                <w:szCs w:val="1"/>
                <w:color w:val="auto"/>
              </w:rPr>
            </w:pPr>
          </w:p>
        </w:tc>
      </w:tr>
      <w:tr>
        <w:trPr>
          <w:trHeight w:val="209"/>
        </w:trPr>
        <w:tc>
          <w:tcPr>
            <w:tcW w:w="8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789.4</w:t>
            </w:r>
          </w:p>
        </w:tc>
        <w:tc>
          <w:tcPr>
            <w:tcW w:w="0" w:type="dxa"/>
            <w:vAlign w:val="bottom"/>
          </w:tcPr>
          <w:p>
            <w:pPr>
              <w:spacing w:after="0"/>
              <w:rPr>
                <w:sz w:val="1"/>
                <w:szCs w:val="1"/>
                <w:color w:val="auto"/>
              </w:rPr>
            </w:pPr>
          </w:p>
        </w:tc>
      </w:tr>
      <w:tr>
        <w:trPr>
          <w:trHeight w:val="215"/>
        </w:trPr>
        <w:tc>
          <w:tcPr>
            <w:tcW w:w="8840" w:type="dxa"/>
            <w:vAlign w:val="bottom"/>
            <w:gridSpan w:val="2"/>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382.2</w:t>
            </w:r>
          </w:p>
        </w:tc>
        <w:tc>
          <w:tcPr>
            <w:tcW w:w="0" w:type="dxa"/>
            <w:vAlign w:val="bottom"/>
          </w:tcPr>
          <w:p>
            <w:pPr>
              <w:spacing w:after="0"/>
              <w:rPr>
                <w:sz w:val="1"/>
                <w:szCs w:val="1"/>
                <w:color w:val="auto"/>
              </w:rPr>
            </w:pPr>
          </w:p>
        </w:tc>
      </w:tr>
      <w:tr>
        <w:trPr>
          <w:trHeight w:val="217"/>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November 25, 2024, we entered into an amendment to our credit agreement (the “Credit Agreement”) that, among other things, provides for a delayed draw term under the Term Loan Facility of up to $600.0 million, which may be drawn in a single borrowing at any time through May 25, 2025, subject to certain conditions. The Credit Agreement permits the proceeds of the Term Loan Facility to be used for general corporate purposes, including working capital, permitted acquisitions, and repurchases of capital stock.</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in compliance with all financial covenants under the Credit Agreement as of the periods presented. At November 30, 2024, we had additional borrowing capacity under the Credit Agreement of $1.2 billion under the most restrictive covenant in effect at the time, which represents the full amount of the Revolving Credit Facility and the Term Loan Facility less outstanding letters of credit of $3.5 million issued under the Revolving Credit Facility, primarily for securing collateral requirements under our casualty insurance premiums. As of November 30, 2024, our cash on hand combined with the additional borrowing capacity under the Revolving Credit Facility and the Term Loan Facility totaled $2.1 billion.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Allocation Priorities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capital allocation priorities are to invest in our current business for growth, to invest in mergers and acquisitions, to pay a dividend, and to make share repurchases.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Current Business for Growth</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invested $ 18.9 million and $14.6 million in property, plant, and equipment during the three months ended November 30, 2024 and November 30, 2023, respectively. We invested primarily in new and enhanced information technology, equipment, tooling, and facility improvements in fiscal 2025 to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Acquisitions, Investments, and Divestitures</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seek opportunities to strategically expand and enhance our portfolio of solutions. There were no acquisitions during the three months ended November 30, 2024 and November 30, 2023, respectively.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paid dividends on our common stock of $4.5 million ($0.15 per share) and $4.1 million ($0.13 per share) during the three months ended November 30, 2024 and November 30, 2023, respectively. All decisions regarding the declaration and payment of dividends are at the discretion of the Board of Directors (the “Board”) and are evaluated regularly in light of our financial condition, earnings, growth prospects, funding requirements, applicable law, and any other factors the Board deems relevant.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first three months of fiscal 2025 and 2024, we repurchased approximately 17,000 shares and 290,000 shares of our outstanding common stock for $ 5.4 million and $50.0 million, respectively. Total cash outflows for share repurchases during the three months ended November 30, 2024 and November 30, 2023 were $6.7 million and $48.2 million, respectively. We expect to repurchase shares on an opportunistic basis subject to various factors including stock price, Company performance, market conditions, and other possible uses of cash. On January 25, 2024, the Board approved an increase of three million shares to the maximum number of shares that may yet be repurchased under the share repurchase program. As of November 30, 2024, 3.8 million shares remained available within the program to repurchase.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January 1, 2025, Acuity Brands Technology Services, Inc., a wholly owned subsidiary of Acuity Brands, Inc. acquired all of the equity interests of QSC, LLC (“QSC”), a leader in the design, engineering, and manufacturing of audio, video, and control solutions and services, for $1.215 billion. We funded the transaction using cash on hand and proceeds from our Term Loan Facility, under which we incurred an aggregate $600.0 million in indebtedness effective as of January 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of Fiscal 2025 Compared with First Quarter of Fiscal 2024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comparing the components of net income for the three months ended November 30, 2024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November 30, 2023 (in millions except per-share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November 30, 2024</w:t>
            </w:r>
          </w:p>
        </w:tc>
        <w:tc>
          <w:tcPr>
            <w:tcW w:w="100" w:type="dxa"/>
            <w:vAlign w:val="bottom"/>
            <w:vMerge w:val="restart"/>
          </w:tcPr>
          <w:p>
            <w:pPr>
              <w:spacing w:after="0"/>
              <w:rPr>
                <w:sz w:val="11"/>
                <w:szCs w:val="11"/>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November 30, 2023</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ind w:right="268"/>
              <w:spacing w:after="0" w:line="131" w:lineRule="exact"/>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 Change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0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4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951.6</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934.7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products sold</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502.3</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506.3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900" w:type="dxa"/>
            <w:vAlign w:val="bottom"/>
            <w:tcBorders>
              <w:bottom w:val="single" w:sz="8" w:color="CCEEFF"/>
            </w:tcBorders>
            <w:gridSpan w:val="3"/>
          </w:tcPr>
          <w:p>
            <w:pPr>
              <w:jc w:val="right"/>
              <w:spacing w:after="0"/>
              <w:rPr>
                <w:sz w:val="20"/>
                <w:szCs w:val="20"/>
                <w:color w:val="auto"/>
              </w:rPr>
            </w:pPr>
            <w:r>
              <w:rPr>
                <w:rFonts w:ascii="Arial" w:cs="Arial" w:eastAsia="Arial" w:hAnsi="Arial"/>
                <w:sz w:val="14"/>
                <w:szCs w:val="14"/>
                <w:color w:val="auto"/>
              </w:rPr>
              <w:t>(0.8) %</w:t>
            </w:r>
          </w:p>
        </w:tc>
        <w:tc>
          <w:tcPr>
            <w:tcW w:w="0" w:type="dxa"/>
            <w:vAlign w:val="bottom"/>
          </w:tcPr>
          <w:p>
            <w:pPr>
              <w:spacing w:after="0"/>
              <w:rPr>
                <w:sz w:val="1"/>
                <w:szCs w:val="1"/>
                <w:color w:val="auto"/>
              </w:rPr>
            </w:pPr>
          </w:p>
        </w:tc>
      </w:tr>
      <w:tr>
        <w:trPr>
          <w:trHeight w:val="20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449.3</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428.4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02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47.2 %</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i w:val="1"/>
                <w:iCs w:val="1"/>
                <w:color w:val="auto"/>
              </w:rPr>
              <w:t>45.8 %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140</w:t>
            </w:r>
          </w:p>
        </w:tc>
        <w:tc>
          <w:tcPr>
            <w:tcW w:w="1740" w:type="dxa"/>
            <w:vAlign w:val="bottom"/>
            <w:gridSpan w:val="2"/>
          </w:tcPr>
          <w:p>
            <w:pPr>
              <w:jc w:val="right"/>
              <w:ind w:right="1408"/>
              <w:spacing w:after="0"/>
              <w:rPr>
                <w:sz w:val="20"/>
                <w:szCs w:val="20"/>
                <w:color w:val="auto"/>
              </w:rPr>
            </w:pPr>
            <w:r>
              <w:rPr>
                <w:rFonts w:ascii="Arial" w:cs="Arial" w:eastAsia="Arial" w:hAnsi="Arial"/>
                <w:sz w:val="14"/>
                <w:szCs w:val="14"/>
                <w:i w:val="1"/>
                <w:iCs w:val="1"/>
                <w:color w:val="auto"/>
              </w:rPr>
              <w:t>bps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4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316.0</w:t>
            </w: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295.5</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2"/>
        </w:trPr>
        <w:tc>
          <w:tcPr>
            <w:tcW w:w="502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44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133.3</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132.9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0.4</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7"/>
        </w:trPr>
        <w:tc>
          <w:tcPr>
            <w:tcW w:w="502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14.0 %</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14.2 %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40" w:type="dxa"/>
            <w:vAlign w:val="bottom"/>
            <w:gridSpan w:val="3"/>
            <w:shd w:val="clear" w:color="auto" w:fill="CCEEFF"/>
          </w:tcPr>
          <w:p>
            <w:pPr>
              <w:jc w:val="right"/>
              <w:ind w:right="1408"/>
              <w:spacing w:after="0"/>
              <w:rPr>
                <w:sz w:val="20"/>
                <w:szCs w:val="20"/>
                <w:color w:val="auto"/>
              </w:rPr>
            </w:pPr>
            <w:r>
              <w:rPr>
                <w:rFonts w:ascii="Arial" w:cs="Arial" w:eastAsia="Arial" w:hAnsi="Arial"/>
                <w:sz w:val="14"/>
                <w:szCs w:val="14"/>
                <w:i w:val="1"/>
                <w:iCs w:val="1"/>
                <w:color w:val="auto"/>
              </w:rPr>
              <w:t>(20) bps</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2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(income) expense, net</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(544.4) %</w:t>
            </w:r>
          </w:p>
        </w:tc>
        <w:tc>
          <w:tcPr>
            <w:tcW w:w="0" w:type="dxa"/>
            <w:vAlign w:val="bottom"/>
          </w:tcPr>
          <w:p>
            <w:pPr>
              <w:spacing w:after="0"/>
              <w:rPr>
                <w:sz w:val="1"/>
                <w:szCs w:val="1"/>
                <w:color w:val="auto"/>
              </w:rPr>
            </w:pPr>
          </w:p>
        </w:tc>
      </w:tr>
      <w:tr>
        <w:trPr>
          <w:trHeight w:val="198"/>
        </w:trPr>
        <w:tc>
          <w:tcPr>
            <w:tcW w:w="50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Miscellaneous expense, net</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46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0"/>
        </w:trPr>
        <w:tc>
          <w:tcPr>
            <w:tcW w:w="5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other (income) expense</w:t>
            </w:r>
          </w:p>
        </w:tc>
        <w:tc>
          <w:tcPr>
            <w:tcW w:w="4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(175.0) %</w:t>
            </w:r>
          </w:p>
        </w:tc>
        <w:tc>
          <w:tcPr>
            <w:tcW w:w="0" w:type="dxa"/>
            <w:vAlign w:val="bottom"/>
          </w:tcPr>
          <w:p>
            <w:pPr>
              <w:spacing w:after="0"/>
              <w:rPr>
                <w:sz w:val="1"/>
                <w:szCs w:val="1"/>
                <w:color w:val="auto"/>
              </w:rPr>
            </w:pPr>
          </w:p>
        </w:tc>
      </w:tr>
      <w:tr>
        <w:trPr>
          <w:trHeight w:val="192"/>
        </w:trPr>
        <w:tc>
          <w:tcPr>
            <w:tcW w:w="502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44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134.8</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130.9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3.0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6"/>
        </w:trPr>
        <w:tc>
          <w:tcPr>
            <w:tcW w:w="502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14.2 %</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14.0 %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20</w:t>
            </w:r>
          </w:p>
        </w:tc>
        <w:tc>
          <w:tcPr>
            <w:tcW w:w="1740" w:type="dxa"/>
            <w:vAlign w:val="bottom"/>
            <w:gridSpan w:val="2"/>
            <w:shd w:val="clear" w:color="auto" w:fill="CCEEFF"/>
          </w:tcPr>
          <w:p>
            <w:pPr>
              <w:jc w:val="right"/>
              <w:ind w:right="1408"/>
              <w:spacing w:after="0"/>
              <w:rPr>
                <w:sz w:val="20"/>
                <w:szCs w:val="20"/>
                <w:color w:val="auto"/>
              </w:rPr>
            </w:pPr>
            <w:r>
              <w:rPr>
                <w:rFonts w:ascii="Arial" w:cs="Arial" w:eastAsia="Arial" w:hAnsi="Arial"/>
                <w:sz w:val="14"/>
                <w:szCs w:val="14"/>
                <w:i w:val="1"/>
                <w:iCs w:val="1"/>
                <w:color w:val="auto"/>
              </w:rPr>
              <w:t>bps</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28.1</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900" w:type="dxa"/>
            <w:vAlign w:val="bottom"/>
            <w:tcBorders>
              <w:bottom w:val="single" w:sz="8" w:color="CCEEFF"/>
            </w:tcBorders>
            <w:gridSpan w:val="3"/>
          </w:tcPr>
          <w:p>
            <w:pPr>
              <w:jc w:val="right"/>
              <w:spacing w:after="0"/>
              <w:rPr>
                <w:sz w:val="20"/>
                <w:szCs w:val="20"/>
                <w:color w:val="auto"/>
              </w:rPr>
            </w:pPr>
            <w:r>
              <w:rPr>
                <w:rFonts w:ascii="Arial" w:cs="Arial" w:eastAsia="Arial" w:hAnsi="Arial"/>
                <w:sz w:val="14"/>
                <w:szCs w:val="14"/>
                <w:color w:val="auto"/>
              </w:rPr>
              <w:t>(7.3) %</w:t>
            </w:r>
          </w:p>
        </w:tc>
        <w:tc>
          <w:tcPr>
            <w:tcW w:w="0" w:type="dxa"/>
            <w:vAlign w:val="bottom"/>
          </w:tcPr>
          <w:p>
            <w:pPr>
              <w:spacing w:after="0"/>
              <w:rPr>
                <w:sz w:val="1"/>
                <w:szCs w:val="1"/>
                <w:color w:val="auto"/>
              </w:rPr>
            </w:pPr>
          </w:p>
        </w:tc>
      </w:tr>
      <w:tr>
        <w:trPr>
          <w:trHeight w:val="200"/>
        </w:trPr>
        <w:tc>
          <w:tcPr>
            <w:tcW w:w="502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Effective tax rate</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20.8 %</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23.1 %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106.7</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100.6</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6.1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 earnings per share</w:t>
            </w: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3.35</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3.21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NM - not meaningful</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0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sales for the first quarter of fiscal 2025 increased $16.9 million, or 1.8%, to $951.6 million, compared with $934.7 million in the prior-year period due to increases in sales in both our Acuity Brands Lighting and Acuity Intelligent Spaces segments.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for the first quarter of fiscal 2025 increased $20.9 million, or 4.9%, to $449.3 million, compared with $428.4 million in the prior-year period, and gross profit margin increased 140 basis points to 47.2% from 45.8% compared with the prior-year period. Our gross profit increased compared with the prior period due primarily to the fall through of higher net sales and lower materials cost. This increase was partially offset by increased labor and overhead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Selling, distribution, and administrative expenses (“SD&amp;A”) expenses for the first quarter of fiscal 2025 were $316.0 million, compared with $295.5 million in the prior-year period, an increase of $20.5 million, or 6.9%. The increase in SD&amp;A expenses was due primarily to higher employee-related costs, sales-related costs, such as commissions, and sales and marketing costs. Additionally, we incurred acquisition-related costs of $4.6 million during the first quarter of 2025.</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profit for the first quarter of fiscal 2025 was $133.3 million (14.0% of net sales), compared with $132.9 million (14.2% of net sales) for the prior-year period, an increase of $0.4 million, or 0.3%. The increase in operating profit was due primarily to the increase in gross profit, partially offset by higher operating expenses.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Expense, net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reported net interest income of $4.0 million and net interest expense of $ 0.9 million for the first quarter of fiscal 2025 and 2024, respectively. Our fiscal 2025 net interest income reflects higher interest-bearing cash and cash equivalent balances and higher investing rates on those balances.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Expense, net</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Miscellaneous expense, net consists of non-service components of net periodic pension cost, gains and losses associated with foreign currency-related transactions, and non-operating gains and losses.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reported net miscellaneous expense of $2.5 million and $1.1 million for the first quarter of fiscal 2025 and 2024, respectively. This year-over-year change is due primarily to a non-cash loss on an investment in a privately-held entity which we do not exercise significant influence or control.</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effective income tax rate was 20.8% and 23.1% for the first quarter of fiscal 2025 and 2024, respectively. This decrease was due primarily to higher excess tax benefits on stock compensation in the first quarter of fiscal 2025. We recognized excess tax benefits of $4.3 million related to share-based payment awards for the first quarter of fiscal 2025 compared to $1.5 million for the first quarter of fiscal 2024.</w:t>
      </w:r>
    </w:p>
    <w:p>
      <w:pPr>
        <w:spacing w:after="0" w:line="9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Net income for the first quarter of fiscal 2025 increased $ 6.1 million, or 6.1%, to $106.7 million, from $100.6 million reported for the prior-year period. Diluted earnings per share for the first quarter of fiscal 2025 increased $0.14, or 4.4%, to $3.35 compared with diluted earnings per share of $3.21 for the prior-year period. This increase reflects higher net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information comparing the operating results of our segments, Acuity Brands Lighting and Acuity Intelligent Spaces, for the three months ended November 30, 2024 and November 30, 2023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5420" w:type="dxa"/>
            <w:vAlign w:val="bottom"/>
          </w:tcPr>
          <w:p>
            <w:pPr>
              <w:spacing w:after="0"/>
              <w:rPr>
                <w:sz w:val="11"/>
                <w:szCs w:val="11"/>
                <w:color w:val="auto"/>
              </w:rPr>
            </w:pPr>
          </w:p>
        </w:tc>
        <w:tc>
          <w:tcPr>
            <w:tcW w:w="15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November 30, 2024</w:t>
            </w:r>
          </w:p>
        </w:tc>
        <w:tc>
          <w:tcPr>
            <w:tcW w:w="15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November 30, 2023</w:t>
            </w:r>
          </w:p>
        </w:tc>
        <w:tc>
          <w:tcPr>
            <w:tcW w:w="180" w:type="dxa"/>
            <w:vAlign w:val="bottom"/>
          </w:tcPr>
          <w:p>
            <w:pPr>
              <w:spacing w:after="0"/>
              <w:rPr>
                <w:sz w:val="11"/>
                <w:szCs w:val="11"/>
                <w:color w:val="auto"/>
              </w:rPr>
            </w:pPr>
          </w:p>
        </w:tc>
        <w:tc>
          <w:tcPr>
            <w:tcW w:w="120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rPr>
              <w:t>Increase</w:t>
            </w: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 Change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42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(Decrease)</w:t>
            </w:r>
          </w:p>
        </w:tc>
        <w:tc>
          <w:tcPr>
            <w:tcW w:w="1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Acuity Brands Lighting:</w:t>
            </w:r>
          </w:p>
        </w:tc>
        <w:tc>
          <w:tcPr>
            <w:tcW w:w="4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420" w:type="dxa"/>
            <w:vAlign w:val="bottom"/>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886.0</w:t>
            </w:r>
          </w:p>
        </w:tc>
        <w:tc>
          <w:tcPr>
            <w:tcW w:w="100" w:type="dxa"/>
            <w:vAlign w:val="bottom"/>
          </w:tcPr>
          <w:p>
            <w:pPr>
              <w:spacing w:after="0"/>
              <w:rPr>
                <w:sz w:val="17"/>
                <w:szCs w:val="17"/>
                <w:color w:val="auto"/>
              </w:rPr>
            </w:pP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876.4</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9.6</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143.3</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 %</w:t>
            </w:r>
          </w:p>
        </w:tc>
        <w:tc>
          <w:tcPr>
            <w:tcW w:w="0" w:type="dxa"/>
            <w:vAlign w:val="bottom"/>
          </w:tcPr>
          <w:p>
            <w:pPr>
              <w:spacing w:after="0"/>
              <w:rPr>
                <w:sz w:val="1"/>
                <w:szCs w:val="1"/>
                <w:color w:val="auto"/>
              </w:rPr>
            </w:pPr>
          </w:p>
        </w:tc>
      </w:tr>
      <w:tr>
        <w:trPr>
          <w:trHeight w:val="199"/>
        </w:trPr>
        <w:tc>
          <w:tcPr>
            <w:tcW w:w="5420" w:type="dxa"/>
            <w:vAlign w:val="bottom"/>
          </w:tcPr>
          <w:p>
            <w:pPr>
              <w:ind w:left="20"/>
              <w:spacing w:after="0"/>
              <w:rPr>
                <w:sz w:val="20"/>
                <w:szCs w:val="20"/>
                <w:color w:val="auto"/>
              </w:rPr>
            </w:pPr>
            <w:r>
              <w:rPr>
                <w:rFonts w:ascii="Arial" w:cs="Arial" w:eastAsia="Arial" w:hAnsi="Arial"/>
                <w:sz w:val="14"/>
                <w:szCs w:val="14"/>
                <w:color w:val="auto"/>
              </w:rPr>
              <w:t>Operating profit margin</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16.2 %</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16.4 %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7"/>
                <w:szCs w:val="17"/>
                <w:color w:val="auto"/>
              </w:rPr>
            </w:pPr>
          </w:p>
        </w:tc>
        <w:tc>
          <w:tcPr>
            <w:tcW w:w="1280" w:type="dxa"/>
            <w:vAlign w:val="bottom"/>
          </w:tcPr>
          <w:p>
            <w:pPr>
              <w:jc w:val="right"/>
              <w:ind w:right="948"/>
              <w:spacing w:after="0"/>
              <w:rPr>
                <w:sz w:val="20"/>
                <w:szCs w:val="20"/>
                <w:color w:val="auto"/>
              </w:rPr>
            </w:pPr>
            <w:r>
              <w:rPr>
                <w:rFonts w:ascii="Arial" w:cs="Arial" w:eastAsia="Arial" w:hAnsi="Arial"/>
                <w:sz w:val="14"/>
                <w:szCs w:val="14"/>
                <w:i w:val="1"/>
                <w:iCs w:val="1"/>
                <w:color w:val="auto"/>
              </w:rPr>
              <w:t>bps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420" w:type="dxa"/>
            <w:vAlign w:val="bottom"/>
          </w:tcPr>
          <w:p>
            <w:pPr>
              <w:ind w:left="20"/>
              <w:spacing w:after="0"/>
              <w:rPr>
                <w:sz w:val="20"/>
                <w:szCs w:val="20"/>
                <w:color w:val="auto"/>
              </w:rPr>
            </w:pPr>
            <w:r>
              <w:rPr>
                <w:rFonts w:ascii="Arial" w:cs="Arial" w:eastAsia="Arial" w:hAnsi="Arial"/>
                <w:sz w:val="14"/>
                <w:szCs w:val="14"/>
                <w:b w:val="1"/>
                <w:bCs w:val="1"/>
                <w:color w:val="auto"/>
              </w:rPr>
              <w:t>Acuity Intelligent Spaces:</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73.5</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42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420" w:type="dxa"/>
            <w:vAlign w:val="bottom"/>
          </w:tcPr>
          <w:p>
            <w:pPr>
              <w:spacing w:after="0"/>
              <w:rPr>
                <w:sz w:val="17"/>
                <w:szCs w:val="17"/>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103.8</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14.7 %</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640</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48"/>
              <w:spacing w:after="0"/>
              <w:rPr>
                <w:sz w:val="20"/>
                <w:szCs w:val="20"/>
                <w:color w:val="auto"/>
              </w:rPr>
            </w:pPr>
            <w:r>
              <w:rPr>
                <w:rFonts w:ascii="Arial" w:cs="Arial" w:eastAsia="Arial" w:hAnsi="Arial"/>
                <w:sz w:val="14"/>
                <w:szCs w:val="14"/>
                <w:i w:val="1"/>
                <w:iCs w:val="1"/>
                <w:color w:val="auto"/>
              </w:rPr>
              <w:t>bps</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Acuity Brands Lighting net sales for the first quarter of fiscal 2025 increased $9.6 million, or 1.1%, to $886.0 million, compared with $876.4 million in the prior-year period. Sales within the Acuity Brands Lighting segment increased due to higher net sales within our independent sales network and direct sales network, partially offset by declines in the retail and corporate accounts channels.</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profit for Acuity Brands Lighting was $143.3 million (16.2% of Acuity Brands Lighting net sales) for the first quarter of fiscal 2025, compared with $143.8 million (16.4% of Acuity Brands Lighting net sales) in the prior-year period, a decrease of $0.5 million. The decrease in operating profit was due to higher labor and overhead costs, and employee-related costs, partially offset by the fall through of higher net sales and lower materials cost.</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Acuity Intelligent Spaces net sales for the first quarter of fiscal 2025 increased $9.3 million, or 14.5%, to $73.5 million, compared with $64.2 million in the prior-year period. The increase in sales within the Acuity Intelligent Spaces segment is attributed to higher sales of Distech products. Acuity Intelligent Spaces operating profit was $10.8 million for the first quarter of fiscal 2025, compared with $5.3 million in the prior-year period, an increase of $ 5.5 million. This increase was due primarily to contributions from higher net sales and lower professional and consulting fees, partially offset by higher employee-related costs.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our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with U.S. generally accepted accounting principles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preparation of financial statements in conformity with U.S. GAAP requires us to make estimates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affect the reported amounts of assets and liabilities and disclosure of contingent assets and liabilities at the date of the financial statements and reported amounts of revenue and expense during the reporting period. On an ongoing basis, we evaluate our estimates and judgments, including those related to revenue recognition; inventory valuation; goodwill and indefinite-lived intangible assets; and product warranty costs. We base our estimates and judgments on our substantial historical experience and other relevant factors, the results of which form the basis for making judgments about the carrying values of assets and liabilities that are not readily apparent from other sources. Actual results could differ from those estimates. We discuss the development of critical accounting estimates with the Audit Committee of the Board of Directors on a recurring basis.</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material changes in our critical accounting estimates during the current period. For a detailed discussion of other significant accounting policies that may involve a higher degree of judgment, refer to our Form 10-K.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filing contains “forward-looking statements” within the meaning of Section 27A of the Securities Act of 1933, as amended, and Section 21E of the Securities Exchange Act of 1934, as amended, pursuant to the safe harbor provisions of the Private Securities Litigation Reform Act of 1995 (the “Act”). Forward-looking statements include, but are not limited to, statements that describe or relate to the Company’s plans, initiatives, projections, vision, goals, targets, commitments, expectations, objectives, prospects, strategies, or financial outlook, and the assumptions underlying or relating thereto. In some cases, we may use words such as “expect,” “believe,” “intend,” “anticipate,” “estimate,” “forecast,” “indicate,” “project,” “predict,” “plan,” “may,” “will,” “could,” “should,” “would,” “potential,” and words of similar meaning, as well as other words or expressions referencing future events, conditions, or circumstances, to identify forward-looking statements. We intend these forward-looking statements to be covered by the safe harbor provisions for forward-looking statements contained in the Act. Forward-looking statements are not guarantees of future performance. Our forward-looking statements are based on our current beliefs, expectations, and assumptions, which may not prove to be accurate, and are subject to known and unknown risks and uncertainties, assumptions, and other important factors, many of which are outside of our control and any of which could cause our actual results to differ materially from those expressed or implied by the forward-looking statements. These risks and uncertainties are discussed in our filings with the U.S. Securities and Exchange Commission, including our most recent annual report on Form 10-K (including, but not limited to, the sections titled “Risk Factors” and “Management's Discussion and Analysis of Financial Condition and Results of Operations”), quarterly reports on Form 10-Q, and current reports on Form 8-K. Any forward-looking statement speaks only as of the date on which it is made. This quarterly report is not comprehensive, and for that reason, should be read in conjunction with such filings. You are cautioned not to place undue reliance on any forward-looking statements. Except as required by law, we undertake no obligation to publicly update or release any revisions to these forward-looking statements to reflect any events or circumstances after the date of this quarterly report or to reflect the occurrence of unanticipated events, whether as a result of new information, future events, or otherwise.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are exposed to market risks that may impact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Consolidated Statements of Cash Flows </w:t>
      </w:r>
      <w:r>
        <w:rPr>
          <w:rFonts w:ascii="Arial" w:cs="Arial" w:eastAsia="Arial" w:hAnsi="Arial"/>
          <w:sz w:val="18"/>
          <w:szCs w:val="18"/>
          <w:color w:val="auto"/>
        </w:rPr>
        <w:t>due primarily to fluctuations in interest and foreign exchange rates. We do not currently engage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significant commodity hedging transactions for raw materials. There have been no material changes to our exposure from market risks from those disclosed in </w:t>
      </w:r>
      <w:r>
        <w:rPr>
          <w:rFonts w:ascii="Arial" w:cs="Arial" w:eastAsia="Arial" w:hAnsi="Arial"/>
          <w:sz w:val="18"/>
          <w:szCs w:val="18"/>
          <w:i w:val="1"/>
          <w:iCs w:val="1"/>
          <w:color w:val="auto"/>
        </w:rPr>
        <w:t>Part II, Item 7a. Quantitative and Qualitative Disclosures About Market Risk</w:t>
      </w:r>
      <w:r>
        <w:rPr>
          <w:rFonts w:ascii="Arial" w:cs="Arial" w:eastAsia="Arial" w:hAnsi="Arial"/>
          <w:sz w:val="18"/>
          <w:szCs w:val="18"/>
          <w:color w:val="auto"/>
        </w:rPr>
        <w:t xml:space="preserve"> of our Form 10-K.</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us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us in the reports filed under the Exchange Act is accumulated and communicated to management, including the principal executive officer and principal financial officer, as appropriate to allow timely decisions regarding required disclosure.</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required by SEC rules, we have evaluated the effectiveness of the design and operation of our disclosure controls and procedures as of November 30, 2024. This evaluation was carried out under the supervision and with the participation of management, including the principal executive officer and principal financial officer. Based on this evaluation, these officers have concluded that the design and operation of our disclosure controls and procedures are effective at a reasonable assurance level as of November 30, 2024.</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our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Information regarding reportable legal proceedings is contained in </w:t>
      </w:r>
      <w:r>
        <w:rPr>
          <w:rFonts w:ascii="Arial" w:cs="Arial" w:eastAsia="Arial" w:hAnsi="Arial"/>
          <w:sz w:val="18"/>
          <w:szCs w:val="18"/>
          <w:i w:val="1"/>
          <w:iCs w:val="1"/>
          <w:color w:val="auto"/>
        </w:rPr>
        <w:t>Part I, Item 3. Legal Proceedings</w:t>
      </w:r>
      <w:r>
        <w:rPr>
          <w:rFonts w:ascii="Arial" w:cs="Arial" w:eastAsia="Arial" w:hAnsi="Arial"/>
          <w:sz w:val="18"/>
          <w:szCs w:val="18"/>
          <w:color w:val="auto"/>
        </w:rPr>
        <w:t xml:space="preserve"> in our Form 10-K. Information set forth in this report’s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describes any legal proceedings that became reportable during the three months ended November 30, 2024, and updates any descriptions of previously reported legal proceedings in which there have been material developments during such period. The discussion of legal proceedings included within the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is incorporated into this Item 1 by reference.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There have been no material changes in our risk factors from those disclosed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25, 2024, the Board of Directors (the “Board”) authorized the repurchase of up to an additional three million shares of our common stock. Under the current share repurchase authorization, we may repurchase shares of our common stock from time to time at prevailing market prices, depending on market conditions, through open market or privately negotiated transactions. No date has been established for the completion of the share repurchase program, and we are not obligated to repurchase any shares. Subject to applicable corporate securities laws, repurchases may be made at such times and in such amounts as management deems appropriate. Repurchases under the program can be discontinued at any time management feels additional repurchases are not warranted. As of November 30, 2024, the maximum number of shares that may yet be repurchased under the share repurchase program authorized by the Board equaled approximately 3.8 million shares. The following table reflects activity related to equity securities we repurchased during the quarter ended November 30, 2024:</w:t>
      </w:r>
    </w:p>
    <w:p>
      <w:pPr>
        <w:spacing w:after="0" w:line="9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Purchases of Equity Securities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8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Total Number of Shares</w:t>
            </w:r>
          </w:p>
        </w:tc>
        <w:tc>
          <w:tcPr>
            <w:tcW w:w="19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Number of Shares</w:t>
            </w:r>
          </w:p>
        </w:tc>
        <w:tc>
          <w:tcPr>
            <w:tcW w:w="20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Average Price Paid per</w:t>
            </w: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3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940" w:type="dxa"/>
            <w:vAlign w:val="bottom"/>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vMerge w:val="continue"/>
          </w:tcPr>
          <w:p>
            <w:pPr>
              <w:spacing w:after="0"/>
              <w:rPr>
                <w:sz w:val="18"/>
                <w:szCs w:val="18"/>
                <w:color w:val="auto"/>
              </w:rPr>
            </w:pPr>
          </w:p>
        </w:tc>
        <w:tc>
          <w:tcPr>
            <w:tcW w:w="19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Purchased</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Share</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9/1/2024 through 9/30/2024</w:t>
            </w: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3,775,637</w:t>
            </w:r>
          </w:p>
        </w:tc>
        <w:tc>
          <w:tcPr>
            <w:tcW w:w="0" w:type="dxa"/>
            <w:vAlign w:val="bottom"/>
          </w:tcPr>
          <w:p>
            <w:pPr>
              <w:spacing w:after="0"/>
              <w:rPr>
                <w:sz w:val="1"/>
                <w:szCs w:val="1"/>
                <w:color w:val="auto"/>
              </w:rPr>
            </w:pPr>
          </w:p>
        </w:tc>
      </w:tr>
      <w:tr>
        <w:trPr>
          <w:trHeight w:val="215"/>
        </w:trPr>
        <w:tc>
          <w:tcPr>
            <w:tcW w:w="3280" w:type="dxa"/>
            <w:vAlign w:val="bottom"/>
          </w:tcPr>
          <w:p>
            <w:pPr>
              <w:ind w:left="20"/>
              <w:spacing w:after="0"/>
              <w:rPr>
                <w:sz w:val="20"/>
                <w:szCs w:val="20"/>
                <w:color w:val="auto"/>
              </w:rPr>
            </w:pPr>
            <w:r>
              <w:rPr>
                <w:rFonts w:ascii="Arial" w:cs="Arial" w:eastAsia="Arial" w:hAnsi="Arial"/>
                <w:sz w:val="16"/>
                <w:szCs w:val="16"/>
                <w:color w:val="auto"/>
              </w:rPr>
              <w:t>10/1/2024 through 10/31/2024</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300.21</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1,000</w:t>
            </w:r>
          </w:p>
        </w:tc>
        <w:tc>
          <w:tcPr>
            <w:tcW w:w="1940" w:type="dxa"/>
            <w:vAlign w:val="bottom"/>
          </w:tcPr>
          <w:p>
            <w:pPr>
              <w:jc w:val="right"/>
              <w:spacing w:after="0"/>
              <w:rPr>
                <w:sz w:val="20"/>
                <w:szCs w:val="20"/>
                <w:color w:val="auto"/>
              </w:rPr>
            </w:pPr>
            <w:r>
              <w:rPr>
                <w:rFonts w:ascii="Arial" w:cs="Arial" w:eastAsia="Arial" w:hAnsi="Arial"/>
                <w:sz w:val="16"/>
                <w:szCs w:val="16"/>
                <w:color w:val="auto"/>
              </w:rPr>
              <w:t>3,774,637</w:t>
            </w: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11/1/2024 through 11/30/2024</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15,822</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322.14</w:t>
            </w:r>
          </w:p>
        </w:tc>
        <w:tc>
          <w:tcPr>
            <w:tcW w:w="2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15,822</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3,758,815</w:t>
            </w:r>
          </w:p>
        </w:tc>
        <w:tc>
          <w:tcPr>
            <w:tcW w:w="0" w:type="dxa"/>
            <w:vAlign w:val="bottom"/>
          </w:tcPr>
          <w:p>
            <w:pPr>
              <w:spacing w:after="0"/>
              <w:rPr>
                <w:sz w:val="1"/>
                <w:szCs w:val="1"/>
                <w:color w:val="auto"/>
              </w:rPr>
            </w:pPr>
          </w:p>
        </w:tc>
      </w:tr>
      <w:tr>
        <w:trPr>
          <w:trHeight w:val="208"/>
        </w:trPr>
        <w:tc>
          <w:tcPr>
            <w:tcW w:w="3280" w:type="dxa"/>
            <w:vAlign w:val="bottom"/>
          </w:tcPr>
          <w:p>
            <w:pPr>
              <w:ind w:left="20"/>
              <w:spacing w:after="0"/>
              <w:rPr>
                <w:sz w:val="20"/>
                <w:szCs w:val="20"/>
                <w:color w:val="auto"/>
              </w:rPr>
            </w:pPr>
            <w:r>
              <w:rPr>
                <w:rFonts w:ascii="Arial" w:cs="Arial" w:eastAsia="Arial" w:hAnsi="Arial"/>
                <w:sz w:val="16"/>
                <w:szCs w:val="16"/>
                <w:color w:val="auto"/>
              </w:rPr>
              <w:t>Total</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16,822</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320.84</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16,822</w:t>
            </w:r>
          </w:p>
        </w:tc>
        <w:tc>
          <w:tcPr>
            <w:tcW w:w="1940" w:type="dxa"/>
            <w:vAlign w:val="bottom"/>
          </w:tcPr>
          <w:p>
            <w:pPr>
              <w:jc w:val="right"/>
              <w:spacing w:after="0"/>
              <w:rPr>
                <w:sz w:val="20"/>
                <w:szCs w:val="20"/>
                <w:color w:val="auto"/>
              </w:rPr>
            </w:pPr>
            <w:r>
              <w:rPr>
                <w:rFonts w:ascii="Arial" w:cs="Arial" w:eastAsia="Arial" w:hAnsi="Arial"/>
                <w:sz w:val="16"/>
                <w:szCs w:val="16"/>
                <w:color w:val="auto"/>
              </w:rPr>
              <w:t>3,758,815</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first quarter of fiscal 2025, none of our directors or Section 16 officers adopted or terminated any “Rule 10b5-1 trading arrangement” or “non-Rule 10b5-1 trading arrangement” (as each term is defined in Item 408(a) of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Exhibits are listed on the </w:t>
      </w:r>
      <w:r>
        <w:rPr>
          <w:rFonts w:ascii="Arial" w:cs="Arial" w:eastAsia="Arial" w:hAnsi="Arial"/>
          <w:sz w:val="18"/>
          <w:szCs w:val="18"/>
          <w:u w:val="single" w:color="auto"/>
          <w:color w:val="0000FF"/>
        </w:rPr>
        <w:t>Index to Exhibits</w:t>
      </w:r>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80" w:type="dxa"/>
            <w:vAlign w:val="bottom"/>
            <w:gridSpan w:val="12"/>
          </w:tcPr>
          <w:p>
            <w:pPr>
              <w:ind w:left="320"/>
              <w:spacing w:after="0"/>
              <w:rPr>
                <w:sz w:val="20"/>
                <w:szCs w:val="20"/>
                <w:color w:val="auto"/>
              </w:rPr>
            </w:pPr>
            <w:r>
              <w:rPr>
                <w:rFonts w:ascii="Arial" w:cs="Arial" w:eastAsia="Arial" w:hAnsi="Arial"/>
                <w:sz w:val="16"/>
                <w:szCs w:val="16"/>
                <w:b w:val="1"/>
                <w:bCs w:val="1"/>
                <w:color w:val="auto"/>
              </w:rPr>
              <w:t>INDEX TO EXHIBITS</w:t>
            </w:r>
          </w:p>
        </w:tc>
      </w:tr>
      <w:tr>
        <w:trPr>
          <w:trHeight w:val="412"/>
        </w:trPr>
        <w:tc>
          <w:tcPr>
            <w:tcW w:w="1340" w:type="dxa"/>
            <w:vAlign w:val="bottom"/>
          </w:tcPr>
          <w:p>
            <w:pPr>
              <w:spacing w:after="0"/>
              <w:rPr>
                <w:sz w:val="20"/>
                <w:szCs w:val="20"/>
                <w:color w:val="auto"/>
              </w:rPr>
            </w:pPr>
            <w:r>
              <w:rPr>
                <w:rFonts w:ascii="Arial" w:cs="Arial" w:eastAsia="Arial" w:hAnsi="Arial"/>
                <w:sz w:val="16"/>
                <w:szCs w:val="16"/>
                <w:color w:val="auto"/>
              </w:rPr>
              <w:t>EXHIBIT 3</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40" w:type="dxa"/>
            <w:vAlign w:val="bottom"/>
            <w:gridSpan w:val="15"/>
          </w:tcPr>
          <w:p>
            <w:pPr>
              <w:spacing w:after="0"/>
              <w:rPr>
                <w:rFonts w:ascii="Arial" w:cs="Arial" w:eastAsia="Arial" w:hAnsi="Arial"/>
                <w:sz w:val="16"/>
                <w:szCs w:val="16"/>
                <w:color w:val="0E32E1"/>
              </w:rPr>
            </w:pPr>
            <w:hyperlink r:id="rId52">
              <w:r>
                <w:rPr>
                  <w:rFonts w:ascii="Arial" w:cs="Arial" w:eastAsia="Arial" w:hAnsi="Arial"/>
                  <w:sz w:val="16"/>
                  <w:szCs w:val="16"/>
                  <w:color w:val="0E32E1"/>
                </w:rPr>
                <w:t>Restated Certificate of Incorporation of Acuity Brands, Inc.,</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60" w:type="dxa"/>
            <w:vAlign w:val="bottom"/>
            <w:tcBorders>
              <w:top w:val="single" w:sz="8" w:color="0E32E1"/>
              <w:bottom w:val="single" w:sz="8" w:color="0E32E1"/>
            </w:tcBorders>
            <w:gridSpan w:val="3"/>
          </w:tcPr>
          <w:p>
            <w:pPr>
              <w:spacing w:after="0" w:line="142" w:lineRule="exact"/>
              <w:rPr>
                <w:rFonts w:ascii="Arial" w:cs="Arial" w:eastAsia="Arial" w:hAnsi="Arial"/>
                <w:sz w:val="16"/>
                <w:szCs w:val="16"/>
                <w:color w:val="0E32E1"/>
              </w:rPr>
            </w:pPr>
            <w:hyperlink r:id="rId52">
              <w:r>
                <w:rPr>
                  <w:rFonts w:ascii="Arial" w:cs="Arial" w:eastAsia="Arial" w:hAnsi="Arial"/>
                  <w:sz w:val="16"/>
                  <w:szCs w:val="16"/>
                  <w:color w:val="0E32E1"/>
                </w:rPr>
                <w:t>dated as of January 25, 2024.</w:t>
              </w:r>
            </w:hyperlink>
          </w:p>
        </w:tc>
        <w:tc>
          <w:tcPr>
            <w:tcW w:w="2060" w:type="dxa"/>
            <w:vAlign w:val="bottom"/>
            <w:tcBorders>
              <w:top w:val="single" w:sz="8" w:color="0E32E1"/>
            </w:tcBorders>
            <w:gridSpan w:val="8"/>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12"/>
        </w:trPr>
        <w:tc>
          <w:tcPr>
            <w:tcW w:w="134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40" w:type="dxa"/>
            <w:vAlign w:val="bottom"/>
            <w:tcBorders>
              <w:bottom w:val="single" w:sz="8" w:color="0E32E1"/>
            </w:tcBorders>
            <w:gridSpan w:val="15"/>
          </w:tcPr>
          <w:p>
            <w:pPr>
              <w:spacing w:after="0"/>
              <w:rPr>
                <w:rFonts w:ascii="Arial" w:cs="Arial" w:eastAsia="Arial" w:hAnsi="Arial"/>
                <w:sz w:val="16"/>
                <w:szCs w:val="16"/>
                <w:color w:val="0E32E1"/>
              </w:rPr>
            </w:pPr>
            <w:hyperlink r:id="rId53">
              <w:r>
                <w:rPr>
                  <w:rFonts w:ascii="Arial" w:cs="Arial" w:eastAsia="Arial" w:hAnsi="Arial"/>
                  <w:sz w:val="16"/>
                  <w:szCs w:val="16"/>
                  <w:color w:val="0E32E1"/>
                </w:rPr>
                <w:t>Amended and Restated Bylaws of Acuity Brands, Inc., dated</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340" w:type="dxa"/>
            <w:vAlign w:val="bottom"/>
            <w:gridSpan w:val="15"/>
          </w:tcPr>
          <w:p>
            <w:pPr>
              <w:spacing w:after="0" w:line="142" w:lineRule="exact"/>
              <w:rPr>
                <w:rFonts w:ascii="Arial" w:cs="Arial" w:eastAsia="Arial" w:hAnsi="Arial"/>
                <w:sz w:val="16"/>
                <w:szCs w:val="16"/>
                <w:color w:val="0E32E1"/>
              </w:rPr>
            </w:pPr>
            <w:hyperlink r:id="rId53">
              <w:r>
                <w:rPr>
                  <w:rFonts w:ascii="Arial" w:cs="Arial" w:eastAsia="Arial" w:hAnsi="Arial"/>
                  <w:sz w:val="16"/>
                  <w:szCs w:val="16"/>
                  <w:color w:val="0E32E1"/>
                </w:rPr>
                <w:t>as of January 25, 2024.</w:t>
              </w:r>
            </w:hyperlink>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940" w:type="dxa"/>
            <w:vAlign w:val="bottom"/>
            <w:shd w:val="clear" w:color="auto" w:fill="0E32E1"/>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6"/>
                <w:szCs w:val="16"/>
                <w:color w:val="auto"/>
              </w:rPr>
              <w:t>EXHIBIT 10</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40" w:type="dxa"/>
            <w:vAlign w:val="bottom"/>
            <w:gridSpan w:val="15"/>
          </w:tcPr>
          <w:p>
            <w:pPr>
              <w:spacing w:after="0"/>
              <w:rPr>
                <w:rFonts w:ascii="Arial" w:cs="Arial" w:eastAsia="Arial" w:hAnsi="Arial"/>
                <w:sz w:val="16"/>
                <w:szCs w:val="16"/>
                <w:color w:val="0000FF"/>
              </w:rPr>
            </w:pPr>
            <w:hyperlink r:id="rId54">
              <w:r>
                <w:rPr>
                  <w:rFonts w:ascii="Arial" w:cs="Arial" w:eastAsia="Arial" w:hAnsi="Arial"/>
                  <w:sz w:val="16"/>
                  <w:szCs w:val="16"/>
                  <w:color w:val="0000FF"/>
                </w:rPr>
                <w:t>Amendment No. 1 to Credit Agreement, dated as of</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700" w:type="dxa"/>
            <w:vAlign w:val="bottom"/>
            <w:tcBorders>
              <w:top w:val="single" w:sz="8" w:color="0000FF"/>
            </w:tcBorders>
            <w:gridSpan w:val="5"/>
          </w:tcPr>
          <w:p>
            <w:pPr>
              <w:spacing w:after="0" w:line="142" w:lineRule="exact"/>
              <w:rPr>
                <w:rFonts w:ascii="Arial" w:cs="Arial" w:eastAsia="Arial" w:hAnsi="Arial"/>
                <w:sz w:val="16"/>
                <w:szCs w:val="16"/>
                <w:color w:val="0000FF"/>
              </w:rPr>
            </w:pPr>
            <w:hyperlink r:id="rId54">
              <w:r>
                <w:rPr>
                  <w:rFonts w:ascii="Arial" w:cs="Arial" w:eastAsia="Arial" w:hAnsi="Arial"/>
                  <w:sz w:val="16"/>
                  <w:szCs w:val="16"/>
                  <w:color w:val="0000FF"/>
                </w:rPr>
                <w:t>November 25, 2024, by and among Acuity Brands,</w:t>
              </w:r>
            </w:hyperlink>
          </w:p>
        </w:tc>
        <w:tc>
          <w:tcPr>
            <w:tcW w:w="640" w:type="dxa"/>
            <w:vAlign w:val="bottom"/>
            <w:gridSpan w:val="10"/>
          </w:tcPr>
          <w:p>
            <w:pPr>
              <w:spacing w:after="0" w:line="142" w:lineRule="exact"/>
              <w:rPr>
                <w:rFonts w:ascii="Arial" w:cs="Arial" w:eastAsia="Arial" w:hAnsi="Arial"/>
                <w:sz w:val="16"/>
                <w:szCs w:val="16"/>
                <w:color w:val="0000FF"/>
              </w:rPr>
            </w:pPr>
            <w:hyperlink r:id="rId54">
              <w:r>
                <w:rPr>
                  <w:rFonts w:ascii="Arial" w:cs="Arial" w:eastAsia="Arial" w:hAnsi="Arial"/>
                  <w:sz w:val="16"/>
                  <w:szCs w:val="16"/>
                  <w:color w:val="0000FF"/>
                </w:rPr>
                <w:t>Inc.,</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98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54">
              <w:r>
                <w:rPr>
                  <w:rFonts w:ascii="Arial" w:cs="Arial" w:eastAsia="Arial" w:hAnsi="Arial"/>
                  <w:sz w:val="16"/>
                  <w:szCs w:val="16"/>
                  <w:color w:val="0000FF"/>
                </w:rPr>
                <w:t>Acuity Brands Lighting, Inc., J.P. Morgan Chase Bank,</w:t>
              </w:r>
            </w:hyperlink>
          </w:p>
        </w:tc>
        <w:tc>
          <w:tcPr>
            <w:tcW w:w="360" w:type="dxa"/>
            <w:vAlign w:val="bottom"/>
            <w:gridSpan w:val="8"/>
          </w:tcPr>
          <w:p>
            <w:pPr>
              <w:spacing w:after="0" w:line="142" w:lineRule="exact"/>
              <w:rPr>
                <w:rFonts w:ascii="Arial" w:cs="Arial" w:eastAsia="Arial" w:hAnsi="Arial"/>
                <w:sz w:val="16"/>
                <w:szCs w:val="16"/>
                <w:color w:val="0000FF"/>
                <w:w w:val="95"/>
              </w:rPr>
            </w:pPr>
            <w:hyperlink r:id="rId54">
              <w:r>
                <w:rPr>
                  <w:rFonts w:ascii="Arial" w:cs="Arial" w:eastAsia="Arial" w:hAnsi="Arial"/>
                  <w:sz w:val="16"/>
                  <w:szCs w:val="16"/>
                  <w:color w:val="0000FF"/>
                  <w:w w:val="95"/>
                </w:rPr>
                <w:t>N.A.,</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30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54">
              <w:r>
                <w:rPr>
                  <w:rFonts w:ascii="Arial" w:cs="Arial" w:eastAsia="Arial" w:hAnsi="Arial"/>
                  <w:sz w:val="16"/>
                  <w:szCs w:val="16"/>
                  <w:color w:val="0000FF"/>
                </w:rPr>
                <w:t>as administrative agent, and the lenders party thereto.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rPr>
                <w:sz w:val="20"/>
                <w:szCs w:val="20"/>
                <w:color w:val="auto"/>
              </w:rPr>
            </w:pPr>
            <w:r>
              <w:rPr>
                <w:rFonts w:ascii="Arial" w:cs="Arial" w:eastAsia="Arial" w:hAnsi="Arial"/>
                <w:sz w:val="16"/>
                <w:szCs w:val="16"/>
                <w:color w:val="auto"/>
              </w:rPr>
              <w:t>EXHIBIT 22</w:t>
            </w:r>
          </w:p>
        </w:tc>
        <w:tc>
          <w:tcPr>
            <w:tcW w:w="980" w:type="dxa"/>
            <w:vAlign w:val="bottom"/>
          </w:tcPr>
          <w:p>
            <w:pPr>
              <w:spacing w:after="0"/>
              <w:rPr>
                <w:sz w:val="17"/>
                <w:szCs w:val="17"/>
                <w:color w:val="auto"/>
              </w:rPr>
            </w:pPr>
          </w:p>
        </w:tc>
        <w:tc>
          <w:tcPr>
            <w:tcW w:w="4340" w:type="dxa"/>
            <w:vAlign w:val="bottom"/>
            <w:gridSpan w:val="15"/>
          </w:tcPr>
          <w:p>
            <w:pPr>
              <w:spacing w:after="0"/>
              <w:rPr>
                <w:rFonts w:ascii="Arial" w:cs="Arial" w:eastAsia="Arial" w:hAnsi="Arial"/>
                <w:sz w:val="16"/>
                <w:szCs w:val="16"/>
                <w:color w:val="0000FF"/>
              </w:rPr>
            </w:pPr>
            <w:hyperlink r:id="rId55">
              <w:r>
                <w:rPr>
                  <w:rFonts w:ascii="Arial" w:cs="Arial" w:eastAsia="Arial" w:hAnsi="Arial"/>
                  <w:sz w:val="16"/>
                  <w:szCs w:val="16"/>
                  <w:color w:val="0000FF"/>
                </w:rPr>
                <w:t>List of Guarantors and Subsidiary Issuers of Guaranteed</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6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55">
              <w:r>
                <w:rPr>
                  <w:rFonts w:ascii="Arial" w:cs="Arial" w:eastAsia="Arial" w:hAnsi="Arial"/>
                  <w:sz w:val="16"/>
                  <w:szCs w:val="16"/>
                  <w:color w:val="0000FF"/>
                </w:rPr>
                <w:t>Securities.</w:t>
              </w:r>
            </w:hyperlink>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340" w:type="dxa"/>
            <w:vAlign w:val="bottom"/>
          </w:tcPr>
          <w:p>
            <w:pPr>
              <w:spacing w:after="0"/>
              <w:rPr>
                <w:sz w:val="20"/>
                <w:szCs w:val="20"/>
                <w:color w:val="auto"/>
              </w:rPr>
            </w:pPr>
            <w:r>
              <w:rPr>
                <w:rFonts w:ascii="Arial" w:cs="Arial" w:eastAsia="Arial" w:hAnsi="Arial"/>
                <w:sz w:val="16"/>
                <w:szCs w:val="16"/>
                <w:color w:val="auto"/>
              </w:rPr>
              <w:t>EXHIBIT 31</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40" w:type="dxa"/>
            <w:vAlign w:val="bottom"/>
            <w:gridSpan w:val="15"/>
          </w:tcPr>
          <w:p>
            <w:pPr>
              <w:spacing w:after="0"/>
              <w:rPr>
                <w:sz w:val="20"/>
                <w:szCs w:val="20"/>
                <w:color w:val="auto"/>
              </w:rPr>
            </w:pPr>
            <w:r>
              <w:rPr>
                <w:rFonts w:ascii="Arial" w:cs="Arial" w:eastAsia="Arial" w:hAnsi="Arial"/>
                <w:sz w:val="16"/>
                <w:szCs w:val="16"/>
                <w:color w:val="0000FF"/>
              </w:rPr>
              <w:t>Certification of the Chief Executive Officer of the Company</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10"/>
          </w:tcPr>
          <w:p>
            <w:pPr>
              <w:spacing w:after="0" w:line="142" w:lineRule="exact"/>
              <w:rPr>
                <w:sz w:val="20"/>
                <w:szCs w:val="20"/>
                <w:color w:val="auto"/>
              </w:rPr>
            </w:pPr>
            <w:r>
              <w:rPr>
                <w:rFonts w:ascii="Arial" w:cs="Arial" w:eastAsia="Arial" w:hAnsi="Arial"/>
                <w:sz w:val="16"/>
                <w:szCs w:val="16"/>
                <w:color w:val="0000FF"/>
                <w:w w:val="98"/>
              </w:rPr>
              <w:t>pursuant to Section 302 of the Sarbanes-Oxley Act of 2002.</w:t>
            </w:r>
          </w:p>
        </w:tc>
        <w:tc>
          <w:tcPr>
            <w:tcW w:w="80" w:type="dxa"/>
            <w:vAlign w:val="bottom"/>
            <w:tcBorders>
              <w:bottom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14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rPr>
              <w:t>Certification of the Chief Financial Officer of the Company</w:t>
            </w:r>
          </w:p>
        </w:tc>
        <w:tc>
          <w:tcPr>
            <w:tcW w:w="200" w:type="dxa"/>
            <w:vAlign w:val="bottom"/>
            <w:gridSpan w:val="6"/>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340" w:type="dxa"/>
            <w:vAlign w:val="bottom"/>
            <w:gridSpan w:val="15"/>
          </w:tcPr>
          <w:p>
            <w:pPr>
              <w:spacing w:after="0" w:line="142" w:lineRule="exact"/>
              <w:rPr>
                <w:sz w:val="20"/>
                <w:szCs w:val="20"/>
                <w:color w:val="auto"/>
              </w:rPr>
            </w:pPr>
            <w:r>
              <w:rPr>
                <w:rFonts w:ascii="Arial" w:cs="Arial" w:eastAsia="Arial" w:hAnsi="Arial"/>
                <w:sz w:val="16"/>
                <w:szCs w:val="16"/>
                <w:color w:val="0000FF"/>
              </w:rPr>
              <w:t>pursuant to Section 302 of the Sarbanes-Oxley Act of 2002.</w:t>
            </w:r>
          </w:p>
        </w:tc>
      </w:tr>
      <w:tr>
        <w:trPr>
          <w:trHeight w:val="196"/>
        </w:trPr>
        <w:tc>
          <w:tcPr>
            <w:tcW w:w="1340" w:type="dxa"/>
            <w:vAlign w:val="bottom"/>
          </w:tcPr>
          <w:p>
            <w:pPr>
              <w:spacing w:after="0"/>
              <w:rPr>
                <w:sz w:val="20"/>
                <w:szCs w:val="20"/>
                <w:color w:val="auto"/>
              </w:rPr>
            </w:pPr>
            <w:r>
              <w:rPr>
                <w:rFonts w:ascii="Arial" w:cs="Arial" w:eastAsia="Arial" w:hAnsi="Arial"/>
                <w:sz w:val="16"/>
                <w:szCs w:val="16"/>
                <w:color w:val="auto"/>
              </w:rPr>
              <w:t>EXHIBIT 32</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280" w:type="dxa"/>
            <w:vAlign w:val="bottom"/>
            <w:tcBorders>
              <w:top w:val="single" w:sz="8" w:color="0000FF"/>
            </w:tcBorders>
            <w:gridSpan w:val="12"/>
          </w:tcPr>
          <w:p>
            <w:pPr>
              <w:spacing w:after="0"/>
              <w:rPr>
                <w:sz w:val="20"/>
                <w:szCs w:val="20"/>
                <w:color w:val="auto"/>
              </w:rPr>
            </w:pPr>
            <w:r>
              <w:rPr>
                <w:rFonts w:ascii="Arial" w:cs="Arial" w:eastAsia="Arial" w:hAnsi="Arial"/>
                <w:sz w:val="16"/>
                <w:szCs w:val="16"/>
                <w:color w:val="0000FF"/>
              </w:rPr>
              <w:t>Certification of the Chief Executive Officer of the Company</w:t>
            </w:r>
          </w:p>
        </w:tc>
        <w:tc>
          <w:tcPr>
            <w:tcW w:w="60" w:type="dxa"/>
            <w:vAlign w:val="bottom"/>
            <w:gridSpan w:val="3"/>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pursuant to 18 U.S.C. Section 1350, as adopted pursuant</w:t>
            </w:r>
          </w:p>
        </w:tc>
        <w:tc>
          <w:tcPr>
            <w:tcW w:w="140" w:type="dxa"/>
            <w:vAlign w:val="bottom"/>
            <w:gridSpan w:val="5"/>
          </w:tcPr>
          <w:p>
            <w:pPr>
              <w:jc w:val="right"/>
              <w:ind w:right="40"/>
              <w:spacing w:after="0" w:line="142" w:lineRule="exact"/>
              <w:rPr>
                <w:sz w:val="20"/>
                <w:szCs w:val="20"/>
                <w:color w:val="auto"/>
              </w:rPr>
            </w:pPr>
            <w:r>
              <w:rPr>
                <w:rFonts w:ascii="Arial" w:cs="Arial" w:eastAsia="Arial" w:hAnsi="Arial"/>
                <w:sz w:val="13"/>
                <w:szCs w:val="13"/>
                <w:color w:val="0000FF"/>
                <w:w w:val="73"/>
              </w:rPr>
              <w:t>to</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88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40" w:type="dxa"/>
            <w:vAlign w:val="bottom"/>
            <w:gridSpan w:val="15"/>
          </w:tcPr>
          <w:p>
            <w:pPr>
              <w:spacing w:after="0"/>
              <w:rPr>
                <w:sz w:val="20"/>
                <w:szCs w:val="20"/>
                <w:color w:val="auto"/>
              </w:rPr>
            </w:pPr>
            <w:r>
              <w:rPr>
                <w:rFonts w:ascii="Arial" w:cs="Arial" w:eastAsia="Arial" w:hAnsi="Arial"/>
                <w:sz w:val="16"/>
                <w:szCs w:val="16"/>
                <w:color w:val="0000FF"/>
              </w:rPr>
              <w:t>Certification of the Chief Financial Officer of the Company</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4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pursuant to 18 U.S.C. Section 1350, as adopted pursuant</w:t>
            </w:r>
          </w:p>
        </w:tc>
        <w:tc>
          <w:tcPr>
            <w:tcW w:w="200" w:type="dxa"/>
            <w:vAlign w:val="bottom"/>
            <w:gridSpan w:val="6"/>
          </w:tcPr>
          <w:p>
            <w:pPr>
              <w:jc w:val="right"/>
              <w:ind w:right="40"/>
              <w:spacing w:after="0" w:line="142" w:lineRule="exact"/>
              <w:rPr>
                <w:sz w:val="20"/>
                <w:szCs w:val="20"/>
                <w:color w:val="auto"/>
              </w:rPr>
            </w:pPr>
            <w:r>
              <w:rPr>
                <w:rFonts w:ascii="Arial" w:cs="Arial" w:eastAsia="Arial" w:hAnsi="Arial"/>
                <w:sz w:val="16"/>
                <w:szCs w:val="16"/>
                <w:color w:val="0000FF"/>
              </w:rPr>
              <w:t>to</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88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r>
      <w:tr>
        <w:trPr>
          <w:trHeight w:val="235"/>
        </w:trPr>
        <w:tc>
          <w:tcPr>
            <w:tcW w:w="1340" w:type="dxa"/>
            <w:vAlign w:val="bottom"/>
          </w:tcPr>
          <w:p>
            <w:pPr>
              <w:spacing w:after="0"/>
              <w:rPr>
                <w:sz w:val="20"/>
                <w:szCs w:val="20"/>
                <w:color w:val="auto"/>
              </w:rPr>
            </w:pPr>
            <w:r>
              <w:rPr>
                <w:rFonts w:ascii="Arial" w:cs="Arial" w:eastAsia="Arial" w:hAnsi="Arial"/>
                <w:sz w:val="16"/>
                <w:szCs w:val="16"/>
                <w:color w:val="auto"/>
              </w:rPr>
              <w:t>EXHIBIT 101</w:t>
            </w:r>
          </w:p>
        </w:tc>
        <w:tc>
          <w:tcPr>
            <w:tcW w:w="980" w:type="dxa"/>
            <w:vAlign w:val="bottom"/>
          </w:tcPr>
          <w:p>
            <w:pPr>
              <w:ind w:left="380"/>
              <w:spacing w:after="0"/>
              <w:rPr>
                <w:sz w:val="20"/>
                <w:szCs w:val="20"/>
                <w:color w:val="auto"/>
              </w:rPr>
            </w:pPr>
            <w:r>
              <w:rPr>
                <w:rFonts w:ascii="Arial" w:cs="Arial" w:eastAsia="Arial" w:hAnsi="Arial"/>
                <w:sz w:val="16"/>
                <w:szCs w:val="16"/>
                <w:color w:val="auto"/>
              </w:rPr>
              <w:t>.INS</w:t>
            </w:r>
          </w:p>
        </w:tc>
        <w:tc>
          <w:tcPr>
            <w:tcW w:w="4340" w:type="dxa"/>
            <w:vAlign w:val="bottom"/>
            <w:gridSpan w:val="15"/>
          </w:tcPr>
          <w:p>
            <w:pPr>
              <w:spacing w:after="0"/>
              <w:rPr>
                <w:sz w:val="20"/>
                <w:szCs w:val="20"/>
                <w:color w:val="auto"/>
              </w:rPr>
            </w:pPr>
            <w:r>
              <w:rPr>
                <w:rFonts w:ascii="Arial" w:cs="Arial" w:eastAsia="Arial" w:hAnsi="Arial"/>
                <w:sz w:val="16"/>
                <w:szCs w:val="16"/>
                <w:color w:val="auto"/>
              </w:rPr>
              <w:t>XBRL Instance Document</w:t>
            </w:r>
          </w:p>
        </w:tc>
      </w:tr>
      <w:tr>
        <w:trPr>
          <w:trHeight w:val="540"/>
        </w:trPr>
        <w:tc>
          <w:tcPr>
            <w:tcW w:w="134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.SCH</w:t>
            </w:r>
          </w:p>
        </w:tc>
        <w:tc>
          <w:tcPr>
            <w:tcW w:w="4340" w:type="dxa"/>
            <w:vAlign w:val="bottom"/>
            <w:gridSpan w:val="15"/>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.CAL</w:t>
            </w:r>
          </w:p>
        </w:tc>
        <w:tc>
          <w:tcPr>
            <w:tcW w:w="4340" w:type="dxa"/>
            <w:vAlign w:val="bottom"/>
            <w:gridSpan w:val="15"/>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.DEF</w:t>
            </w:r>
          </w:p>
        </w:tc>
        <w:tc>
          <w:tcPr>
            <w:tcW w:w="4340" w:type="dxa"/>
            <w:vAlign w:val="bottom"/>
            <w:gridSpan w:val="15"/>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.LAB</w:t>
            </w:r>
          </w:p>
        </w:tc>
        <w:tc>
          <w:tcPr>
            <w:tcW w:w="4340" w:type="dxa"/>
            <w:vAlign w:val="bottom"/>
            <w:gridSpan w:val="15"/>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164"/>
        </w:trPr>
        <w:tc>
          <w:tcPr>
            <w:tcW w:w="1340" w:type="dxa"/>
            <w:vAlign w:val="bottom"/>
          </w:tcPr>
          <w:p>
            <w:pPr>
              <w:spacing w:after="0"/>
              <w:rPr>
                <w:sz w:val="14"/>
                <w:szCs w:val="14"/>
                <w:color w:val="auto"/>
              </w:rPr>
            </w:pPr>
          </w:p>
        </w:tc>
        <w:tc>
          <w:tcPr>
            <w:tcW w:w="980" w:type="dxa"/>
            <w:vAlign w:val="bottom"/>
          </w:tcPr>
          <w:p>
            <w:pPr>
              <w:ind w:left="380"/>
              <w:spacing w:after="0" w:line="164" w:lineRule="exact"/>
              <w:rPr>
                <w:sz w:val="20"/>
                <w:szCs w:val="20"/>
                <w:color w:val="auto"/>
              </w:rPr>
            </w:pPr>
            <w:r>
              <w:rPr>
                <w:rFonts w:ascii="Arial" w:cs="Arial" w:eastAsia="Arial" w:hAnsi="Arial"/>
                <w:sz w:val="16"/>
                <w:szCs w:val="16"/>
                <w:color w:val="auto"/>
              </w:rPr>
              <w:t>.PRE</w:t>
            </w:r>
          </w:p>
        </w:tc>
        <w:tc>
          <w:tcPr>
            <w:tcW w:w="4340" w:type="dxa"/>
            <w:vAlign w:val="bottom"/>
            <w:gridSpan w:val="15"/>
          </w:tcPr>
          <w:p>
            <w:pPr>
              <w:spacing w:after="0" w:line="164" w:lineRule="exact"/>
              <w:rPr>
                <w:sz w:val="20"/>
                <w:szCs w:val="20"/>
                <w:color w:val="auto"/>
              </w:rPr>
            </w:pPr>
            <w:r>
              <w:rPr>
                <w:rFonts w:ascii="Arial" w:cs="Arial" w:eastAsia="Arial" w:hAnsi="Arial"/>
                <w:sz w:val="16"/>
                <w:szCs w:val="16"/>
                <w:color w:val="auto"/>
              </w:rPr>
              <w:t>XBRL Taxonomy Extension Presentation Linkbase</w:t>
            </w:r>
          </w:p>
        </w:tc>
      </w:tr>
      <w:tr>
        <w:trPr>
          <w:trHeight w:val="215"/>
        </w:trPr>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40" w:type="dxa"/>
            <w:vAlign w:val="bottom"/>
            <w:gridSpan w:val="15"/>
          </w:tcPr>
          <w:p>
            <w:pPr>
              <w:spacing w:after="0"/>
              <w:rPr>
                <w:sz w:val="20"/>
                <w:szCs w:val="20"/>
                <w:color w:val="auto"/>
              </w:rPr>
            </w:pPr>
            <w:r>
              <w:rPr>
                <w:rFonts w:ascii="Arial" w:cs="Arial" w:eastAsia="Arial" w:hAnsi="Arial"/>
                <w:sz w:val="16"/>
                <w:szCs w:val="16"/>
                <w:color w:val="auto"/>
              </w:rPr>
              <w:t>Document.</w:t>
            </w:r>
          </w:p>
        </w:tc>
      </w:tr>
      <w:tr>
        <w:trPr>
          <w:trHeight w:val="163"/>
        </w:trPr>
        <w:tc>
          <w:tcPr>
            <w:tcW w:w="1340" w:type="dxa"/>
            <w:vAlign w:val="bottom"/>
          </w:tcPr>
          <w:p>
            <w:pPr>
              <w:spacing w:after="0" w:line="164" w:lineRule="exact"/>
              <w:rPr>
                <w:sz w:val="20"/>
                <w:szCs w:val="20"/>
                <w:color w:val="auto"/>
              </w:rPr>
            </w:pPr>
            <w:r>
              <w:rPr>
                <w:rFonts w:ascii="Arial" w:cs="Arial" w:eastAsia="Arial" w:hAnsi="Arial"/>
                <w:sz w:val="16"/>
                <w:szCs w:val="16"/>
                <w:color w:val="auto"/>
              </w:rPr>
              <w:t>EXHIBIT 104</w:t>
            </w:r>
          </w:p>
        </w:tc>
        <w:tc>
          <w:tcPr>
            <w:tcW w:w="980" w:type="dxa"/>
            <w:vAlign w:val="bottom"/>
          </w:tcPr>
          <w:p>
            <w:pPr>
              <w:spacing w:after="0"/>
              <w:rPr>
                <w:sz w:val="14"/>
                <w:szCs w:val="14"/>
                <w:color w:val="auto"/>
              </w:rPr>
            </w:pPr>
          </w:p>
        </w:tc>
        <w:tc>
          <w:tcPr>
            <w:tcW w:w="4340" w:type="dxa"/>
            <w:vAlign w:val="bottom"/>
            <w:gridSpan w:val="15"/>
          </w:tcPr>
          <w:p>
            <w:pPr>
              <w:spacing w:after="0" w:line="164" w:lineRule="exact"/>
              <w:rPr>
                <w:sz w:val="20"/>
                <w:szCs w:val="20"/>
                <w:color w:val="auto"/>
              </w:rPr>
            </w:pPr>
            <w:r>
              <w:rPr>
                <w:rFonts w:ascii="Arial" w:cs="Arial" w:eastAsia="Arial" w:hAnsi="Arial"/>
                <w:sz w:val="16"/>
                <w:szCs w:val="16"/>
                <w:color w:val="auto"/>
              </w:rPr>
              <w:t>Cover Page Interactive Data File (formatted as inline XBRL</w:t>
            </w:r>
          </w:p>
        </w:tc>
      </w:tr>
      <w:tr>
        <w:trPr>
          <w:trHeight w:val="215"/>
        </w:trPr>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40" w:type="dxa"/>
            <w:vAlign w:val="bottom"/>
            <w:gridSpan w:val="15"/>
          </w:tcPr>
          <w:p>
            <w:pPr>
              <w:spacing w:after="0"/>
              <w:rPr>
                <w:sz w:val="20"/>
                <w:szCs w:val="20"/>
                <w:color w:val="auto"/>
              </w:rPr>
            </w:pPr>
            <w:r>
              <w:rPr>
                <w:rFonts w:ascii="Arial" w:cs="Arial" w:eastAsia="Arial" w:hAnsi="Arial"/>
                <w:sz w:val="16"/>
                <w:szCs w:val="16"/>
                <w:color w:val="auto"/>
              </w:rPr>
              <w:t>and contained in Exhibit 101)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Reference is made to Exhibit 3.2 of registrant’s Form 8-K as filed with the Commission on January 26, 2024, which is incorporated herein by reference.</w:t>
      </w:r>
    </w:p>
    <w:p>
      <w:pPr>
        <w:spacing w:after="0" w:line="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Reference is made to Exhibit 3.4 of registrant’s Form 8-K as filed with the Commission on January 26, 2024, which is incorporated herein by reference.</w:t>
      </w:r>
    </w:p>
    <w:p>
      <w:pPr>
        <w:spacing w:after="0" w:line="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Reference is made to Exhibit 10.1 of registrant’s Form 8-K as filed with the Commission on November 27, 2024, which is incorporated herein by reference.</w:t>
      </w:r>
    </w:p>
    <w:p>
      <w:pPr>
        <w:spacing w:after="0" w:line="111" w:lineRule="exact"/>
        <w:rPr>
          <w:sz w:val="20"/>
          <w:szCs w:val="20"/>
          <w:color w:val="auto"/>
        </w:rPr>
      </w:pPr>
    </w:p>
    <w:p>
      <w:pPr>
        <w:ind w:right="80"/>
        <w:spacing w:after="0" w:line="234" w:lineRule="auto"/>
        <w:rPr>
          <w:sz w:val="20"/>
          <w:szCs w:val="20"/>
          <w:color w:val="auto"/>
        </w:rPr>
      </w:pPr>
      <w:r>
        <w:rPr>
          <w:rFonts w:ascii="Arial" w:cs="Arial" w:eastAsia="Arial" w:hAnsi="Arial"/>
          <w:sz w:val="16"/>
          <w:szCs w:val="16"/>
          <w:color w:val="auto"/>
        </w:rPr>
        <w:t>Reference is made to Exhibit 22 of registrant's Form 10-K as filed with the Commission on October 28, 2024, which is incorporated herein by reference.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jc w:val="both"/>
        <w:ind w:right="680"/>
        <w:spacing w:after="0" w:line="234" w:lineRule="auto"/>
        <w:rPr>
          <w:sz w:val="20"/>
          <w:szCs w:val="20"/>
          <w:color w:val="auto"/>
        </w:rPr>
      </w:pPr>
      <w:r>
        <w:rPr>
          <w:rFonts w:ascii="Arial" w:cs="Arial" w:eastAsia="Arial" w:hAnsi="Arial"/>
          <w:sz w:val="16"/>
          <w:szCs w:val="16"/>
          <w:color w:val="auto"/>
        </w:rPr>
        <w:t>The instance document does not appear in the Interactive Data File because its XBRL tags are embedded within the Inline XBRL document.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93" w:lineRule="exact"/>
        <w:rPr>
          <w:sz w:val="20"/>
          <w:szCs w:val="20"/>
          <w:color w:val="auto"/>
        </w:rPr>
      </w:pPr>
    </w:p>
    <w:p>
      <w:pPr>
        <w:sectPr>
          <w:pgSz w:w="11900" w:h="16838" w:orient="portrait"/>
          <w:cols w:equalWidth="0" w:num="2">
            <w:col w:w="6700" w:space="400"/>
            <w:col w:w="4080"/>
          </w:cols>
          <w:pgMar w:left="320" w:top="24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42" w:right="39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ACUITY BRANDS, INC.</w:t>
      </w:r>
    </w:p>
    <w:p>
      <w:pPr>
        <w:spacing w:after="0" w:line="149" w:lineRule="exact"/>
        <w:rPr>
          <w:sz w:val="20"/>
          <w:szCs w:val="20"/>
          <w:color w:val="auto"/>
        </w:rPr>
      </w:pPr>
    </w:p>
    <w:p>
      <w:pPr>
        <w:ind w:left="220"/>
        <w:spacing w:after="0"/>
        <w:tabs>
          <w:tab w:leader="none" w:pos="4360" w:val="left"/>
          <w:tab w:leader="none" w:pos="7340" w:val="left"/>
        </w:tabs>
        <w:rPr>
          <w:sz w:val="20"/>
          <w:szCs w:val="20"/>
          <w:color w:val="auto"/>
        </w:rPr>
      </w:pPr>
      <w:r>
        <w:rPr>
          <w:rFonts w:ascii="Arial" w:cs="Arial" w:eastAsia="Arial" w:hAnsi="Arial"/>
          <w:sz w:val="16"/>
          <w:szCs w:val="16"/>
          <w:color w:val="auto"/>
        </w:rPr>
        <w:t>Date: January 8,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20955</wp:posOffset>
            </wp:positionV>
            <wp:extent cx="40030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0"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NEIL M. ASHE</w:t>
      </w:r>
    </w:p>
    <w:p>
      <w:pPr>
        <w:jc w:val="center"/>
        <w:ind w:left="4840"/>
        <w:spacing w:after="0"/>
        <w:rPr>
          <w:sz w:val="20"/>
          <w:szCs w:val="20"/>
          <w:color w:val="auto"/>
        </w:rPr>
      </w:pPr>
      <w:r>
        <w:rPr>
          <w:rFonts w:ascii="Arial" w:cs="Arial" w:eastAsia="Arial" w:hAnsi="Arial"/>
          <w:sz w:val="16"/>
          <w:szCs w:val="16"/>
          <w:b w:val="1"/>
          <w:bCs w:val="1"/>
          <w:color w:val="auto"/>
        </w:rPr>
        <w:t>CHAIRMAN, PRESIDENT AND CHIEF EXECUTIVE OFFICER</w:t>
      </w:r>
    </w:p>
    <w:p>
      <w:pPr>
        <w:spacing w:after="0" w:line="200" w:lineRule="exact"/>
        <w:rPr>
          <w:sz w:val="20"/>
          <w:szCs w:val="20"/>
          <w:color w:val="auto"/>
        </w:rPr>
      </w:pPr>
    </w:p>
    <w:p>
      <w:pPr>
        <w:spacing w:after="0" w:line="262" w:lineRule="exact"/>
        <w:rPr>
          <w:sz w:val="20"/>
          <w:szCs w:val="20"/>
          <w:color w:val="auto"/>
        </w:rPr>
      </w:pPr>
    </w:p>
    <w:p>
      <w:pPr>
        <w:ind w:left="220"/>
        <w:spacing w:after="0"/>
        <w:tabs>
          <w:tab w:leader="none" w:pos="4360" w:val="left"/>
          <w:tab w:leader="none" w:pos="7140" w:val="left"/>
        </w:tabs>
        <w:rPr>
          <w:sz w:val="20"/>
          <w:szCs w:val="20"/>
          <w:color w:val="auto"/>
        </w:rPr>
      </w:pPr>
      <w:r>
        <w:rPr>
          <w:rFonts w:ascii="Arial" w:cs="Arial" w:eastAsia="Arial" w:hAnsi="Arial"/>
          <w:sz w:val="16"/>
          <w:szCs w:val="16"/>
          <w:color w:val="auto"/>
        </w:rPr>
        <w:t>Date: January 8,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20955</wp:posOffset>
            </wp:positionV>
            <wp:extent cx="40030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0"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KAREN J. HOLCOM</w:t>
      </w:r>
    </w:p>
    <w:p>
      <w:pPr>
        <w:jc w:val="center"/>
        <w:ind w:left="4840"/>
        <w:spacing w:after="0" w:line="211" w:lineRule="auto"/>
        <w:rPr>
          <w:sz w:val="20"/>
          <w:szCs w:val="20"/>
          <w:color w:val="auto"/>
        </w:rPr>
      </w:pPr>
      <w:r>
        <w:rPr>
          <w:rFonts w:ascii="Arial" w:cs="Arial" w:eastAsia="Arial" w:hAnsi="Arial"/>
          <w:sz w:val="16"/>
          <w:szCs w:val="16"/>
          <w:b w:val="1"/>
          <w:bCs w:val="1"/>
          <w:color w:val="auto"/>
        </w:rPr>
        <w:t>SENIOR VICE PRESIDENT AND</w:t>
      </w:r>
    </w:p>
    <w:p>
      <w:pPr>
        <w:jc w:val="center"/>
        <w:ind w:left="4840"/>
        <w:spacing w:after="0" w:line="211" w:lineRule="auto"/>
        <w:rPr>
          <w:sz w:val="20"/>
          <w:szCs w:val="20"/>
          <w:color w:val="auto"/>
        </w:rPr>
      </w:pPr>
      <w:r>
        <w:rPr>
          <w:rFonts w:ascii="Arial" w:cs="Arial" w:eastAsia="Arial" w:hAnsi="Arial"/>
          <w:sz w:val="16"/>
          <w:szCs w:val="16"/>
          <w:b w:val="1"/>
          <w:bCs w:val="1"/>
          <w:color w:val="auto"/>
        </w:rPr>
        <w:t>CHIEF FINANCIAL OFFICER (Principal Financial and</w:t>
      </w:r>
    </w:p>
    <w:p>
      <w:pPr>
        <w:jc w:val="center"/>
        <w:ind w:left="4840"/>
        <w:spacing w:after="0"/>
        <w:rPr>
          <w:sz w:val="20"/>
          <w:szCs w:val="20"/>
          <w:color w:val="auto"/>
        </w:rPr>
      </w:pPr>
      <w:r>
        <w:rPr>
          <w:rFonts w:ascii="Arial" w:cs="Arial" w:eastAsia="Arial" w:hAnsi="Arial"/>
          <w:sz w:val="16"/>
          <w:szCs w:val="16"/>
          <w:b w:val="1"/>
          <w:b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242" w:right="4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Neil M. Ashe, certify that:</w:t>
      </w:r>
    </w:p>
    <w:p>
      <w:pPr>
        <w:spacing w:after="0" w:line="117"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Acuity Brands, Inc.;</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January 8, 2025</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143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18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06"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Karen J. Holcom, certify that:</w:t>
      </w:r>
    </w:p>
    <w:p>
      <w:pPr>
        <w:spacing w:after="0" w:line="117"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Acuity Brands, Inc.;</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January 8, 2025</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604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18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06" w:right="339" w:bottom="1440" w:gutter="0" w:footer="0" w:header="0"/>
        </w:sectPr>
      </w:pPr>
    </w:p>
    <w:bookmarkStart w:id="30" w:name="page31"/>
    <w:bookmarkEnd w:id="30"/>
    <w:p>
      <w:pPr>
        <w:ind w:left="10060"/>
        <w:spacing w:after="0"/>
        <w:rPr>
          <w:sz w:val="20"/>
          <w:szCs w:val="20"/>
          <w:color w:val="auto"/>
        </w:rPr>
      </w:pPr>
      <w:r>
        <w:rPr>
          <w:rFonts w:ascii="Arial" w:cs="Arial" w:eastAsia="Arial" w:hAnsi="Arial"/>
          <w:sz w:val="17"/>
          <w:szCs w:val="17"/>
          <w:b w:val="1"/>
          <w:bCs w:val="1"/>
          <w:color w:val="auto"/>
        </w:rPr>
        <w:t>EXHIBIT 32(a)</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18 U.S.C. Section 1350, as adopted pursuant to 906 of the Sarbanes-Oxley Act of 2002, and in connection with the Quarterly Report on Form 10-Q of Acuity Brands, Inc. (the “Corporation”) for the quarter ended November 30, 2024, as filed with the Securities and Exchange Commission on the date hereof (the “Report”), the undersigned, the Chairman, President and Chief Executive Officer of the Corporation, certifies that:</w:t>
      </w:r>
    </w:p>
    <w:p>
      <w:pPr>
        <w:spacing w:after="0" w:line="68"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87" w:lineRule="auto"/>
        <w:tabs>
          <w:tab w:leader="none" w:pos="12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061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8, 2025</w:t>
      </w:r>
    </w:p>
    <w:p>
      <w:pPr>
        <w:spacing w:after="0" w:line="18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18 U.S.C. Section 1350, as adopted pursuant to 906 of the Sarbanes-Oxley Act of 2002, and in connection with the Quarterly Report on Form 10-Q of Acuity Brands, Inc. (the “Corporation”) for the quarter ended November 30, 2024, as filed with the Securities and Exchange Commission on the date hereof (the “Report”), the undersigned, the Senior Vice President and Chief Financial Officer of the Corporation, certifies that:</w:t>
      </w:r>
    </w:p>
    <w:p>
      <w:pPr>
        <w:spacing w:after="0" w:line="68"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87" w:lineRule="auto"/>
        <w:tabs>
          <w:tab w:leader="none" w:pos="129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432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8, 2025</w:t>
      </w:r>
    </w:p>
    <w:p>
      <w:pPr>
        <w:spacing w:after="0" w:line="18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52" Type="http://schemas.openxmlformats.org/officeDocument/2006/relationships/hyperlink" Target="https://www.sec.gov/Archives/edgar/data/1144215/000114421524000015/ayi-20240124xex32xrestated.htm" TargetMode="External"/><Relationship Id="rId53" Type="http://schemas.openxmlformats.org/officeDocument/2006/relationships/hyperlink" Target="https://www.sec.gov/Archives/edgar/data/1144215/000114421524000015/ayi-20240124xex34xamendeda.htm" TargetMode="External"/><Relationship Id="rId54" Type="http://schemas.openxmlformats.org/officeDocument/2006/relationships/hyperlink" Target="https://www.sec.gov/Archives/edgar/data/1144215/000119312524266224/d846074dex101.htm" TargetMode="External"/><Relationship Id="rId55" Type="http://schemas.openxmlformats.org/officeDocument/2006/relationships/hyperlink" Target="https://www.sec.gov/Archives/edgar/data/1144215/000114421523000090/ayi-20230831x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2025-01-08T06:34:16Z</dcterms:created>
  <dcterms:modified xsi:type="dcterms:W3CDTF">2025-01-08T06:34:16Z</dcterms:modified>
</cp:coreProperties>
</file>