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940" w:right="1380" w:hanging="2440"/>
        <w:spacing w:after="0" w:line="442" w:lineRule="auto"/>
        <w:tabs>
          <w:tab w:leader="none" w:pos="24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29,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402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3280" w:type="dxa"/>
            <w:vAlign w:val="bottom"/>
          </w:tcPr>
          <w:p>
            <w:pPr>
              <w:jc w:val="center"/>
              <w:ind w:left="206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4020" w:type="dxa"/>
            <w:vAlign w:val="bottom"/>
          </w:tcPr>
          <w:p>
            <w:pPr>
              <w:jc w:val="center"/>
              <w:ind w:right="206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280" w:type="dxa"/>
            <w:vAlign w:val="bottom"/>
          </w:tcPr>
          <w:p>
            <w:pPr>
              <w:jc w:val="center"/>
              <w:ind w:left="206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4020" w:type="dxa"/>
            <w:vAlign w:val="bottom"/>
          </w:tcPr>
          <w:p>
            <w:pPr>
              <w:jc w:val="center"/>
              <w:ind w:right="2068"/>
              <w:spacing w:after="0"/>
              <w:rPr>
                <w:sz w:val="20"/>
                <w:szCs w:val="20"/>
                <w:color w:val="auto"/>
              </w:rPr>
            </w:pPr>
            <w:r>
              <w:rPr>
                <w:rFonts w:ascii="Arial" w:cs="Arial" w:eastAsia="Arial" w:hAnsi="Arial"/>
                <w:sz w:val="14"/>
                <w:szCs w:val="14"/>
                <w:i w:val="1"/>
                <w:iCs w:val="1"/>
                <w:color w:val="auto"/>
              </w:rPr>
              <w:t>incorporation or organization)</w:t>
            </w:r>
          </w:p>
        </w:tc>
        <w:tc>
          <w:tcPr>
            <w:tcW w:w="3280" w:type="dxa"/>
            <w:vAlign w:val="bottom"/>
          </w:tcPr>
          <w:p>
            <w:pPr>
              <w:jc w:val="center"/>
              <w:ind w:left="2088"/>
              <w:spacing w:after="0"/>
              <w:rPr>
                <w:sz w:val="20"/>
                <w:szCs w:val="20"/>
                <w:color w:val="auto"/>
              </w:rPr>
            </w:pPr>
            <w:r>
              <w:rPr>
                <w:rFonts w:ascii="Arial" w:cs="Arial" w:eastAsia="Arial" w:hAnsi="Arial"/>
                <w:sz w:val="14"/>
                <w:szCs w:val="14"/>
                <w:i w:val="1"/>
                <w:iCs w:val="1"/>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30,797,872 shares as of March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February 29, 2024 (Unaudited) and August 31, 2023</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and six months ended February 29, 2024</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82" w:lineRule="exact"/>
              <w:rPr>
                <w:sz w:val="20"/>
                <w:szCs w:val="20"/>
                <w:color w:val="auto"/>
              </w:rPr>
            </w:pPr>
            <w:r>
              <w:rPr>
                <w:rFonts w:ascii="Arial" w:cs="Arial" w:eastAsia="Arial" w:hAnsi="Arial"/>
                <w:sz w:val="16"/>
                <w:szCs w:val="16"/>
                <w:color w:val="0000FF"/>
              </w:rPr>
              <w:t>and February 28, 2023</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Six months ended February 29, 2024 and February 28, 2023</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 and Divestitures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February 29, 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2023</w:t>
            </w:r>
          </w:p>
        </w:tc>
      </w:tr>
      <w:tr>
        <w:trPr>
          <w:trHeight w:val="196"/>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$1.2 and $1.3, respectively</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555.3</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1,395.2</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297.6</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1,097.1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1,097.9</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495.6</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1,393.1</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54.6 and 54.4 shares issued, respectively</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1,087.7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1,066.8</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3,505.4</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23.7 and 23.4 shares,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(2,444.7)</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2,015.4</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29, 2024</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2023</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29, 2024</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2023</w:t>
            </w: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1,840.6</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1,941.5</w:t>
            </w: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1,118.3</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595.9</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100" w:type="dxa"/>
            <w:vAlign w:val="bottom"/>
          </w:tcPr>
          <w:p>
            <w:pPr>
              <w:ind w:left="140"/>
              <w:spacing w:after="0"/>
              <w:rPr>
                <w:sz w:val="20"/>
                <w:szCs w:val="20"/>
                <w:color w:val="auto"/>
              </w:rPr>
            </w:pPr>
            <w:r>
              <w:rPr>
                <w:rFonts w:ascii="Arial" w:cs="Arial" w:eastAsia="Arial" w:hAnsi="Arial"/>
                <w:sz w:val="16"/>
                <w:szCs w:val="16"/>
                <w:color w:val="auto"/>
              </w:rPr>
              <w:t>Interest (income) expense,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7"/>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(income), net</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3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31.399</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r>
      <w:tr>
        <w:trPr>
          <w:trHeight w:val="21"/>
        </w:trPr>
        <w:tc>
          <w:tcPr>
            <w:tcW w:w="5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2023</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158.1</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Loss on disposal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2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142.6</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(121.7)</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ABL strategy is to increase product vitality, improve service levels, use technology to improve and differentiate both our products and our services,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ABL's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an internally-managed truck fleet.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ABL's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ABL operates training and education facilities in several locations throughout North America and Europe designed to enhance the lighting knowledge of customers and industry professionals.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ISG strategy is to make spaces smarter, safer, and greener by connecting the edge to the cloud. ISG offers building management solutions and building management software. ISG's building management solutions include products for controlling heating, ventilation, air conditioning (“HVAC”), lighting, shades, refrigeration, and building access that deliver end-to-end optimization of those building systems. ISG's intelligent building software enhances the occupant experience, improves building system management, and automates labor intensive tasks while delivering operational energy efficiency and cost reductions. Through a connected and converged building system architecture, ISG's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29, 2024, our consolidated comprehensive income for the three and six months ended February 29, 2024 and February 28, 2023, and our consolidated cash flows for the six months ended February 29, 2024 and February 28, 2023.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2023 and notes thereto included in our Annual Report on Form 10-K filed with the Securities and Exchange Commission (the “SEC”) on October 26, 2023 (File No. 001-16583) (“Form 10-K”).</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Arize Assets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KE2 Therm</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r>
        <w:rPr>
          <w:rFonts w:ascii="Arial" w:cs="Arial" w:eastAsia="Arial" w:hAnsi="Arial"/>
          <w:sz w:val="18"/>
          <w:szCs w:val="18"/>
          <w:i w:val="1"/>
          <w:iCs w:val="1"/>
          <w:color w:val="auto"/>
        </w:rPr>
        <w:t>.</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accounted for the acquisition of KE2 Therm in accordance with Accounting Standards Codification (“ASC”) Topic 805</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Acquired assets and liabilities were recorded at their estimated acquisition-date fair values. Acquisition-related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were expensed as incurred and were not material to our financial statements. The aggregate purchase price of this acquisition reflects preliminary goodwill within the ISG segment of $15.0 million at February 29, 2024, which is not expected to be deductible for tax purposes. The goodwill is primarily comprised of expected benefits related to expanding ISG's technology and controls product portfolio as well as the trained workforce acquired with these businesses and expected synergies from combining the operations of KE2 Therm with our operations.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additionally recorded preliminary gross intangible assets of $18.0 million as of February 29, 2024, which reflect estimates for definite-lived intangibles with a preliminary estimated weighted average useful life of approximately 15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including, but not limited to, intangible assets and tax-related items. There were no measurement period adjustments during the first six months of fiscal 2024.</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operating results of KE2 Therm have been included in our financial statements since the date of acquisition and are not material to our consolidated financial condition, results of operations, or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divestitures during the first six months of fiscal 2024. The following discussion relates to fiscal year 2023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During the first quarter of fiscal 2023, we recognized a pre-tax loss on this sale of $11.2 million within </w:t>
      </w:r>
      <w:r>
        <w:rPr>
          <w:rFonts w:ascii="Arial" w:cs="Arial" w:eastAsia="Arial" w:hAnsi="Arial"/>
          <w:sz w:val="18"/>
          <w:szCs w:val="18"/>
          <w:i w:val="1"/>
          <w:iCs w:val="1"/>
          <w:color w:val="auto"/>
        </w:rPr>
        <w:t>Miscellaneous expense (income),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Additionally, we recorded impairment charges for certain retained assets as well as associate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severance and other costs related to this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8"/>
          <w:szCs w:val="18"/>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Financial Accounting Standards Board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29, 2024</w:t>
            </w:r>
          </w:p>
        </w:tc>
        <w:tc>
          <w:tcPr>
            <w:tcW w:w="200" w:type="dxa"/>
            <w:vAlign w:val="bottom"/>
          </w:tcPr>
          <w:p>
            <w:pPr>
              <w:spacing w:after="0"/>
              <w:rPr>
                <w:sz w:val="20"/>
                <w:szCs w:val="20"/>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rPr>
              <w:t>August 31, 2023</w:t>
            </w: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recorded at fair value:</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80" w:type="dxa"/>
            <w:vAlign w:val="bottom"/>
          </w:tcPr>
          <w:p>
            <w:pPr>
              <w:ind w:left="1560"/>
              <w:spacing w:after="0"/>
              <w:rPr>
                <w:sz w:val="20"/>
                <w:szCs w:val="20"/>
                <w:color w:val="auto"/>
              </w:rPr>
            </w:pPr>
            <w:r>
              <w:rPr>
                <w:rFonts w:ascii="Arial" w:cs="Arial" w:eastAsia="Arial" w:hAnsi="Arial"/>
                <w:sz w:val="18"/>
                <w:szCs w:val="18"/>
                <w:color w:val="auto"/>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397.9</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financial instruments</w:t>
            </w:r>
          </w:p>
        </w:tc>
        <w:tc>
          <w:tcPr>
            <w:tcW w:w="308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Level 2</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Assets in fair value hierarchy</w:t>
            </w: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398.3</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investments</w:t>
            </w:r>
            <w:r>
              <w:rPr>
                <w:rFonts w:ascii="Arial" w:cs="Arial" w:eastAsia="Arial" w:hAnsi="Arial"/>
                <w:sz w:val="23"/>
                <w:szCs w:val="23"/>
                <w:color w:val="auto"/>
                <w:vertAlign w:val="superscript"/>
              </w:rPr>
              <w:t>(1)</w:t>
            </w:r>
          </w:p>
        </w:tc>
        <w:tc>
          <w:tcPr>
            <w:tcW w:w="3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r>
      <w:tr>
        <w:trPr>
          <w:trHeight w:val="21"/>
        </w:trPr>
        <w:tc>
          <w:tcPr>
            <w:tcW w:w="4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our senior unsecured public notes was $410.7 million and $401.4 million as of February 29, 2024 and August 31, 2023, respectively.</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no short-term borrowings outstanding under our revolving credit facility as of February 29, 2024 and August 31, 2023. Such borrowings, if any,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961.8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r>
      <w:tr>
        <w:trPr>
          <w:trHeight w:val="21"/>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for definite-lived intangible assets of $10.0 million and $9.3 million during the three months ended February 29, 2024 and February 28, 2023, respectively, and $19.9 million and $22.9 million during the six months ended February 29, 2024 and February 28,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February 29, 2024</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1,013.8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Derecognitions for divestitures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at February 28, 2023</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1,012.3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1,080.3</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Refer to the Debt and Lines of Credit footnote of the Notes to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Brands,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February 29, 2024 and August 31, 2023.</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February 29, 2024,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premiums.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29, 2024,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new technology products may not generate unexpected costs, and/or loss recoveries will not be fully collectible. If actual future warranty or recall costs exceed historical amounts or recoveries are no longer collectible, adjustments to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accruals and/or receivables may be warranted, which could have a material adverse impact on our results of operations and cash flows.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Six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February 29, 2024</w:t>
            </w: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2023</w:t>
            </w:r>
          </w:p>
        </w:tc>
      </w:tr>
      <w:tr>
        <w:trPr>
          <w:trHeight w:val="208"/>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center"/>
              <w:ind w:left="123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center"/>
              <w:ind w:left="1239"/>
              <w:spacing w:after="0"/>
              <w:rPr>
                <w:sz w:val="20"/>
                <w:szCs w:val="20"/>
                <w:color w:val="auto"/>
              </w:rPr>
            </w:pPr>
            <w:r>
              <w:rPr>
                <w:rFonts w:ascii="Arial" w:cs="Arial" w:eastAsia="Arial" w:hAnsi="Arial"/>
                <w:sz w:val="16"/>
                <w:szCs w:val="16"/>
                <w:color w:val="auto"/>
                <w:w w:val="96"/>
              </w:rPr>
              <w:t>27.3</w:t>
            </w:r>
          </w:p>
        </w:tc>
      </w:tr>
      <w:tr>
        <w:trPr>
          <w:trHeight w:val="215"/>
        </w:trPr>
        <w:tc>
          <w:tcPr>
            <w:tcW w:w="200" w:type="dxa"/>
            <w:vAlign w:val="bottom"/>
          </w:tcPr>
          <w:p>
            <w:pPr>
              <w:spacing w:after="0"/>
              <w:rPr>
                <w:sz w:val="18"/>
                <w:szCs w:val="18"/>
                <w:color w:val="auto"/>
              </w:rPr>
            </w:pPr>
          </w:p>
        </w:tc>
        <w:tc>
          <w:tcPr>
            <w:tcW w:w="1800" w:type="dxa"/>
            <w:vAlign w:val="bottom"/>
          </w:tcPr>
          <w:p>
            <w:pPr>
              <w:jc w:val="center"/>
              <w:ind w:left="12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left="1239"/>
              <w:spacing w:after="0"/>
              <w:rPr>
                <w:sz w:val="20"/>
                <w:szCs w:val="20"/>
                <w:color w:val="auto"/>
              </w:rPr>
            </w:pPr>
            <w:r>
              <w:rPr>
                <w:rFonts w:ascii="Arial" w:cs="Arial" w:eastAsia="Arial" w:hAnsi="Arial"/>
                <w:sz w:val="16"/>
                <w:szCs w:val="16"/>
                <w:color w:val="auto"/>
                <w:w w:val="96"/>
              </w:rPr>
              <w:t>19.1</w:t>
            </w:r>
          </w:p>
        </w:tc>
      </w:tr>
      <w:tr>
        <w:trPr>
          <w:trHeight w:val="217"/>
        </w:trPr>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rPr>
              <w:t>(18.4)</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w w:val="96"/>
              </w:rPr>
              <w:t>28.0</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-316230</wp:posOffset>
            </wp:positionV>
            <wp:extent cx="7106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complaints contained similar allegations and claimed that the Company failed to exercise reasonable caution in securing and safeguarding associate information. On that basis, the complaints asserted claims for negligence, breach of contract, breach of implied contract, unjust enrichment, breach of fiduciary duty, invasion of privacy, and breach of confidence. The plaintiffs sought class certification, monetary damages, certain injunctive relief regarding our data-security measures, additional credit-monitoring services, other equitable relief (including disgorgement), attorneys’ fees, costs, and pre- and post-judgment interest.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1, 2023, the parties reached a proposed settlement and release of all claims in the class action and executed a Settlement Agreement and Release, which is pending approval from the State Court of Fulton County, Georgia. The impact of the settlement is not material.</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received inquiries from, and it is also possible that investigations or other actions may be taken by, state and/or federal agencies regarding the data security incidents and related data privacy matters. For these reasons, we are currently unable to reasonably estimate the possible losses or a range of possible losses resulting from the matters described above. We have insurance, subject to certain terms and conditions, for these types of matters.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9"/>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29,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29, 2024</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47.6</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professional service and service-type warranty fees collected prior to performing the related service as well as software licenses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recognized from beginning balances of contract liabilities during the six months ended February 29, 2024 totaled $6.9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February 29, 2024 and consist primarily of orders for physical goods that have not yet been shipped.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29, 2024</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29, 2024</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2023</w:t>
            </w:r>
          </w:p>
        </w:tc>
      </w:tr>
      <w:tr>
        <w:trPr>
          <w:trHeight w:val="19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635.3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1,237.5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1,309.0</w:t>
            </w:r>
          </w:p>
        </w:tc>
      </w:tr>
      <w:tr>
        <w:trPr>
          <w:trHeight w:val="217"/>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r>
      <w:tr>
        <w:trPr>
          <w:trHeight w:val="215"/>
        </w:trPr>
        <w:tc>
          <w:tcPr>
            <w:tcW w:w="378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217"/>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215"/>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1,837.9</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ISG</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1,941.5</w:t>
            </w:r>
          </w:p>
        </w:tc>
      </w:tr>
      <w:tr>
        <w:trPr>
          <w:trHeight w:val="21"/>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0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64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February 28, 2023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29, 2024</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2023</w:t>
            </w: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recognized excess tax benefits of $1.5 million and $1.7 million related to share-based payment awards during the six months ended February 29, 2024 and February 28, 2023, respectively.</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5"/>
          </w:tcPr>
          <w:p>
            <w:pPr>
              <w:ind w:left="10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820" w:type="dxa"/>
            <w:vAlign w:val="bottom"/>
            <w:gridSpan w:val="4"/>
          </w:tcPr>
          <w:p>
            <w:pPr>
              <w:ind w:left="110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29, 2024</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29, 2024</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2023</w:t>
            </w: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2.3</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left="13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4.5</w:t>
            </w: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99"/>
              <w:spacing w:after="0"/>
              <w:rPr>
                <w:sz w:val="20"/>
                <w:szCs w:val="20"/>
                <w:color w:val="auto"/>
              </w:rPr>
            </w:pPr>
            <w:r>
              <w:rPr>
                <w:rFonts w:ascii="Arial" w:cs="Arial" w:eastAsia="Arial" w:hAnsi="Arial"/>
                <w:sz w:val="16"/>
                <w:szCs w:val="16"/>
                <w:color w:val="auto"/>
              </w:rPr>
              <w:t>(4.8)</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60" w:type="dxa"/>
            <w:vAlign w:val="bottom"/>
          </w:tcPr>
          <w:p>
            <w:pPr>
              <w:jc w:val="center"/>
              <w:ind w:left="13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1.3</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1.5</w:t>
            </w:r>
          </w:p>
        </w:tc>
      </w:tr>
      <w:tr>
        <w:trPr>
          <w:trHeight w:val="210"/>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8"/>
              </w:rPr>
              <w:t>4.8</w:t>
            </w: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special charges during the first six months of fiscal 2024.</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quarter of fiscal 2023, we recognized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primarily for impairments of operating lease right-of-use assets for $4.3 million associated with our previously owned Sunoptics</w:t>
      </w:r>
      <w:r>
        <w:rPr>
          <w:rFonts w:ascii="Arial" w:cs="Arial" w:eastAsia="Arial" w:hAnsi="Arial"/>
          <w:sz w:val="18"/>
          <w:szCs w:val="18"/>
          <w:i w:val="1"/>
          <w:iCs w:val="1"/>
          <w:color w:val="auto"/>
        </w:rPr>
        <w:t xml:space="preserve"> </w:t>
      </w:r>
      <w:r>
        <w:rPr>
          <w:rFonts w:ascii="Arial" w:cs="Arial" w:eastAsia="Arial" w:hAnsi="Arial"/>
          <w:sz w:val="18"/>
          <w:szCs w:val="18"/>
          <w:color w:val="auto"/>
        </w:rPr>
        <w:t>prismatic skylights business that were not transferred in connection with the sale. We additionally recognized associate severance and other costs totaling $2.6 million primarily in connection with the Sunoptics divestiture.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expense (income), net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29, 2024</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2023</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2024</w:t>
            </w:r>
          </w:p>
        </w:tc>
        <w:tc>
          <w:tcPr>
            <w:tcW w:w="16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28, 2023</w:t>
            </w: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expense, net:</w:t>
            </w: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4560" w:type="dxa"/>
            <w:vAlign w:val="bottom"/>
          </w:tcPr>
          <w:p>
            <w:pPr>
              <w:ind w:left="240"/>
              <w:spacing w:after="0"/>
              <w:rPr>
                <w:sz w:val="20"/>
                <w:szCs w:val="20"/>
                <w:color w:val="auto"/>
              </w:rPr>
            </w:pPr>
            <w:r>
              <w:rPr>
                <w:rFonts w:ascii="Arial" w:cs="Arial" w:eastAsia="Arial" w:hAnsi="Arial"/>
                <w:sz w:val="14"/>
                <w:szCs w:val="14"/>
                <w:color w:val="auto"/>
              </w:rPr>
              <w:t>Interest (income) expense, net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(income), net: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losses (gains)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Loss on sale of business</w:t>
            </w:r>
          </w:p>
        </w:tc>
        <w:tc>
          <w:tcPr>
            <w:tcW w:w="1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items</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2"/>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Miscellaneous expense (income), net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29, 2024</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2023</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2024</w:t>
            </w:r>
          </w:p>
        </w:tc>
        <w:tc>
          <w:tcPr>
            <w:tcW w:w="16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28, 2023</w:t>
            </w:r>
          </w:p>
        </w:tc>
        <w:tc>
          <w:tcPr>
            <w:tcW w:w="0" w:type="dxa"/>
            <w:vAlign w:val="bottom"/>
          </w:tcPr>
          <w:p>
            <w:pPr>
              <w:spacing w:after="0"/>
              <w:rPr>
                <w:sz w:val="1"/>
                <w:szCs w:val="1"/>
                <w:color w:val="auto"/>
              </w:rPr>
            </w:pPr>
          </w:p>
        </w:tc>
      </w:tr>
      <w:tr>
        <w:trPr>
          <w:trHeight w:val="22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30.864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32.048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32.178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0.535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0.367</w:t>
            </w:r>
          </w:p>
        </w:tc>
        <w:tc>
          <w:tcPr>
            <w:tcW w:w="0" w:type="dxa"/>
            <w:vAlign w:val="bottom"/>
          </w:tcPr>
          <w:p>
            <w:pPr>
              <w:spacing w:after="0"/>
              <w:rPr>
                <w:sz w:val="1"/>
                <w:szCs w:val="1"/>
                <w:color w:val="auto"/>
              </w:rPr>
            </w:pPr>
          </w:p>
        </w:tc>
      </w:tr>
      <w:tr>
        <w:trPr>
          <w:trHeight w:val="200"/>
        </w:trPr>
        <w:tc>
          <w:tcPr>
            <w:tcW w:w="45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31.399</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31.388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9"/>
                <w:szCs w:val="9"/>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9"/>
                <w:szCs w:val="9"/>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for three and six months ended February 29, 2024 and February 28, 2023 were immaterial.</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29, 2024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320" w:firstLine="8"/>
        <w:spacing w:after="0" w:line="291" w:lineRule="auto"/>
        <w:tabs>
          <w:tab w:leader="none" w:pos="122"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7"/>
              </w:rPr>
              <w:t>(1.1)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7"/>
              </w:rPr>
              <w:t>(2.6)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0.2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no special charges during the three and six months ended February 29, 2024. Special charges during the six months ended February 28, 2023 of $6.9 million pertained to the ABL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5"/>
          </w:tcPr>
          <w:p>
            <w:pPr>
              <w:ind w:left="10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February 29, 2024</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February 28, 2023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29, 2024</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2023</w:t>
            </w: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ABL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843.5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890.8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1,719.9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1,837.9</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216"/>
        </w:trPr>
        <w:tc>
          <w:tcPr>
            <w:tcW w:w="3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3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ABL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126.0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241.7</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29, 2024</w:t>
            </w: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February 28, 2023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29, 2024</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2023</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profit - ABL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r>
      <w:tr>
        <w:trPr>
          <w:trHeight w:val="215"/>
        </w:trPr>
        <w:tc>
          <w:tcPr>
            <w:tcW w:w="3420" w:type="dxa"/>
            <w:vAlign w:val="bottom"/>
          </w:tcPr>
          <w:p>
            <w:pPr>
              <w:spacing w:after="0"/>
              <w:rPr>
                <w:sz w:val="20"/>
                <w:szCs w:val="20"/>
                <w:color w:val="auto"/>
              </w:rPr>
            </w:pPr>
            <w:r>
              <w:rPr>
                <w:rFonts w:ascii="Arial" w:cs="Arial" w:eastAsia="Arial" w:hAnsi="Arial"/>
                <w:sz w:val="16"/>
                <w:szCs w:val="16"/>
                <w:color w:val="auto"/>
              </w:rPr>
              <w:t>Operating profit - ISG</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7"/>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Unallocated corporate amounts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220.4</w:t>
            </w:r>
          </w:p>
        </w:tc>
      </w:tr>
      <w:tr>
        <w:trPr>
          <w:trHeight w:val="217"/>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3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Miscellaneous expense (income), net</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5"/>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February 29, 2024 and for the three and six months ended February 29, 2024 and February 28, 2023.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included within this report. Also, please refer to Acuity Brands, Inc.'s Annual Report on Form 10-K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31, 2023, filed with the Securities and Exchange Commission (the “SEC”) on October 26, 2023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February 29, 2024 was $ 578.9 million, an increase of $181.0 million from August 31, 2023. Cash generated from operating activities and cash on hand were used during the current year to fund our capital allocation priorities as discussed below.</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generated $292.6 million of cash flows from operating activities during the six months ended February 29, 2024, compared to $306.4 million in the prior-year period, a decrease of $13.8 million. This decrease was due primarily to more favorable operating working capital reductions in the prior year as well as an increase in income tax payments associated with higher profit, partially offset by higher pre-tax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February 29, 2024, our outstanding debt balance was $ 495.9 million, which consisted solely of our Unsecured Notes, compared to our cash position of $578.9 million. We were in compliance with all covenants under our financing arrangements as of February 29, 2024.</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February 29, 2024, we had additional borrowing capacity under the Revolving Credit Facility of $596.2 million under the most restrictive covenant in effect at the time, which represents the full amount of the Revolving Credit Facility less outstanding letters of credit of $ 3.8 million issued under the facility. As of February 29, 2024, our cash on hand combined with the additional borrowing capacity under the Revolving Credit Facility totaled $1.2 billion.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 2024</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321.4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326.4</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464.2</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5"/>
                <w:szCs w:val="15"/>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 February</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99"/>
              <w:spacing w:after="0"/>
              <w:rPr>
                <w:sz w:val="20"/>
                <w:szCs w:val="20"/>
                <w:color w:val="auto"/>
              </w:rPr>
            </w:pPr>
            <w:r>
              <w:rPr>
                <w:rFonts w:ascii="Arial" w:cs="Arial" w:eastAsia="Arial" w:hAnsi="Arial"/>
                <w:sz w:val="16"/>
                <w:szCs w:val="16"/>
                <w:b w:val="1"/>
                <w:bCs w:val="1"/>
                <w:color w:val="auto"/>
              </w:rPr>
              <w:t>29, 2024</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$29.0 million and $35.6 million in property, plant, and equipment during the six months ended February 29, 2024 and February 28, 2023, respectively. We invested primarily in new and enhanced information technology, equipment, and facility improvements in fiscal 2024 to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Arize Assets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KE2 Therm</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digital controls to promote safety, efficiency, and reliability, while delivering cost savings to the customer. This acquisition is intended to expand ISG's technology and controls product portfolio and reach new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Divestitures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were no divestitures during the first six months of fiscal 2024. We sold our Sunoptics prismatic skylights business in the first fiscal quarter of 2023 and recognized a pre-tax loss of $11.2 million on the sale of this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$8.8 million ($ 0.28 per share) and $8.5 million ($0.26 per share) during the six months ended February 29, 2024 and February 28, 2023,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six months of fiscal 2024, we repurchased 0.4 million shares of our outstanding common stock for $67.6 million. Total cash outflows for share repurchases during the six months ended February 29, 2024 were $67.8 million. We expect to repurchase shares on an opportunistic basis subject to various factors including stock price, Company performance, market conditions, and other possible uses of cash. On January 25, 2024, the Board approved an increase of three million shares to the maximum number of shares that may yet be repurchased under the share repurchase program. As of February 29, 2024, 3.9 million shares remained available within the program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2024 Compared with Second Quarter of Fiscal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29,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29, 2024</w:t>
            </w:r>
          </w:p>
        </w:tc>
        <w:tc>
          <w:tcPr>
            <w:tcW w:w="100" w:type="dxa"/>
            <w:vAlign w:val="bottom"/>
            <w:vMerge w:val="restart"/>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2023</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905.9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493.5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412.4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45.5 %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43.1 %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240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120</w:t>
            </w:r>
          </w:p>
        </w:tc>
        <w:tc>
          <w:tcPr>
            <w:tcW w:w="1740" w:type="dxa"/>
            <w:vAlign w:val="bottom"/>
            <w:gridSpan w:val="2"/>
            <w:shd w:val="clear" w:color="auto" w:fill="CCEEFF"/>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expense, net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(101.8) %</w:t>
            </w:r>
          </w:p>
        </w:tc>
        <w:tc>
          <w:tcPr>
            <w:tcW w:w="0" w:type="dxa"/>
            <w:vAlign w:val="bottom"/>
          </w:tcPr>
          <w:p>
            <w:pPr>
              <w:spacing w:after="0"/>
              <w:rPr>
                <w:sz w:val="1"/>
                <w:szCs w:val="1"/>
                <w:color w:val="auto"/>
              </w:rPr>
            </w:pPr>
          </w:p>
        </w:tc>
      </w:tr>
      <w:tr>
        <w:trPr>
          <w:trHeight w:val="198"/>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Miscellaneous expense (income), net</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(75.0) %</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140</w:t>
            </w:r>
          </w:p>
        </w:tc>
        <w:tc>
          <w:tcPr>
            <w:tcW w:w="1740" w:type="dxa"/>
            <w:vAlign w:val="bottom"/>
            <w:gridSpan w:val="2"/>
            <w:shd w:val="clear" w:color="auto" w:fill="CCEEFF"/>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24.1 %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second quarter of fiscal 2024 decreased $37.7 million, or 4.0%, to $905.9 million, compared with $943.6 million in the prior-year period due to a decline in sales within our ABL segment, partially offset by higher sales within our ISG segment. Acquisitions did not have a meaningful impact on consolidated net sales for the second quarter of fiscal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second quarter of fiscal 2024 increased $5.7 million, or 1.4%, to $412.4 million, compared with $406.7 million in the prior-year period, and gross profit margin increased 240 basis points to 45.5% from 43.1% compared with the prior-year period. Our gross profit increased compared with the prior period due primarily to favorable material and import costs, partially offset by the fall through of the net sales decline as well as higher quality, labor, and overhead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Selling, distribution, and administrative expenses (“SD&amp;A”) expenses for the second quarter of fiscal 2024 were $294.3 million, compared with $295.2 million in the prior-year period, a decrease of $0.9 million, or 0.3%.</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second quarter of fiscal 2024 was $ 118.1 million (13.0% of net sales), compared with $111.5 million (11.8% of net sales) for the prior-year period, an increase of $6.6 million, or 5.9%. The increase in operating profit was due primarily to the increase in gross profit.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income of $0.1 million and net interest expense of $5.7 million for the second quarter of fiscal 2024 and 2023, respectively. Our fiscal 2024 net interest income reflects higher interest bearing cash and cash equivalent balances, higher investing rates on those balances, and lower average short term borrowings outstanding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Miscellaneous expense (income),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$0.6 million and net miscellaneous income of $3.7 million for the second quarter of fiscal 2024 and 2023, respectively. This year-over-year change is due primarily to the impact of foreign currency-related items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24.1% and 24.0% for the second quarter of fiscal 2024 and 2023, respectively.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second quarter of fiscal 2024 increased $6.0 million, or 7.2%, to $89.2 million, from $83.2 million reported for the prior-year period. Diluted earnings per share for the second quarter of fiscal 2024 increased $0.27, or 10.5%, to $2.84 compared with diluted earnings per share of $2.57 for the prior-year period. This increase reflects higher net income as well as lower outstanding diluted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 and February 28, 2023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440" w:type="dxa"/>
            <w:vAlign w:val="bottom"/>
          </w:tcPr>
          <w:p>
            <w:pPr>
              <w:spacing w:after="0"/>
              <w:rPr>
                <w:sz w:val="11"/>
                <w:szCs w:val="11"/>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29, 2024</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28, 2023</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843.5</w:t>
            </w:r>
          </w:p>
        </w:tc>
        <w:tc>
          <w:tcPr>
            <w:tcW w:w="1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890.8</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80" w:type="dxa"/>
            <w:vAlign w:val="bottom"/>
          </w:tcPr>
          <w:p>
            <w:pPr>
              <w:jc w:val="right"/>
              <w:ind w:right="96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0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6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second quarter of fiscal 2024 decreased $47.3 million, or 5.3%, to $843.5 million, compared with $890.8 million in the prior-year period. Sales within the ABL segment decreased due to lower net sales across all channels. The second quarter of 2023 benefited from working through an elevated backlog.</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$126.0 million (14.9% of ABL net sales) for the second quarter of fiscal 2024, compared with $123.6 million (13.9% of ABL net sales) in the prior-year period, an increase of $2.4 million. The increase in operating profit was due primarily to improved profitability on lower sales as well as lower sales-related costs, such as commissions and freight to customers.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second quarter of fiscal 2024 increased $9.9 million, or 17.0%, to $68.1 million, compared with $58.2 million in the prior-year period. Sales within the ISG segment increased due primarily to higher volume and the acquisition of KE2 Therm. ISG operating profit was $9.1 million for the second quarter of fiscal 2024, compared with $6.3 million in the prior-year period, an increase of $2.8 million. This increase was due primarily to contributions from higher net sales, partially offset by higher employee-related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2024 Compared with First Six Months of Fiscal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29,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29, 2024</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2023</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1,840.6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999.8</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1,118.3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840.8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45.7 %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330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589.8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251.0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220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13.5 %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310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23.6 %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22.0 %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189.8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24.5 %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six months ended February 29, 2024 decreased $ 100.9 million, or 5.2%, to $1.84 billion compared with $ 1.94 billion in the prior-year period due to a decline in sales within our ABL segment, partially offset by higher sales within our ISG segment. Acquisitions and divestitures did not have meaningful impacts on consolidated net sales for the first six months of fiscal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six months ended February 29, 2024 increased $17.6 million, or 2.1%, to $840.8 million compared with $ 823.2 million in the prior-year period. Gross profit margin increased 330 basis points to 45.7% for the six months ended February 29, 2024 compared with 42.4% in the prior-year period. Our gross profit increased compared with the prior period due primarily to favorable material and import costs, partially offset by the fall through of the net sales decline as well as higher labor, overhead, and quality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SD&amp;A expenses for the six months ended February 29, 2024 were $589.8 million compared with $595.9 million in the prior-year period, a decrease of $6.1 million, or 1.0%. The decrease in SD&amp;A expenses was due primarily to lower commissions and freight costs associated with the decline in net sales as well as decreased amortization, partially offset by increased employee-related costs.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expense of definite-lived intangibles decreased in fiscal 2024 as we recorded $4.0 million of accelerated amortization in fiscal 2023 for intangibles associated with certain brands that were discontinued.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recognized special charges of $6.9 million during the first six months of fiscal 2023. Please refer to the </w:t>
      </w:r>
      <w:r>
        <w:rPr>
          <w:rFonts w:ascii="Arial" w:cs="Arial" w:eastAsia="Arial" w:hAnsi="Arial"/>
          <w:sz w:val="18"/>
          <w:szCs w:val="18"/>
          <w:i w:val="1"/>
          <w:iCs w:val="1"/>
          <w:color w:val="auto"/>
        </w:rPr>
        <w:t>Special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first six months of fiscal 2024 was $251.0 million (13.6% of net sales) compared with $220.4 million (11.4% of net sales) for the prior-year period, an increase of $30.6 million, or 13.9%. The increase in operating profit was due primarily to higher gross profit, lower SD&amp;A expenses, and nonrecurring special charges in the first quarter of fiscal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was $ 0.8 million and $12.3 million for the six months ended February 29, 2024 and February 28, 2023, respectively. The decrease in net interest expense was due to higher interest bearing cash and cash equivalent balances, higher investing rates on those balances, and lower average short term borrowings outstanding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reported net miscellaneous expense of $1.7 million for the six months ended February 29, 2024 and $5.4 million for the six months ended February 28, 2023. This year-over-year decrease was due primarily to the recognition of an $11.2 million loss on the sale of our Sunoptics prismatic skylights business in fiscal 2023, partially offset by the impact of foreign currency-related items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income tax rate was 23.6% and 22.0% for the six months ended February 29, 2024 and February 28, 2023, respectively. This increase was due primarily to the recognition of higher favorable discrete items in the prior year.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first six months of fiscal 2024 increased $31.7 million, or 20.1%, to $189.8 million from $158.1 million reported for the prior-year period. Diluted earnings per share for the six months ended February 29, 2024 increased $ 1.19 to $6.05 compared with diluted earnings per share of $4.86 for the prior-year period. This increase reflects higher net income as well as lower outstanding diluted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six months ended February 29, 2024 and February 28, 2023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29, 2024</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2023</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1,719.9</w:t>
            </w:r>
          </w:p>
        </w:tc>
        <w:tc>
          <w:tcPr>
            <w:tcW w:w="8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1,837.9</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269.8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ABL net sales for the six months ended February 29, 2024 decreased 6.4% compared with the prior-year period due primarily to lower net sales across all channels except within the retail sales channel. The first six months of 2023 benefited from working through an elevated backlog.</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ABL was $269.8 million (15.7% of ABL net sales) for the six months ended February 29, 2024 compared to $241.7 million (13.2% of ABL net sales) in the prior-year period, an increase of $28.1 million. The increase in operating profit was due primarily to improved profitability on lower sales as well as lower sales-related costs, such as commissions and freight to customers. During the first six months of fiscal 2023, we recorded within ABL $6.9 million of special charges and $4.0 million of accelerated amortization expense for intangibles associated</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with certain brands that were discontinued.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six months ended February 29, 2024 increased 15.0% compared with the prior-year period primarily driven by the acquisition of KE2 Therm as well as price increases and favorable product mix. ISG operating profit was $14.4 million for the six months ended February 29, 2024 compared with $14.0 million in the prior-year period, an increase of $0.4 million. This increase was due primarily to contributions from higher sales, partially offset by increased employee-related costs and professional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29, 2024. The scope of our efforts to comply with the SEC rules included all of our operations except for KE2 Therm Solutions, Inc. (“KE2 Therm”), which we acquired during the year ended August 31,2023. KE2 Therm constituted less than 2% of both total assets and equity as of February 29, 2024 and less than 1% of both the Company's net sales and pre-tax income for the six months ended February 29, 2024.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KE2 Therm's internal control over financial reporting as of February 29, 2024. This evaluation was carried out under the supervision and with the participation of management, including the principal executive officer and principal financial officer. Based on this evaluation, which as discussed herein excluded the operations of KE2 Therm, these officers have concluded that the design and operation of our disclosure controls and procedures are effective at a reasonable assurance level as of February 29, 2024.</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six months ended February 29, 2024,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February 29, 2024, the maximum number of shares that may yet be repurchased under the share repurchase program authorized by the Board equaled 3.9 million shares. The following table reflects activity related to equity securities we repurchased during the quarter ended February 29, 2024:</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12/1/2023 through 12/31/2023</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53,277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188.27</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53,277</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3,886,429</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1/1/2024 through 1/31/2024</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10,539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236.86</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10,539</w:t>
            </w:r>
          </w:p>
        </w:tc>
        <w:tc>
          <w:tcPr>
            <w:tcW w:w="1940" w:type="dxa"/>
            <w:vAlign w:val="bottom"/>
          </w:tcPr>
          <w:p>
            <w:pPr>
              <w:jc w:val="right"/>
              <w:spacing w:after="0"/>
              <w:rPr>
                <w:sz w:val="20"/>
                <w:szCs w:val="20"/>
                <w:color w:val="auto"/>
              </w:rPr>
            </w:pPr>
            <w:r>
              <w:rPr>
                <w:rFonts w:ascii="Arial" w:cs="Arial" w:eastAsia="Arial" w:hAnsi="Arial"/>
                <w:sz w:val="16"/>
                <w:szCs w:val="16"/>
                <w:color w:val="auto"/>
              </w:rPr>
              <w:t>3,875,890</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2/1/2024 through 2/29/2024</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20,730</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243.50</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20,730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3,855,160</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84,546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207.87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84,546</w:t>
            </w:r>
          </w:p>
        </w:tc>
        <w:tc>
          <w:tcPr>
            <w:tcW w:w="1940" w:type="dxa"/>
            <w:vAlign w:val="bottom"/>
          </w:tcPr>
          <w:p>
            <w:pPr>
              <w:jc w:val="right"/>
              <w:spacing w:after="0"/>
              <w:rPr>
                <w:sz w:val="20"/>
                <w:szCs w:val="20"/>
                <w:color w:val="auto"/>
              </w:rPr>
            </w:pPr>
            <w:r>
              <w:rPr>
                <w:rFonts w:ascii="Arial" w:cs="Arial" w:eastAsia="Arial" w:hAnsi="Arial"/>
                <w:sz w:val="16"/>
                <w:szCs w:val="16"/>
                <w:color w:val="auto"/>
              </w:rPr>
              <w:t>3,855,160</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second quarter of fiscal 2024,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gridSpan w:val="10"/>
          </w:tcPr>
          <w:p>
            <w:pPr>
              <w:ind w:left="32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4"/>
          </w:tcPr>
          <w:p>
            <w:pPr>
              <w:spacing w:after="0"/>
              <w:rPr>
                <w:rFonts w:ascii="Arial" w:cs="Arial" w:eastAsia="Arial" w:hAnsi="Arial"/>
                <w:sz w:val="16"/>
                <w:szCs w:val="16"/>
                <w:color w:val="0E32E1"/>
              </w:rPr>
            </w:pPr>
            <w:hyperlink r:id="rId60">
              <w:r>
                <w:rPr>
                  <w:rFonts w:ascii="Arial" w:cs="Arial" w:eastAsia="Arial" w:hAnsi="Arial"/>
                  <w:sz w:val="16"/>
                  <w:szCs w:val="16"/>
                  <w:color w:val="0E32E1"/>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E32E1"/>
            </w:tcBorders>
            <w:gridSpan w:val="6"/>
          </w:tcPr>
          <w:p>
            <w:pPr>
              <w:spacing w:after="0" w:line="142" w:lineRule="exact"/>
              <w:rPr>
                <w:rFonts w:ascii="Arial" w:cs="Arial" w:eastAsia="Arial" w:hAnsi="Arial"/>
                <w:sz w:val="16"/>
                <w:szCs w:val="16"/>
                <w:color w:val="0E32E1"/>
                <w:w w:val="98"/>
              </w:rPr>
            </w:pPr>
            <w:hyperlink r:id="rId60">
              <w:r>
                <w:rPr>
                  <w:rFonts w:ascii="Arial" w:cs="Arial" w:eastAsia="Arial" w:hAnsi="Arial"/>
                  <w:sz w:val="16"/>
                  <w:szCs w:val="16"/>
                  <w:color w:val="0E32E1"/>
                  <w:w w:val="98"/>
                </w:rPr>
                <w:t>Incorporation of Acuity Brands, Inc., dated as of January</w:t>
              </w:r>
            </w:hyperlink>
          </w:p>
        </w:tc>
        <w:tc>
          <w:tcPr>
            <w:tcW w:w="400" w:type="dxa"/>
            <w:vAlign w:val="bottom"/>
            <w:gridSpan w:val="8"/>
          </w:tcPr>
          <w:p>
            <w:pPr>
              <w:jc w:val="right"/>
              <w:ind w:right="20"/>
              <w:spacing w:after="0" w:line="142" w:lineRule="exact"/>
              <w:rPr>
                <w:rFonts w:ascii="Arial" w:cs="Arial" w:eastAsia="Arial" w:hAnsi="Arial"/>
                <w:sz w:val="16"/>
                <w:szCs w:val="16"/>
                <w:color w:val="0E32E1"/>
              </w:rPr>
            </w:pPr>
            <w:hyperlink r:id="rId60">
              <w:r>
                <w:rPr>
                  <w:rFonts w:ascii="Arial" w:cs="Arial" w:eastAsia="Arial" w:hAnsi="Arial"/>
                  <w:sz w:val="16"/>
                  <w:szCs w:val="16"/>
                  <w:color w:val="0E32E1"/>
                </w:rPr>
                <w:t>25,</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E32E1"/>
              <w:bottom w:val="single" w:sz="8" w:color="0E32E1"/>
            </w:tcBorders>
          </w:tcPr>
          <w:p>
            <w:pPr>
              <w:spacing w:after="0" w:line="142" w:lineRule="exact"/>
              <w:rPr>
                <w:rFonts w:ascii="Arial" w:cs="Arial" w:eastAsia="Arial" w:hAnsi="Arial"/>
                <w:sz w:val="16"/>
                <w:szCs w:val="16"/>
                <w:color w:val="0E32E1"/>
                <w:w w:val="99"/>
              </w:rPr>
            </w:pPr>
            <w:hyperlink r:id="rId60">
              <w:r>
                <w:rPr>
                  <w:rFonts w:ascii="Arial" w:cs="Arial" w:eastAsia="Arial" w:hAnsi="Arial"/>
                  <w:sz w:val="16"/>
                  <w:szCs w:val="16"/>
                  <w:color w:val="0E32E1"/>
                  <w:w w:val="99"/>
                </w:rPr>
                <w:t>2024.</w:t>
              </w:r>
            </w:hyperlink>
          </w:p>
        </w:tc>
        <w:tc>
          <w:tcPr>
            <w:tcW w:w="340" w:type="dxa"/>
            <w:vAlign w:val="bottom"/>
            <w:tcBorders>
              <w:top w:val="single" w:sz="8" w:color="0E32E1"/>
            </w:tcBorders>
          </w:tcPr>
          <w:p>
            <w:pPr>
              <w:spacing w:after="0"/>
              <w:rPr>
                <w:sz w:val="12"/>
                <w:szCs w:val="12"/>
                <w:color w:val="auto"/>
              </w:rPr>
            </w:pPr>
          </w:p>
        </w:tc>
        <w:tc>
          <w:tcPr>
            <w:tcW w:w="940" w:type="dxa"/>
            <w:vAlign w:val="bottom"/>
            <w:tcBorders>
              <w:top w:val="single" w:sz="8" w:color="0E32E1"/>
            </w:tcBorders>
          </w:tcPr>
          <w:p>
            <w:pPr>
              <w:spacing w:after="0"/>
              <w:rPr>
                <w:sz w:val="12"/>
                <w:szCs w:val="12"/>
                <w:color w:val="auto"/>
              </w:rPr>
            </w:pPr>
          </w:p>
        </w:tc>
        <w:tc>
          <w:tcPr>
            <w:tcW w:w="460" w:type="dxa"/>
            <w:vAlign w:val="bottom"/>
            <w:tcBorders>
              <w:top w:val="single" w:sz="8" w:color="0E32E1"/>
            </w:tcBorders>
          </w:tcPr>
          <w:p>
            <w:pPr>
              <w:spacing w:after="0"/>
              <w:rPr>
                <w:sz w:val="12"/>
                <w:szCs w:val="12"/>
                <w:color w:val="auto"/>
              </w:rPr>
            </w:pPr>
          </w:p>
        </w:tc>
        <w:tc>
          <w:tcPr>
            <w:tcW w:w="1280" w:type="dxa"/>
            <w:vAlign w:val="bottom"/>
            <w:tcBorders>
              <w:top w:val="single" w:sz="8" w:color="0E32E1"/>
            </w:tcBorders>
          </w:tcPr>
          <w:p>
            <w:pPr>
              <w:spacing w:after="0"/>
              <w:rPr>
                <w:sz w:val="12"/>
                <w:szCs w:val="12"/>
                <w:color w:val="auto"/>
              </w:rPr>
            </w:pPr>
          </w:p>
        </w:tc>
        <w:tc>
          <w:tcPr>
            <w:tcW w:w="500" w:type="dxa"/>
            <w:vAlign w:val="bottom"/>
            <w:tcBorders>
              <w:top w:val="single" w:sz="8" w:color="0E32E1"/>
            </w:tcBorders>
          </w:tcPr>
          <w:p>
            <w:pPr>
              <w:spacing w:after="0"/>
              <w:rPr>
                <w:sz w:val="12"/>
                <w:szCs w:val="12"/>
                <w:color w:val="auto"/>
              </w:rPr>
            </w:pPr>
          </w:p>
        </w:tc>
        <w:tc>
          <w:tcPr>
            <w:tcW w:w="120" w:type="dxa"/>
            <w:vAlign w:val="bottom"/>
            <w:tcBorders>
              <w:top w:val="single" w:sz="8" w:color="0E32E1"/>
            </w:tcBorders>
          </w:tcPr>
          <w:p>
            <w:pPr>
              <w:spacing w:after="0"/>
              <w:rPr>
                <w:sz w:val="12"/>
                <w:szCs w:val="12"/>
                <w:color w:val="auto"/>
              </w:rPr>
            </w:pPr>
          </w:p>
        </w:tc>
        <w:tc>
          <w:tcPr>
            <w:tcW w:w="80" w:type="dxa"/>
            <w:vAlign w:val="bottom"/>
            <w:tcBorders>
              <w:top w:val="single" w:sz="8" w:color="0E32E1"/>
            </w:tcBorders>
          </w:tcPr>
          <w:p>
            <w:pPr>
              <w:spacing w:after="0"/>
              <w:rPr>
                <w:sz w:val="12"/>
                <w:szCs w:val="12"/>
                <w:color w:val="auto"/>
              </w:rPr>
            </w:pPr>
          </w:p>
        </w:tc>
        <w:tc>
          <w:tcPr>
            <w:tcW w:w="6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6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340" w:type="dxa"/>
            <w:vAlign w:val="bottom"/>
          </w:tcPr>
          <w:p>
            <w:pPr>
              <w:spacing w:after="0"/>
              <w:rPr>
                <w:sz w:val="21"/>
                <w:szCs w:val="21"/>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4"/>
          </w:tcPr>
          <w:p>
            <w:pPr>
              <w:spacing w:after="0"/>
              <w:rPr>
                <w:rFonts w:ascii="Arial" w:cs="Arial" w:eastAsia="Arial" w:hAnsi="Arial"/>
                <w:sz w:val="16"/>
                <w:szCs w:val="16"/>
                <w:color w:val="0E32E1"/>
              </w:rPr>
            </w:pPr>
            <w:hyperlink r:id="rId61">
              <w:r>
                <w:rPr>
                  <w:rFonts w:ascii="Arial" w:cs="Arial" w:eastAsia="Arial" w:hAnsi="Arial"/>
                  <w:sz w:val="16"/>
                  <w:szCs w:val="16"/>
                  <w:color w:val="0E32E1"/>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Borders>
              <w:top w:val="single" w:sz="8" w:color="0E32E1"/>
              <w:bottom w:val="single" w:sz="8" w:color="0E32E1"/>
            </w:tcBorders>
            <w:gridSpan w:val="4"/>
          </w:tcPr>
          <w:p>
            <w:pPr>
              <w:spacing w:after="0" w:line="142" w:lineRule="exact"/>
              <w:rPr>
                <w:rFonts w:ascii="Arial" w:cs="Arial" w:eastAsia="Arial" w:hAnsi="Arial"/>
                <w:sz w:val="16"/>
                <w:szCs w:val="16"/>
                <w:color w:val="0E32E1"/>
              </w:rPr>
            </w:pPr>
            <w:hyperlink r:id="rId61">
              <w:r>
                <w:rPr>
                  <w:rFonts w:ascii="Arial" w:cs="Arial" w:eastAsia="Arial" w:hAnsi="Arial"/>
                  <w:sz w:val="16"/>
                  <w:szCs w:val="16"/>
                  <w:color w:val="0E32E1"/>
                </w:rPr>
                <w:t>dated as of January 25, 2024.</w:t>
              </w:r>
            </w:hyperlink>
          </w:p>
        </w:tc>
        <w:tc>
          <w:tcPr>
            <w:tcW w:w="2060" w:type="dxa"/>
            <w:vAlign w:val="bottom"/>
            <w:tcBorders>
              <w:top w:val="single" w:sz="8" w:color="0E32E1"/>
            </w:tcBorders>
            <w:gridSpan w:val="6"/>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tcBorders>
              <w:bottom w:val="single" w:sz="8" w:color="0E32E1"/>
            </w:tcBorders>
            <w:gridSpan w:val="14"/>
          </w:tcPr>
          <w:p>
            <w:pPr>
              <w:spacing w:after="0"/>
              <w:rPr>
                <w:rFonts w:ascii="Arial" w:cs="Arial" w:eastAsia="Arial" w:hAnsi="Arial"/>
                <w:sz w:val="16"/>
                <w:szCs w:val="16"/>
                <w:color w:val="0E32E1"/>
              </w:rPr>
            </w:pPr>
            <w:hyperlink r:id="rId62">
              <w:r>
                <w:rPr>
                  <w:rFonts w:ascii="Arial" w:cs="Arial" w:eastAsia="Arial" w:hAnsi="Arial"/>
                  <w:sz w:val="16"/>
                  <w:szCs w:val="16"/>
                  <w:color w:val="0E32E1"/>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4"/>
          </w:tcPr>
          <w:p>
            <w:pPr>
              <w:spacing w:after="0" w:line="142" w:lineRule="exact"/>
              <w:rPr>
                <w:rFonts w:ascii="Arial" w:cs="Arial" w:eastAsia="Arial" w:hAnsi="Arial"/>
                <w:sz w:val="16"/>
                <w:szCs w:val="16"/>
                <w:color w:val="0E32E1"/>
              </w:rPr>
            </w:pPr>
            <w:hyperlink r:id="rId62">
              <w:r>
                <w:rPr>
                  <w:rFonts w:ascii="Arial" w:cs="Arial" w:eastAsia="Arial" w:hAnsi="Arial"/>
                  <w:sz w:val="16"/>
                  <w:szCs w:val="16"/>
                  <w:color w:val="0E32E1"/>
                </w:rPr>
                <w:t>as of January 25, 2024.</w:t>
              </w:r>
            </w:hyperlink>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4"/>
          </w:tcPr>
          <w:p>
            <w:pPr>
              <w:spacing w:after="0"/>
              <w:rPr>
                <w:rFonts w:ascii="Arial" w:cs="Arial" w:eastAsia="Arial" w:hAnsi="Arial"/>
                <w:sz w:val="16"/>
                <w:szCs w:val="16"/>
                <w:color w:val="0000FF"/>
              </w:rPr>
            </w:pPr>
            <w:hyperlink r:id="rId63">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4"/>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6"/>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4"/>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3"/>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4"/>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6"/>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4"/>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4"/>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4"/>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4"/>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January 26, 2024,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3.4 of registrant’s Form 8-K as filed with the Commission on January 26, 2024, which is incorporated herein by reference.</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2023,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April 3,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April 3,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242"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February 29, 2024,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3,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February 29, 2024,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3,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0" Type="http://schemas.openxmlformats.org/officeDocument/2006/relationships/hyperlink" Target="https://www.sec.gov/Archives/edgar/data/1144215/000114421524000015/ayi-20240124xex31xcertific.htm" TargetMode="External"/><Relationship Id="rId61" Type="http://schemas.openxmlformats.org/officeDocument/2006/relationships/hyperlink" Target="https://www.sec.gov/Archives/edgar/data/1144215/000114421524000015/ayi-20240124xex32xrestated.htm" TargetMode="External"/><Relationship Id="rId62" Type="http://schemas.openxmlformats.org/officeDocument/2006/relationships/hyperlink" Target="https://www.sec.gov/Archives/edgar/data/1144215/000114421524000015/ayi-20240124xex34xamendeda.htm" TargetMode="External"/><Relationship Id="rId63" Type="http://schemas.openxmlformats.org/officeDocument/2006/relationships/hyperlink" Target="https://www.sec.gov/Archives/edgar/data/1144215/000114421523000090/ayi-2023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2024-04-03T06:20:52Z</dcterms:created>
  <dcterms:modified xsi:type="dcterms:W3CDTF">2024-04-03T06:20:52Z</dcterms:modified>
</cp:coreProperties>
</file>