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00" w:right="1380" w:hanging="2600"/>
        <w:spacing w:after="0" w:line="442" w:lineRule="auto"/>
        <w:tabs>
          <w:tab w:leader="none" w:pos="248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May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402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3280" w:type="dxa"/>
            <w:vAlign w:val="bottom"/>
          </w:tcPr>
          <w:p>
            <w:pPr>
              <w:jc w:val="center"/>
              <w:ind w:left="206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4020" w:type="dxa"/>
            <w:vAlign w:val="bottom"/>
          </w:tcPr>
          <w:p>
            <w:pPr>
              <w:jc w:val="center"/>
              <w:ind w:right="206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280" w:type="dxa"/>
            <w:vAlign w:val="bottom"/>
          </w:tcPr>
          <w:p>
            <w:pPr>
              <w:jc w:val="center"/>
              <w:ind w:left="206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4020" w:type="dxa"/>
            <w:vAlign w:val="bottom"/>
          </w:tcPr>
          <w:p>
            <w:pPr>
              <w:jc w:val="center"/>
              <w:ind w:right="2068"/>
              <w:spacing w:after="0"/>
              <w:rPr>
                <w:sz w:val="20"/>
                <w:szCs w:val="20"/>
                <w:color w:val="auto"/>
              </w:rPr>
            </w:pPr>
            <w:r>
              <w:rPr>
                <w:rFonts w:ascii="Arial" w:cs="Arial" w:eastAsia="Arial" w:hAnsi="Arial"/>
                <w:sz w:val="14"/>
                <w:szCs w:val="14"/>
                <w:i w:val="1"/>
                <w:iCs w:val="1"/>
                <w:color w:val="auto"/>
              </w:rPr>
              <w:t>incorporation or organization)</w:t>
            </w:r>
          </w:p>
        </w:tc>
        <w:tc>
          <w:tcPr>
            <w:tcW w:w="3280" w:type="dxa"/>
            <w:vAlign w:val="bottom"/>
          </w:tcPr>
          <w:p>
            <w:pPr>
              <w:jc w:val="center"/>
              <w:ind w:left="2088"/>
              <w:spacing w:after="0"/>
              <w:rPr>
                <w:sz w:val="20"/>
                <w:szCs w:val="20"/>
                <w:color w:val="auto"/>
              </w:rPr>
            </w:pPr>
            <w:r>
              <w:rPr>
                <w:rFonts w:ascii="Arial" w:cs="Arial" w:eastAsia="Arial" w:hAnsi="Arial"/>
                <w:sz w:val="14"/>
                <w:szCs w:val="14"/>
                <w:i w:val="1"/>
                <w:iCs w:val="1"/>
                <w:color w:val="auto"/>
              </w:rPr>
              <w:t>Identification No.)</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30,765,419 shares as of June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May 31, 2024 (Unaudited) and August 31, 2023</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months and nine months ended May 31, 2024</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82" w:lineRule="exact"/>
              <w:rPr>
                <w:sz w:val="20"/>
                <w:szCs w:val="20"/>
                <w:color w:val="auto"/>
              </w:rPr>
            </w:pPr>
            <w:r>
              <w:rPr>
                <w:rFonts w:ascii="Arial" w:cs="Arial" w:eastAsia="Arial" w:hAnsi="Arial"/>
                <w:sz w:val="16"/>
                <w:szCs w:val="16"/>
                <w:color w:val="0000FF"/>
              </w:rPr>
              <w:t>and May 31, 2023</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Nine months ended May 31, 2024 and May 31, 2023</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 and Divestitures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 Recognition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Other (Income)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20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May 31, 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2023</w:t>
            </w:r>
          </w:p>
        </w:tc>
      </w:tr>
      <w:tr>
        <w:trPr>
          <w:trHeight w:val="196"/>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$1.5 and $1.3, respectively</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555.3</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1,395.2</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297.6</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1,096.7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1,097.9</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495.6</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w:t>
            </w: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1,393.1</w:t>
            </w: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3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54.6 and 54.4 shares issued, respectively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1,103.4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1,066.8</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3,505.4</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23.9 and 23.4 shares,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(2,444.7)</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2,015.4</w:t>
            </w: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2024</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2024</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2023</w:t>
            </w: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2,941.8</w:t>
            </w: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1,671.3</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1,270.5</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899.9</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363.7</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100" w:type="dxa"/>
            <w:vAlign w:val="bottom"/>
          </w:tcPr>
          <w:p>
            <w:pPr>
              <w:ind w:left="140"/>
              <w:spacing w:after="0"/>
              <w:rPr>
                <w:sz w:val="20"/>
                <w:szCs w:val="20"/>
                <w:color w:val="auto"/>
              </w:rPr>
            </w:pPr>
            <w:r>
              <w:rPr>
                <w:rFonts w:ascii="Arial" w:cs="Arial" w:eastAsia="Arial" w:hAnsi="Arial"/>
                <w:sz w:val="16"/>
                <w:szCs w:val="16"/>
                <w:color w:val="auto"/>
              </w:rPr>
              <w:t>Interest (income) expense,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r>
      <w:tr>
        <w:trPr>
          <w:trHeight w:val="23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items,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r>
      <w:tr>
        <w:trPr>
          <w:trHeight w:val="21"/>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2024</w:t>
            </w:r>
          </w:p>
        </w:tc>
        <w:tc>
          <w:tcPr>
            <w:tcW w:w="2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 2023</w:t>
            </w: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Loss on disposal of property, plant, and equipment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Loss on sale of a business</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0" w:type="dxa"/>
            <w:vAlign w:val="bottom"/>
          </w:tcPr>
          <w:p>
            <w:pPr>
              <w:spacing w:after="0"/>
              <w:rPr>
                <w:sz w:val="1"/>
                <w:szCs w:val="1"/>
                <w:color w:val="auto"/>
              </w:rPr>
            </w:pPr>
          </w:p>
        </w:tc>
      </w:tr>
      <w:tr>
        <w:trPr>
          <w:trHeight w:val="208"/>
        </w:trPr>
        <w:tc>
          <w:tcPr>
            <w:tcW w:w="72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Repayments on credit facility, net of borrowings</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35"/>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ABL strategy is to increase product vitality, elevate service levels, use technology to improve and differentiate both our products and how we operate the business,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QUICKTRONIC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ABL's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an internally-managed truck fleet.</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ABL's product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ABL operates training and education facilities in several locations throughout North America and Europe designed to enhance the lighting knowledge of customers and industry professionals.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mission in our ISG business is to make spaces smarter, safer, and greener through our strategy of connecting the edge to the cloud. ISG offers building management solutions and building management software. ISG's building management solutions include products for controlling heating, ventilation, air conditioning (“HVAC”), lighting, shades, refrigeration, and building access that deliver end-to-end optimization of those building systems. ISG's intelligent building software enhances the occupant experience, improves building system management, and automates labor intensive tasks while delivering operational energy efficiency and cost reductions. Through a connected and converged building system architecture, ISG's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KE2 Therm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2024, our consolidated comprehensive income for the three and nine months ended May 31, 2024 and May 31, 2023, and our consolidated cash flows for the nine months ended May 31, 2024 and May 31, 2023.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2023 and notes thereto included in our Annual Report on Form 10-K filed with the Securities and Exchange Commission (the “SEC”) on October 26, 2023 (“Form 10-K”).</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Arize Assets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KE2 Therm</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expanded ISG's technology and controls product portfolio and reached new customers</w:t>
      </w:r>
      <w:r>
        <w:rPr>
          <w:rFonts w:ascii="Arial" w:cs="Arial" w:eastAsia="Arial" w:hAnsi="Arial"/>
          <w:sz w:val="18"/>
          <w:szCs w:val="18"/>
          <w:i w:val="1"/>
          <w:iCs w:val="1"/>
          <w:color w:val="auto"/>
        </w:rPr>
        <w:t>.</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accounted for the acquisition of KE2 Therm in accordance with Accounting Standards Codification (“ASC”) Topic 805</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We finalized the acquisition accounting for the KE2 Therm acquisition during the third quarter of fiscal 2024.</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material measurement period adjustments during fiscal 2024.</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Acquired assets and liabilities were recorded at their estimated acquisition-date fair values. Acquisition-related costs were expensed as incurred and were not material to our financial statements. The aggregate purchase price of this acquisition reflects goodwill within the ISG segment of $15.0 million, which is not deductible for tax purposes. The goodwill is comprised of expected benefits related to expanding ISG's technology and controls product portfolio as well as the trained workforce acquired with these businesses and expected synergies from combining KE2 Therm with our current businesses.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additionally recorded gross intangible assets of $18.0 million, which reflect estimates for definite-lived intangibles with an estimated weighted average useful life of approximately 15 years.</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operating results of KE2 Therm have been included in our financial statements since the date of acquisition and are not material to our consolidated financial condition, results of operations, or cash flows.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divestitures during the first nine months of fiscal 2024. The following discussion relates to fiscal year 2023 activities.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sold our Sunoptics prismatic skylights business in November 2022. We transferred assets with a total carrying value of $15.1 million, which primarily consisted of intangibles with definite lives, inventories, and allocated goodwill from the ABL segment. During the first quarter of fiscal 2023, we recognized a pre-tax loss on this sale of $11.2 million within </w:t>
      </w: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Additionally, we recorded impairment charges for certain retained assets as well as associate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severance and other costs related to this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See the</w:t>
      </w:r>
      <w:r>
        <w:rPr>
          <w:rFonts w:ascii="Arial" w:cs="Arial" w:eastAsia="Arial" w:hAnsi="Arial"/>
          <w:sz w:val="18"/>
          <w:szCs w:val="18"/>
          <w:i w:val="1"/>
          <w:iCs w:val="1"/>
          <w:color w:val="auto"/>
        </w:rPr>
        <w:t xml:space="preserve"> 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8"/>
          <w:szCs w:val="18"/>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Financial Accounting Standards Board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or our fiscal 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2023</w:t>
            </w:r>
          </w:p>
        </w:tc>
      </w:tr>
      <w:tr>
        <w:trPr>
          <w:trHeight w:val="19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recorded at fair value:</w:t>
            </w:r>
          </w:p>
        </w:tc>
        <w:tc>
          <w:tcPr>
            <w:tcW w:w="3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0" w:type="dxa"/>
            <w:vAlign w:val="bottom"/>
          </w:tcPr>
          <w:p>
            <w:pPr>
              <w:ind w:left="1680"/>
              <w:spacing w:after="0"/>
              <w:rPr>
                <w:sz w:val="20"/>
                <w:szCs w:val="20"/>
                <w:color w:val="auto"/>
              </w:rPr>
            </w:pPr>
            <w:r>
              <w:rPr>
                <w:rFonts w:ascii="Arial" w:cs="Arial" w:eastAsia="Arial" w:hAnsi="Arial"/>
                <w:sz w:val="16"/>
                <w:szCs w:val="16"/>
                <w:color w:val="auto"/>
              </w:rPr>
              <w:t>Level 1</w:t>
            </w:r>
          </w:p>
        </w:tc>
        <w:tc>
          <w:tcPr>
            <w:tcW w:w="1500" w:type="dxa"/>
            <w:vAlign w:val="bottom"/>
          </w:tcPr>
          <w:p>
            <w:pPr>
              <w:jc w:val="right"/>
              <w:ind w:right="13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699.0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397.9</w:t>
            </w: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financial instruments</w:t>
            </w:r>
          </w:p>
        </w:tc>
        <w:tc>
          <w:tcPr>
            <w:tcW w:w="320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Level 2</w:t>
            </w: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Assets in fair value hierarchy</w:t>
            </w:r>
          </w:p>
        </w:tc>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699.7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398.3</w:t>
            </w:r>
          </w:p>
        </w:tc>
      </w:tr>
      <w:tr>
        <w:trPr>
          <w:trHeight w:val="217"/>
        </w:trPr>
        <w:tc>
          <w:tcPr>
            <w:tcW w:w="39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perscript"/>
              </w:rPr>
              <w:t>(1)</w:t>
            </w:r>
          </w:p>
        </w:tc>
        <w:tc>
          <w:tcPr>
            <w:tcW w:w="32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3200" w:type="dxa"/>
            <w:vAlign w:val="bottom"/>
          </w:tcPr>
          <w:p>
            <w:pPr>
              <w:spacing w:after="0"/>
              <w:rPr>
                <w:sz w:val="18"/>
                <w:szCs w:val="18"/>
                <w:color w:val="auto"/>
              </w:rPr>
            </w:pPr>
          </w:p>
        </w:tc>
        <w:tc>
          <w:tcPr>
            <w:tcW w:w="150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706.9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405.5</w:t>
            </w:r>
          </w:p>
        </w:tc>
      </w:tr>
      <w:tr>
        <w:trPr>
          <w:trHeight w:val="20"/>
        </w:trPr>
        <w:tc>
          <w:tcPr>
            <w:tcW w:w="3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estimated fair value of our senior unsecured public notes was $416.0 million and $401.4 million as of May 31, 2024 and August 31, 2023, respectively.</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no short-term borrowings outstanding under our revolving credit facility as of May 31, 2024 and August 31, 2023. Such borrowings, if any,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further details on our outstanding borrowings.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2024</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and obsolete inventory primarily based on estimated future demand and current market conditions. A significant change in customer demand and/or market conditions could render certain inventory obsolete and could have a material adverse impact on our operating results in the period the change occurs.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2024</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210.9</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961.8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amortization expense for definite-lived intangible assets of $ 10.0 million and $9.2 million during the three months ended May 31, 2024 and 2023, respectively, and $29.9 million and $32.1 million during the nine months ended May 31, 2024 and 2023,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2023</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May 31, 2024</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1,013.7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2022</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Provisional amounts from acquired businesses</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Derecognitions for divestitures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May 31, 2023</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2023</w:t>
            </w:r>
          </w:p>
        </w:tc>
      </w:tr>
      <w:tr>
        <w:trPr>
          <w:trHeight w:val="209"/>
        </w:trPr>
        <w:tc>
          <w:tcPr>
            <w:tcW w:w="7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(1)</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50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174.7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r>
      <w:tr>
        <w:trPr>
          <w:trHeight w:val="20"/>
        </w:trPr>
        <w:tc>
          <w:tcPr>
            <w:tcW w:w="7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Refer to the Debt and Lines of Credit footnote of the Notes to Consolidated Financial Statements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Brands,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outstanding under the Revolving Credit Facility at May 31, 2024 and August 31, 2023.</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May 31, 2024, we had additional borrowing capacity under the Credit Agreement of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premiums.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2024,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 other than the items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can be no assurance that future warranty or recall costs will not exceed historical amounts, new technology products may not generate unexpected costs, and/or loss recoveries will not be fully collectible. If actual future warranty or recall costs exceed historical amounts or recoveries are no longer collectible, adjustments to our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accruals and/or receivables may be warranted, which could have a material adverse impact on our results of operations and cash flows.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Nine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May 31, 2024</w:t>
            </w:r>
          </w:p>
        </w:tc>
        <w:tc>
          <w:tcPr>
            <w:tcW w:w="3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May 31, 2023</w:t>
            </w:r>
          </w:p>
        </w:tc>
      </w:tr>
      <w:tr>
        <w:trPr>
          <w:trHeight w:val="208"/>
        </w:trPr>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center"/>
              <w:ind w:left="113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center"/>
              <w:ind w:left="1159"/>
              <w:spacing w:after="0"/>
              <w:rPr>
                <w:sz w:val="20"/>
                <w:szCs w:val="20"/>
                <w:color w:val="auto"/>
              </w:rPr>
            </w:pPr>
            <w:r>
              <w:rPr>
                <w:rFonts w:ascii="Arial" w:cs="Arial" w:eastAsia="Arial" w:hAnsi="Arial"/>
                <w:sz w:val="16"/>
                <w:szCs w:val="16"/>
                <w:color w:val="auto"/>
                <w:w w:val="96"/>
              </w:rPr>
              <w:t>27.3</w:t>
            </w:r>
          </w:p>
        </w:tc>
      </w:tr>
      <w:tr>
        <w:trPr>
          <w:trHeight w:val="215"/>
        </w:trPr>
        <w:tc>
          <w:tcPr>
            <w:tcW w:w="300" w:type="dxa"/>
            <w:vAlign w:val="bottom"/>
          </w:tcPr>
          <w:p>
            <w:pPr>
              <w:spacing w:after="0"/>
              <w:rPr>
                <w:sz w:val="18"/>
                <w:szCs w:val="18"/>
                <w:color w:val="auto"/>
              </w:rPr>
            </w:pPr>
          </w:p>
        </w:tc>
        <w:tc>
          <w:tcPr>
            <w:tcW w:w="1700" w:type="dxa"/>
            <w:vAlign w:val="bottom"/>
          </w:tcPr>
          <w:p>
            <w:pPr>
              <w:jc w:val="center"/>
              <w:ind w:left="113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ind w:left="1159"/>
              <w:spacing w:after="0"/>
              <w:rPr>
                <w:sz w:val="20"/>
                <w:szCs w:val="20"/>
                <w:color w:val="auto"/>
              </w:rPr>
            </w:pPr>
            <w:r>
              <w:rPr>
                <w:rFonts w:ascii="Arial" w:cs="Arial" w:eastAsia="Arial" w:hAnsi="Arial"/>
                <w:sz w:val="16"/>
                <w:szCs w:val="16"/>
                <w:color w:val="auto"/>
                <w:w w:val="96"/>
              </w:rPr>
              <w:t>36.1</w:t>
            </w:r>
          </w:p>
        </w:tc>
      </w:tr>
      <w:tr>
        <w:trPr>
          <w:trHeight w:val="217"/>
        </w:trPr>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(32.2)</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w w:val="96"/>
              </w:rPr>
              <w:t>31.2</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-316230</wp:posOffset>
            </wp:positionV>
            <wp:extent cx="71062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14, 2022, a former associate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On January 25, 2023, a second putative class action complaint was filed in the same venue by two other former associates.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complaints contained similar allegations and claimed that the Company failed to exercise reasonable caution in securing and safeguarding associate information. On that basis, the complaints asserted claims for negligence, breach of contract, breach of implied contract, unjust enrichment, breach of fiduciary duty, invasion of privacy, and breach of confidence. The plaintiffs sought class certification, monetary damages, certain injunctive relief regarding our data-security measures, additional credit-monitoring services, other equitable relief (including disgorgement), attorneys’ fees, costs, and pre- and post-judgment interest.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1, 2023, the parties reached a proposed settlement and release of all claims in the class action and executed a Settlement Agreement and Release. The State Court of Fulton County, Georgia approved the settlement on May 21, 2024 with an effective date of June 25, 2024. The impact of the settlement was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6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9"/>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29,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3,686.4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2,149.6</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May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2,254.7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Share activity and balances above are calculated using rounded numbers.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3,325.8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(2,299.5)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1,947.6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0" w:type="dxa"/>
            <w:vAlign w:val="bottom"/>
          </w:tcPr>
          <w:p>
            <w:pPr>
              <w:spacing w:after="0"/>
              <w:rPr>
                <w:sz w:val="1"/>
                <w:szCs w:val="1"/>
                <w:color w:val="auto"/>
              </w:rPr>
            </w:pPr>
          </w:p>
        </w:tc>
      </w:tr>
      <w:tr>
        <w:trPr>
          <w:trHeight w:val="174"/>
        </w:trPr>
        <w:tc>
          <w:tcPr>
            <w:tcW w:w="4580" w:type="dxa"/>
            <w:vAlign w:val="bottom"/>
          </w:tcPr>
          <w:p>
            <w:pPr>
              <w:ind w:left="20"/>
              <w:spacing w:after="0"/>
              <w:rPr>
                <w:sz w:val="20"/>
                <w:szCs w:val="20"/>
                <w:color w:val="auto"/>
              </w:rPr>
            </w:pPr>
            <w:r>
              <w:rPr>
                <w:rFonts w:ascii="Arial" w:cs="Arial" w:eastAsia="Arial" w:hAnsi="Arial"/>
                <w:sz w:val="13"/>
                <w:szCs w:val="13"/>
                <w:color w:val="auto"/>
              </w:rPr>
              <w:t>Balance, May 31,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3,426.6</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(2,394.2)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1,969.8</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Share activity and balances above are calculated using rounded numbers.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May 31, 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1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47.6</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service-type warranty and professional service fees collected prior to performing the related service as well as software licenses.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These services are expected to be performed within one year. Revenue recognized from beginning balances of contract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May 31, 2024 totaled $12.3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May 31, 2024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4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31, 2024</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2024</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r>
      <w:tr>
        <w:trPr>
          <w:trHeight w:val="19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637.1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1,874.6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1,995.0</w:t>
            </w:r>
          </w:p>
        </w:tc>
      </w:tr>
      <w:tr>
        <w:trPr>
          <w:trHeight w:val="217"/>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r>
      <w:tr>
        <w:trPr>
          <w:trHeight w:val="215"/>
        </w:trPr>
        <w:tc>
          <w:tcPr>
            <w:tcW w:w="378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148.3</w:t>
            </w:r>
          </w:p>
        </w:tc>
      </w:tr>
      <w:tr>
        <w:trPr>
          <w:trHeight w:val="217"/>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5"/>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2,778.6</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ISG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180.8</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2,941.8</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May 31, 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May 31, 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2024</w:t>
            </w:r>
          </w:p>
        </w:tc>
        <w:tc>
          <w:tcPr>
            <w:tcW w:w="26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2023</w:t>
            </w: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ind w:left="9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May 31, 2024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May 31, 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 2024</w:t>
            </w:r>
          </w:p>
        </w:tc>
        <w:tc>
          <w:tcPr>
            <w:tcW w:w="300" w:type="dxa"/>
            <w:vAlign w:val="bottom"/>
          </w:tcPr>
          <w:p>
            <w:pPr>
              <w:spacing w:after="0"/>
              <w:rPr>
                <w:sz w:val="18"/>
                <w:szCs w:val="18"/>
                <w:color w:val="auto"/>
              </w:rPr>
            </w:pPr>
          </w:p>
        </w:tc>
        <w:tc>
          <w:tcPr>
            <w:tcW w:w="1660" w:type="dxa"/>
            <w:vAlign w:val="bottom"/>
          </w:tcPr>
          <w:p>
            <w:pPr>
              <w:ind w:left="180"/>
              <w:spacing w:after="0"/>
              <w:rPr>
                <w:sz w:val="20"/>
                <w:szCs w:val="20"/>
                <w:color w:val="auto"/>
              </w:rPr>
            </w:pPr>
            <w:r>
              <w:rPr>
                <w:rFonts w:ascii="Arial" w:cs="Arial" w:eastAsia="Arial" w:hAnsi="Arial"/>
                <w:sz w:val="16"/>
                <w:szCs w:val="16"/>
                <w:b w:val="1"/>
                <w:bCs w:val="1"/>
                <w:color w:val="auto"/>
              </w:rPr>
              <w:t>May 31, 2023</w:t>
            </w: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54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3.4</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center"/>
              <w:ind w:left="1199"/>
              <w:spacing w:after="0"/>
              <w:rPr>
                <w:sz w:val="20"/>
                <w:szCs w:val="20"/>
                <w:color w:val="auto"/>
              </w:rPr>
            </w:pPr>
            <w:r>
              <w:rPr>
                <w:rFonts w:ascii="Arial" w:cs="Arial" w:eastAsia="Arial" w:hAnsi="Arial"/>
                <w:sz w:val="16"/>
                <w:szCs w:val="16"/>
                <w:color w:val="auto"/>
                <w:w w:val="98"/>
              </w:rPr>
              <w:t>6.7</w:t>
            </w: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rPr>
              <w:t>(7.1)</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5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660" w:type="dxa"/>
            <w:vAlign w:val="bottom"/>
          </w:tcPr>
          <w:p>
            <w:pPr>
              <w:jc w:val="center"/>
              <w:ind w:left="1199"/>
              <w:spacing w:after="0"/>
              <w:rPr>
                <w:sz w:val="20"/>
                <w:szCs w:val="20"/>
                <w:color w:val="auto"/>
              </w:rPr>
            </w:pPr>
            <w:r>
              <w:rPr>
                <w:rFonts w:ascii="Arial" w:cs="Arial" w:eastAsia="Arial" w:hAnsi="Arial"/>
                <w:sz w:val="16"/>
                <w:szCs w:val="16"/>
                <w:color w:val="auto"/>
                <w:w w:val="98"/>
              </w:rPr>
              <w:t>2.0</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2.3</w:t>
            </w:r>
          </w:p>
        </w:tc>
      </w:tr>
      <w:tr>
        <w:trPr>
          <w:trHeight w:val="210"/>
        </w:trPr>
        <w:tc>
          <w:tcPr>
            <w:tcW w:w="31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54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8"/>
              </w:rPr>
              <w:t>7.3</w:t>
            </w:r>
          </w:p>
        </w:tc>
      </w:tr>
      <w:tr>
        <w:trPr>
          <w:trHeight w:val="20"/>
        </w:trPr>
        <w:tc>
          <w:tcPr>
            <w:tcW w:w="3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special charges during the first nine months of fiscal 2024.</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quarter of fiscal 2023, we recognized $6.9 million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primarily for impairments of operating lease right-of-use assets for $4.3 million associated with our previously owned Sunoptics</w:t>
      </w:r>
      <w:r>
        <w:rPr>
          <w:rFonts w:ascii="Arial" w:cs="Arial" w:eastAsia="Arial" w:hAnsi="Arial"/>
          <w:sz w:val="18"/>
          <w:szCs w:val="18"/>
          <w:i w:val="1"/>
          <w:iCs w:val="1"/>
          <w:color w:val="auto"/>
        </w:rPr>
        <w:t xml:space="preserve"> </w:t>
      </w:r>
      <w:r>
        <w:rPr>
          <w:rFonts w:ascii="Arial" w:cs="Arial" w:eastAsia="Arial" w:hAnsi="Arial"/>
          <w:sz w:val="18"/>
          <w:szCs w:val="18"/>
          <w:color w:val="auto"/>
        </w:rPr>
        <w:t>prismatic skylights business that were not transferred in connection with the sale. We additionally recognized associate severance and other costs totaling $2.6 million primarily in connection with the Sunoptics divestiture.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other (income) expense, net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May 31, 2024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May 31, 2023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2024</w:t>
            </w:r>
          </w:p>
        </w:tc>
        <w:tc>
          <w:tcPr>
            <w:tcW w:w="240" w:type="dxa"/>
            <w:vAlign w:val="bottom"/>
          </w:tcPr>
          <w:p>
            <w:pPr>
              <w:spacing w:after="0"/>
              <w:rPr>
                <w:sz w:val="17"/>
                <w:szCs w:val="17"/>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May 31, 2023</w:t>
            </w:r>
          </w:p>
        </w:tc>
      </w:tr>
      <w:tr>
        <w:trPr>
          <w:trHeight w:val="18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expense, net:</w:t>
            </w: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98"/>
        </w:trPr>
        <w:tc>
          <w:tcPr>
            <w:tcW w:w="45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207"/>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(8.1)</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2"/>
        </w:trPr>
        <w:tc>
          <w:tcPr>
            <w:tcW w:w="4580" w:type="dxa"/>
            <w:vAlign w:val="bottom"/>
          </w:tcPr>
          <w:p>
            <w:pPr>
              <w:ind w:left="240"/>
              <w:spacing w:after="0"/>
              <w:rPr>
                <w:sz w:val="20"/>
                <w:szCs w:val="20"/>
                <w:color w:val="auto"/>
              </w:rPr>
            </w:pPr>
            <w:r>
              <w:rPr>
                <w:rFonts w:ascii="Arial" w:cs="Arial" w:eastAsia="Arial" w:hAnsi="Arial"/>
                <w:sz w:val="14"/>
                <w:szCs w:val="14"/>
                <w:color w:val="auto"/>
              </w:rPr>
              <w:t>Interest (income) expense, net</w:t>
            </w:r>
          </w:p>
        </w:tc>
        <w:tc>
          <w:tcPr>
            <w:tcW w:w="1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7"/>
              </w:rPr>
              <w:t>(1.8)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7"/>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(income) expense, net:</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8"/>
        </w:trPr>
        <w:tc>
          <w:tcPr>
            <w:tcW w:w="458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124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(gains) losses</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98"/>
        </w:trPr>
        <w:tc>
          <w:tcPr>
            <w:tcW w:w="4580" w:type="dxa"/>
            <w:vAlign w:val="bottom"/>
          </w:tcPr>
          <w:p>
            <w:pPr>
              <w:ind w:left="140"/>
              <w:spacing w:after="0"/>
              <w:rPr>
                <w:sz w:val="20"/>
                <w:szCs w:val="20"/>
                <w:color w:val="auto"/>
              </w:rPr>
            </w:pPr>
            <w:r>
              <w:rPr>
                <w:rFonts w:ascii="Arial" w:cs="Arial" w:eastAsia="Arial" w:hAnsi="Arial"/>
                <w:sz w:val="14"/>
                <w:szCs w:val="14"/>
                <w:color w:val="auto"/>
              </w:rPr>
              <w:t>Loss on sale of business</w:t>
            </w:r>
          </w:p>
        </w:tc>
        <w:tc>
          <w:tcPr>
            <w:tcW w:w="124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7"/>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items</w:t>
            </w: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(0.3)</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Miscellaneous (income) expense, net</w:t>
            </w: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(0.5)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2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24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2024</w:t>
            </w: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2023</w:t>
            </w: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2024</w:t>
            </w:r>
          </w:p>
        </w:tc>
        <w:tc>
          <w:tcPr>
            <w:tcW w:w="240" w:type="dxa"/>
            <w:vAlign w:val="bottom"/>
          </w:tcPr>
          <w:p>
            <w:pPr>
              <w:spacing w:after="0"/>
              <w:rPr>
                <w:sz w:val="17"/>
                <w:szCs w:val="17"/>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May 31, 2023</w:t>
            </w:r>
          </w:p>
        </w:tc>
        <w:tc>
          <w:tcPr>
            <w:tcW w:w="0" w:type="dxa"/>
            <w:vAlign w:val="bottom"/>
          </w:tcPr>
          <w:p>
            <w:pPr>
              <w:spacing w:after="0"/>
              <w:rPr>
                <w:sz w:val="1"/>
                <w:szCs w:val="1"/>
                <w:color w:val="auto"/>
              </w:rPr>
            </w:pPr>
          </w:p>
        </w:tc>
      </w:tr>
      <w:tr>
        <w:trPr>
          <w:trHeight w:val="222"/>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30.829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31.682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30.905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32.006</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0.354</w:t>
            </w:r>
          </w:p>
        </w:tc>
        <w:tc>
          <w:tcPr>
            <w:tcW w:w="0" w:type="dxa"/>
            <w:vAlign w:val="bottom"/>
          </w:tcPr>
          <w:p>
            <w:pPr>
              <w:spacing w:after="0"/>
              <w:rPr>
                <w:sz w:val="1"/>
                <w:szCs w:val="1"/>
                <w:color w:val="auto"/>
              </w:rPr>
            </w:pPr>
          </w:p>
        </w:tc>
      </w:tr>
      <w:tr>
        <w:trPr>
          <w:trHeight w:val="200"/>
        </w:trPr>
        <w:tc>
          <w:tcPr>
            <w:tcW w:w="458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31.477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32.011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32.360</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Basic earnings per share</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three and nine months ended May 31, 2024 and May 31, 2023.</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which are comprised of foreign currency translation and pension adjustments.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income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2023</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2022</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320" w:firstLine="8"/>
        <w:spacing w:after="0" w:line="291" w:lineRule="auto"/>
        <w:tabs>
          <w:tab w:leader="none" w:pos="122"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83" w:lineRule="exact"/>
        <w:rPr>
          <w:sz w:val="20"/>
          <w:szCs w:val="20"/>
          <w:color w:val="auto"/>
        </w:rPr>
      </w:pPr>
    </w:p>
    <w:p>
      <w:pPr>
        <w:ind w:right="7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2024</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2023</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2024</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2023</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and income tax expense are not allocated to segments.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no special charges during the three and nine months ended May 31, 2024. We recorded no special charges during the three months ended May 31, 2023. Special charges during the nine months ended May 31, 2023 of $6.9 million pertained to the ABL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4300" w:type="dxa"/>
            <w:vAlign w:val="bottom"/>
            <w:gridSpan w:val="6"/>
          </w:tcPr>
          <w:p>
            <w:pPr>
              <w:ind w:left="13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4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26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2024</w:t>
            </w: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31, 2023</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31, 2024</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r>
      <w:tr>
        <w:trPr>
          <w:trHeight w:val="196"/>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ABL</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898.5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940.7</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2,618.4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2,778.6</w:t>
            </w:r>
          </w:p>
        </w:tc>
      </w:tr>
      <w:tr>
        <w:trPr>
          <w:trHeight w:val="21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ISG</w:t>
            </w:r>
          </w:p>
        </w:tc>
        <w:tc>
          <w:tcPr>
            <w:tcW w:w="1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r>
      <w:tr>
        <w:trPr>
          <w:trHeight w:val="216"/>
        </w:trPr>
        <w:tc>
          <w:tcPr>
            <w:tcW w:w="32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1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2,941.8</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1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ABL</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151.5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391.7</w:t>
            </w:r>
          </w:p>
        </w:tc>
      </w:tr>
      <w:tr>
        <w:trPr>
          <w:trHeight w:val="21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ISG</w:t>
            </w:r>
          </w:p>
        </w:tc>
        <w:tc>
          <w:tcPr>
            <w:tcW w:w="1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5"/>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amounts</w:t>
            </w:r>
          </w:p>
        </w:tc>
        <w:tc>
          <w:tcPr>
            <w:tcW w:w="1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r>
      <w:tr>
        <w:trPr>
          <w:trHeight w:val="23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for the periods presented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50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May 31, 2024</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2024</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2023</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profit - ABL</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391.7</w:t>
            </w: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Operating profit - ISG</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Unallocated corporate amounts</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09"/>
        </w:trPr>
        <w:tc>
          <w:tcPr>
            <w:tcW w:w="3440" w:type="dxa"/>
            <w:vAlign w:val="bottom"/>
          </w:tcPr>
          <w:p>
            <w:pPr>
              <w:spacing w:after="0"/>
              <w:rPr>
                <w:sz w:val="20"/>
                <w:szCs w:val="20"/>
                <w:color w:val="auto"/>
              </w:rPr>
            </w:pPr>
            <w:r>
              <w:rPr>
                <w:rFonts w:ascii="Arial" w:cs="Arial" w:eastAsia="Arial" w:hAnsi="Arial"/>
                <w:sz w:val="16"/>
                <w:szCs w:val="16"/>
                <w:color w:val="auto"/>
              </w:rPr>
              <w:t>Operating profit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363.7</w:t>
            </w: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3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Miscellaneous (income) expense, net</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35"/>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May 31, 2024 and for the three and nine months ended May 31, 2024 and May 31, 2023.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Brands, Inc.'s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31, 2023, filed with the Securities and Exchange Commission (the “SEC”) on October 26, 2023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terms and to maintain compliance with covenants contained in our financing agreements.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May 31, 2024 was $699.0 million, an increase of $301.1 million from August 31, 2023. Cash generated from operating activities and cash on hand were used during the current year to fund our capital allocation priorities as discussed below.</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$ 445.1 million of cash flows from operating activities during the nine months ended May 31, 2024, compared to $471.5 million in the prior-year period, a decrease of $26.4 million. This decrease was due primarily to more favorable operating working capital reductions in fiscal 2023 as well as the timing of income tax payments in fiscal 2024, partially offset by higher pre-tax income in fiscal 2024.</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as well as the terms of our $600.0 million five-year unsecured revolving credit facility (“Revolving Credit Facility”).</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May 31, 2024, our outstanding debt balance was $496.0 million, which consisted solely of our Unsecured Notes, compared to our cash position of $699.0 million. We were in compliance with all covenants under our financing arrangements as of May 31, 2024.</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May 31, 2024, we had additional borrowing capacity under the Revolving Credit Facility of $596.2 million under the most restrictive covenant in effect at the time, which represents the full amount of the Revolving Credit Facility less outstanding letters of credit of $3.8 million issued under the facility. As of May 31, 2024, our cash on hand combined with the additional borrowing capacity under the Revolving Credit Facility totaled $1.3 billion.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2024</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326.4</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464.2</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5"/>
                <w:szCs w:val="15"/>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Nine Months Ended May 31,</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9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2,307.0</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1,063.0</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$41.0 million and $48.0 million in property, plant, and equipment during the nine months ended May 31, 2024 and May 31, 2023, respectively. We invested primarily in new and enhanced information technology, equipment, tooling, and facility improvements in fiscal 2024 to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Arize Assets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KE2 Therm</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digital controls to promote safety, efficiency, and reliability, while delivering cost savings to the customer. This acquisition expanded ISG's technology and controls product portfolio and reached new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Divestitures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divestitures during the first nine months of fiscal 2024. We sold our Sunoptics prismatic skylights business in the first fiscal quarter of 2023 and recognized a pre-tax loss of $11.2 million on the sale of this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$13.4 million ($0.43 per share) and $12.7 million ($0.39 per share) during the nine months ended May 31, 2024 and May 31, 2023,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nine months of fiscal 2024 and 2023, we repurchased 0.5 million and 1.3 million shares of our outstanding common stock for $88.3 million and $218.8 million, respectively. Total cash outflows for share repurchases during the nine months ended May 31, 2024 and May 31, 2023 were $88.7 million and $216.2 million, respectively. We expect to repurchase shares on an opportunistic basis subject to various factors including stock price, Company performance, market conditions, and other possible uses of cash. On January 25, 2024, the Board approved an increase of three million shares to the maximum number of shares that may yet be repurchased under the share repurchase program. As of May 31, 2024, 3.8 million shares remained available within the program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2024 Compared with Third Quarter of Fiscal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2024 and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2023 (in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2024</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2023</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553.0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46.7 %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44.7 %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200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306.9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304.0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70</w:t>
            </w:r>
          </w:p>
        </w:tc>
        <w:tc>
          <w:tcPr>
            <w:tcW w:w="1740" w:type="dxa"/>
            <w:vAlign w:val="bottom"/>
            <w:gridSpan w:val="2"/>
            <w:shd w:val="clear" w:color="auto" w:fill="CCEEFF"/>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expense, net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(146.2) %</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Miscellaneous (income) expense, net</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(income)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(150.0) %</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130</w:t>
            </w:r>
          </w:p>
        </w:tc>
        <w:tc>
          <w:tcPr>
            <w:tcW w:w="1740" w:type="dxa"/>
            <w:vAlign w:val="bottom"/>
            <w:gridSpan w:val="2"/>
            <w:shd w:val="clear" w:color="auto" w:fill="CCEEFF"/>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third quarter of fiscal 2024 decreased $ 32.2 million, or 3.2%, to $968.1 million, compared with $1.0 billion in the prior-year period due to a decline in sales within our ABL segment, partially offset by higher sales within our ISG segment. Acquisitions did not have a meaningful impact on consolidated net sales for the third quarter of fiscal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third quarter of fiscal 2024 increased $4.9 million, or 1.1%, to $452.2 million, compared with $447.3 million in the prior-year period, and gross profit margin increased 200 basis points to 46.7% from 44.7% compared with the prior-year period. Our gross profit increased compared with the prior period due primarily to favorable material costs, which outpaced the impact of lower net sales and higher production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distribution, and administrative expenses (“SD&amp;A”) expenses for the third quarter of fiscal 2024 were $306.9 million, compared with $304.0 million in the prior-year period, an increase of $2.9 million, or 1.0%. The increase in SD&amp;A expenses was due primarily to higher employee-related costs, partially offset by lower commissions and freight costs associated with the decline in net sales.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third quarter of fiscal 2024 was $145.3 million (15.0% of net sales), compared with $143.3 million (14.3% of net sales) for the prior-year period, an increase of $2.0 million, or 1.4%. The increase in operating profit was due primarily to the increase in gross profit,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income of $1.8 million and net interest expense of $3.9 million for the third quarter of fiscal 2024 and 2023, respectively. Our fiscal 2024 net interest income reflects higher interest bearing cash and cash equivalent balances, higher investing rates on those balances, and lower average short-term borrowings outstanding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(Income) Expense, net</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Miscellaneous (income)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reported net miscellaneous income of $0.5 million and net miscellaneous expense of $0.7 million for the third quarter of fiscal 2024 and 2023, respectively. This year-over-year change is due primarily to the impact of foreign currency-related items compared to the prior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income tax rate was 22.8% and 24.3% for the third quarter of fiscal 2024 and 2023, respectively. This decrease was due primarily to higher discrete items for research and development tax credits as well as excess tax benefits on stock compensation in the third quarter of fiscal 2024. We recognized excess tax benefits of $0.2 million related to share-based payment awards for the third quarter of fiscal 2024. We recognized no excess tax benefits related to share-based payment awards for the third quarter of fiscal 2023.</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the third quarter of fiscal 2024 increased $8.9 million, or 8.5%, to $113.9 million, from $105.0 million reported for the prior-year period. Diluted earnings per share for the third quarter of fiscal 2024 increased $0.34, or 10.4%, to $3.62 compared with diluted earnings per share of $3.28 for the prior-year period. This increase reflects higher net income as well as lower outstanding diluted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 May 31, 2024 and May 31, 2023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2024</w:t>
            </w: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2023</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898.5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940.7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80" w:type="dxa"/>
            <w:vAlign w:val="bottom"/>
          </w:tcPr>
          <w:p>
            <w:pPr>
              <w:jc w:val="right"/>
              <w:ind w:right="96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6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third quarter of fiscal 2024 decreased $42.2 million, or 4.5%, to $898.5 million, compared with $940.7 million in the prior-year period. Sales within the ABL segment decreased due to lower net sales across all channels, except for corporate accounts. Net sales in the third quarter of 2023 benefited from working through an elevated backlog.</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ABL was $151.5 million (16.9% of ABL net sales) for the third quarter of fiscal 2024, compared with $150.0 million (15.9% of ABL net sales) in the prior-year period, an increase of $1.5 million. The increase in operating profit was due to improved profitability on lower sales as well as lower sales-related costs, such as commissions and freight to customers.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ISG net sales for the third quarter of fiscal 2024 increased $9.9 million, or 15.0%, to $ 75.7 million, compared with $65.8 million in the prior-year period. The increase in sales within the ISG segment is attributed to higher sales of Distech products as well as the acquisition of KE2 Therm. ISG operating profit was $12.5 million for the third quarter of fiscal 2024, compared with $8.6 million in the prior-year period, an increase of $3.9 million. This increase was due primarily to contributions from higher net sales, partially offset by higher employee-related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2024 Compared with First Nine Months of Fiscal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2024 and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2023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2024</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2023</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1,515.7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1,671.3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1,270.5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46.0 %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43.2 %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280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363.7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14.1 %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40"/>
              <w:spacing w:after="0"/>
              <w:rPr>
                <w:sz w:val="20"/>
                <w:szCs w:val="20"/>
                <w:color w:val="auto"/>
              </w:rPr>
            </w:pPr>
            <w:r>
              <w:rPr>
                <w:rFonts w:ascii="Arial" w:cs="Arial" w:eastAsia="Arial" w:hAnsi="Arial"/>
                <w:sz w:val="14"/>
                <w:szCs w:val="14"/>
                <w:color w:val="auto"/>
              </w:rPr>
              <w:t>Interest (income) expense, net</w:t>
            </w:r>
          </w:p>
        </w:tc>
        <w:tc>
          <w:tcPr>
            <w:tcW w:w="1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14.1 %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250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23.3 %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22.9 %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nine months ended May 31, 2024 decreased $133.1 million, or 4.5%, to $2.81 billion compared with $2.94 billion in the prior-year period due to a decline in sales within our ABL segment, partially offset by higher sales within our ISG segment. Acquisitions and divestitures did not have meaningful impacts on consolidated net sales for the first nine months of fiscal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nine months ended May 31, 2024 increased $22.5 million, or 1.8%, to $1.29 billion compared with $1.27 billion million in the prior-year period. Gross profit margin increased 280 basis points to 46.0% for the nine months ended May 31, 2024 compared with 43.2% in the prior-year period. Our gross profit increased compared with the prior period due primarily to favorable material and import costs, which outpaced the impact of lower net sales and higher production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SD&amp;A expenses for the nine months ended May 31, 2024 were $896.7 million compared with $899.9 million in the prior-year period, a decrease of $3.2 million, or 0.4%. The decrease in SD&amp;A expenses was due primarily to lower commissions and freight costs associated with the decline in net sales as well as lower amortization expense, partially offset by increased employee-related costs.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Amortization expense of definite-lived intangibles decreased in fiscal 2024 as we recorded $4.0 million of accelerated amortization in fiscal 2023 for intangibles associated with certain brands that were discontinued.</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recognized special charges of $6.9 million during the first nine months of fiscal 2023. Please refer to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further details.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first nine months of fiscal 2024 was $396.3 million (14.1% of net sales) compared with $363.7 million (12.4% of net sales) for the prior-year period, an increase of $32.6 million, or 9.0%. The increase in operating profit was due primarily to higher gross profit, lower SD&amp;A expenses, and nonrecurring special charges in the first quarter of fiscal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income of $1.0 million and net interest expense of $16.2 million for the nine months ended May 31, 2024 and May 31, 2023, respectively. The decrease in net interest expense was due to higher interest bearing cash and cash equivalent balances, higher investing rates on those balances, and lower average short-term borrowings outstanding compared to the prior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expense of $1.2 million for the nine months ended May 31, 2024 and $6.1 million for the nine months ended May 31, 2023. This year-over-year decrease was due primarily to the recognition of an $11.2 million loss on the sale of our Sunoptics prismatic skylights business in fiscal 2023, partially offset by the impact of foreign currency-related items compared to the prior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income tax rate was 23.3% and 22.9% for the nine months ended May 31, 2024 and May 31, 2023, respectively. This increase was due primarily to the recognition of higher favorable discrete items in the prior year. We recognized excess tax benefits of $1.8 million and $1.7 million related to share-based payment awards during the nine months ended May 31, 2024 and May 31, 2023, respectively.</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the first nine months of fiscal 2024 increased $40.6 million, or 15.4%, to $303.7 million from $263.1 million reported for the prior-year period. Diluted earnings per share for the nine months ended May 31, 2024 increased $1.54 to $9.67 compared with diluted earnings per share of $8.13 for the prior-year period. This increase reflects higher net income as well as lower outstanding diluted shares.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ISG, for the nine months ended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and May 31, 2023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May 31, 2024</w:t>
            </w: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2023</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2,618.4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2,778.6</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ABL net sales for the nine months ended May 31, 2024 decreased 5.8% compared with the prior-year period due to lower net sales across all channels. Net sales in fiscal 2023 benefited from working through an elevated backlog.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ABL was $421.3 million (16.1% of ABL net sales) for the nine months ended May 31, 2024 compared to $391.7 million (14.1% of ABL net sales) in the prior-year period, an increase of $29.6 million. The increase in operating profit was due primarily to improved profitability on lower sales as well as lower sales-related costs, such as commissions and freight to customers.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first nine months of fiscal 2023, we recorded within ABL $6.9 million of special charges and $4.0 million of accelerated amortization expense for intangibles associated with certain brands that were discontinued.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nine months ended May 31, 2024 increased 15.0% compared with the prior-year period primarily driven by the acquisition of KE2 Therm as well as higher demand, price increases, and favorable product mix for Distech products. ISG operating profit was $26.9 million for the nine months ended May 31, 2024 compared with $22.7 million in the prior-year period, an increase of $4.2 million. This increase was due primarily to contributions from higher sales, partially offset by increased employee-related costs and professional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events or results to differ materially from our historical experience and management’s present expectations or projections. These risks and uncertainties are discussed in our filings with the U.S. Securities and Exchange Commission, including our most recent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rates, foreign exchange rates, and commodity prices.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no material changes to our exposure from market risks from those disclosed in </w:t>
      </w:r>
      <w:r>
        <w:rPr>
          <w:rFonts w:ascii="Arial" w:cs="Arial" w:eastAsia="Arial" w:hAnsi="Arial"/>
          <w:sz w:val="18"/>
          <w:szCs w:val="18"/>
          <w:i w:val="1"/>
          <w:iCs w:val="1"/>
          <w:color w:val="auto"/>
        </w:rPr>
        <w:t>Part II, 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2024.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2024.</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nine months ended May 31, 2024,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May 31, 2024, the maximum number of shares that may yet be repurchased under the share repurchase program authorized by the Board equaled 3.8 million shares. The following table reflects activity related to equity securities we repurchased during the quarter ended May 31, 2024:</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3/1/2024 through 3/31/2024</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19,152</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263.34</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19,152</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3,836,008</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4/1/2024 through 4/30/2024</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28,355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255.89</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28,355</w:t>
            </w:r>
          </w:p>
        </w:tc>
        <w:tc>
          <w:tcPr>
            <w:tcW w:w="1940" w:type="dxa"/>
            <w:vAlign w:val="bottom"/>
          </w:tcPr>
          <w:p>
            <w:pPr>
              <w:jc w:val="right"/>
              <w:spacing w:after="0"/>
              <w:rPr>
                <w:sz w:val="20"/>
                <w:szCs w:val="20"/>
                <w:color w:val="auto"/>
              </w:rPr>
            </w:pPr>
            <w:r>
              <w:rPr>
                <w:rFonts w:ascii="Arial" w:cs="Arial" w:eastAsia="Arial" w:hAnsi="Arial"/>
                <w:sz w:val="16"/>
                <w:szCs w:val="16"/>
                <w:color w:val="auto"/>
              </w:rPr>
              <w:t>3,807,653</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5/1/2024 through 5/31/2024</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32,016</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261.81</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32,016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3,775,637</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79,523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260.07</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79,523</w:t>
            </w:r>
          </w:p>
        </w:tc>
        <w:tc>
          <w:tcPr>
            <w:tcW w:w="1940" w:type="dxa"/>
            <w:vAlign w:val="bottom"/>
          </w:tcPr>
          <w:p>
            <w:pPr>
              <w:jc w:val="right"/>
              <w:spacing w:after="0"/>
              <w:rPr>
                <w:sz w:val="20"/>
                <w:szCs w:val="20"/>
                <w:color w:val="auto"/>
              </w:rPr>
            </w:pPr>
            <w:r>
              <w:rPr>
                <w:rFonts w:ascii="Arial" w:cs="Arial" w:eastAsia="Arial" w:hAnsi="Arial"/>
                <w:sz w:val="16"/>
                <w:szCs w:val="16"/>
                <w:color w:val="auto"/>
              </w:rPr>
              <w:t>3,775,637</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third quarter of fiscal 2024,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gridSpan w:val="10"/>
          </w:tcPr>
          <w:p>
            <w:pPr>
              <w:ind w:left="32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4"/>
          </w:tcPr>
          <w:p>
            <w:pPr>
              <w:spacing w:after="0"/>
              <w:rPr>
                <w:rFonts w:ascii="Arial" w:cs="Arial" w:eastAsia="Arial" w:hAnsi="Arial"/>
                <w:sz w:val="16"/>
                <w:szCs w:val="16"/>
                <w:color w:val="0E32E1"/>
              </w:rPr>
            </w:pPr>
            <w:hyperlink r:id="rId60">
              <w:r>
                <w:rPr>
                  <w:rFonts w:ascii="Arial" w:cs="Arial" w:eastAsia="Arial" w:hAnsi="Arial"/>
                  <w:sz w:val="16"/>
                  <w:szCs w:val="16"/>
                  <w:color w:val="0E32E1"/>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E32E1"/>
            </w:tcBorders>
            <w:gridSpan w:val="6"/>
          </w:tcPr>
          <w:p>
            <w:pPr>
              <w:spacing w:after="0" w:line="142" w:lineRule="exact"/>
              <w:rPr>
                <w:rFonts w:ascii="Arial" w:cs="Arial" w:eastAsia="Arial" w:hAnsi="Arial"/>
                <w:sz w:val="16"/>
                <w:szCs w:val="16"/>
                <w:color w:val="0E32E1"/>
                <w:w w:val="98"/>
              </w:rPr>
            </w:pPr>
            <w:hyperlink r:id="rId60">
              <w:r>
                <w:rPr>
                  <w:rFonts w:ascii="Arial" w:cs="Arial" w:eastAsia="Arial" w:hAnsi="Arial"/>
                  <w:sz w:val="16"/>
                  <w:szCs w:val="16"/>
                  <w:color w:val="0E32E1"/>
                  <w:w w:val="98"/>
                </w:rPr>
                <w:t>Incorporation of Acuity Brands, Inc., dated as of January</w:t>
              </w:r>
            </w:hyperlink>
          </w:p>
        </w:tc>
        <w:tc>
          <w:tcPr>
            <w:tcW w:w="400" w:type="dxa"/>
            <w:vAlign w:val="bottom"/>
            <w:gridSpan w:val="8"/>
          </w:tcPr>
          <w:p>
            <w:pPr>
              <w:jc w:val="right"/>
              <w:ind w:right="20"/>
              <w:spacing w:after="0" w:line="142" w:lineRule="exact"/>
              <w:rPr>
                <w:rFonts w:ascii="Arial" w:cs="Arial" w:eastAsia="Arial" w:hAnsi="Arial"/>
                <w:sz w:val="16"/>
                <w:szCs w:val="16"/>
                <w:color w:val="0E32E1"/>
              </w:rPr>
            </w:pPr>
            <w:hyperlink r:id="rId60">
              <w:r>
                <w:rPr>
                  <w:rFonts w:ascii="Arial" w:cs="Arial" w:eastAsia="Arial" w:hAnsi="Arial"/>
                  <w:sz w:val="16"/>
                  <w:szCs w:val="16"/>
                  <w:color w:val="0E32E1"/>
                </w:rPr>
                <w:t>25,</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E32E1"/>
              <w:bottom w:val="single" w:sz="8" w:color="0E32E1"/>
            </w:tcBorders>
          </w:tcPr>
          <w:p>
            <w:pPr>
              <w:spacing w:after="0" w:line="142" w:lineRule="exact"/>
              <w:rPr>
                <w:rFonts w:ascii="Arial" w:cs="Arial" w:eastAsia="Arial" w:hAnsi="Arial"/>
                <w:sz w:val="16"/>
                <w:szCs w:val="16"/>
                <w:color w:val="0E32E1"/>
                <w:w w:val="99"/>
              </w:rPr>
            </w:pPr>
            <w:hyperlink r:id="rId60">
              <w:r>
                <w:rPr>
                  <w:rFonts w:ascii="Arial" w:cs="Arial" w:eastAsia="Arial" w:hAnsi="Arial"/>
                  <w:sz w:val="16"/>
                  <w:szCs w:val="16"/>
                  <w:color w:val="0E32E1"/>
                  <w:w w:val="99"/>
                </w:rPr>
                <w:t>2024.</w:t>
              </w:r>
            </w:hyperlink>
          </w:p>
        </w:tc>
        <w:tc>
          <w:tcPr>
            <w:tcW w:w="340" w:type="dxa"/>
            <w:vAlign w:val="bottom"/>
            <w:tcBorders>
              <w:top w:val="single" w:sz="8" w:color="0E32E1"/>
            </w:tcBorders>
          </w:tcPr>
          <w:p>
            <w:pPr>
              <w:spacing w:after="0"/>
              <w:rPr>
                <w:sz w:val="12"/>
                <w:szCs w:val="12"/>
                <w:color w:val="auto"/>
              </w:rPr>
            </w:pPr>
          </w:p>
        </w:tc>
        <w:tc>
          <w:tcPr>
            <w:tcW w:w="940" w:type="dxa"/>
            <w:vAlign w:val="bottom"/>
            <w:tcBorders>
              <w:top w:val="single" w:sz="8" w:color="0E32E1"/>
            </w:tcBorders>
          </w:tcPr>
          <w:p>
            <w:pPr>
              <w:spacing w:after="0"/>
              <w:rPr>
                <w:sz w:val="12"/>
                <w:szCs w:val="12"/>
                <w:color w:val="auto"/>
              </w:rPr>
            </w:pPr>
          </w:p>
        </w:tc>
        <w:tc>
          <w:tcPr>
            <w:tcW w:w="460" w:type="dxa"/>
            <w:vAlign w:val="bottom"/>
            <w:tcBorders>
              <w:top w:val="single" w:sz="8" w:color="0E32E1"/>
            </w:tcBorders>
          </w:tcPr>
          <w:p>
            <w:pPr>
              <w:spacing w:after="0"/>
              <w:rPr>
                <w:sz w:val="12"/>
                <w:szCs w:val="12"/>
                <w:color w:val="auto"/>
              </w:rPr>
            </w:pPr>
          </w:p>
        </w:tc>
        <w:tc>
          <w:tcPr>
            <w:tcW w:w="1280" w:type="dxa"/>
            <w:vAlign w:val="bottom"/>
            <w:tcBorders>
              <w:top w:val="single" w:sz="8" w:color="0E32E1"/>
            </w:tcBorders>
          </w:tcPr>
          <w:p>
            <w:pPr>
              <w:spacing w:after="0"/>
              <w:rPr>
                <w:sz w:val="12"/>
                <w:szCs w:val="12"/>
                <w:color w:val="auto"/>
              </w:rPr>
            </w:pPr>
          </w:p>
        </w:tc>
        <w:tc>
          <w:tcPr>
            <w:tcW w:w="500" w:type="dxa"/>
            <w:vAlign w:val="bottom"/>
            <w:tcBorders>
              <w:top w:val="single" w:sz="8" w:color="0E32E1"/>
            </w:tcBorders>
          </w:tcPr>
          <w:p>
            <w:pPr>
              <w:spacing w:after="0"/>
              <w:rPr>
                <w:sz w:val="12"/>
                <w:szCs w:val="12"/>
                <w:color w:val="auto"/>
              </w:rPr>
            </w:pPr>
          </w:p>
        </w:tc>
        <w:tc>
          <w:tcPr>
            <w:tcW w:w="120" w:type="dxa"/>
            <w:vAlign w:val="bottom"/>
            <w:tcBorders>
              <w:top w:val="single" w:sz="8" w:color="0E32E1"/>
            </w:tcBorders>
          </w:tcPr>
          <w:p>
            <w:pPr>
              <w:spacing w:after="0"/>
              <w:rPr>
                <w:sz w:val="12"/>
                <w:szCs w:val="12"/>
                <w:color w:val="auto"/>
              </w:rPr>
            </w:pPr>
          </w:p>
        </w:tc>
        <w:tc>
          <w:tcPr>
            <w:tcW w:w="80" w:type="dxa"/>
            <w:vAlign w:val="bottom"/>
            <w:tcBorders>
              <w:top w:val="single" w:sz="8" w:color="0E32E1"/>
            </w:tcBorders>
          </w:tcPr>
          <w:p>
            <w:pPr>
              <w:spacing w:after="0"/>
              <w:rPr>
                <w:sz w:val="12"/>
                <w:szCs w:val="12"/>
                <w:color w:val="auto"/>
              </w:rPr>
            </w:pPr>
          </w:p>
        </w:tc>
        <w:tc>
          <w:tcPr>
            <w:tcW w:w="6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6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340" w:type="dxa"/>
            <w:vAlign w:val="bottom"/>
          </w:tcPr>
          <w:p>
            <w:pPr>
              <w:spacing w:after="0"/>
              <w:rPr>
                <w:sz w:val="21"/>
                <w:szCs w:val="21"/>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4"/>
          </w:tcPr>
          <w:p>
            <w:pPr>
              <w:spacing w:after="0"/>
              <w:rPr>
                <w:rFonts w:ascii="Arial" w:cs="Arial" w:eastAsia="Arial" w:hAnsi="Arial"/>
                <w:sz w:val="16"/>
                <w:szCs w:val="16"/>
                <w:color w:val="0E32E1"/>
              </w:rPr>
            </w:pPr>
            <w:hyperlink r:id="rId61">
              <w:r>
                <w:rPr>
                  <w:rFonts w:ascii="Arial" w:cs="Arial" w:eastAsia="Arial" w:hAnsi="Arial"/>
                  <w:sz w:val="16"/>
                  <w:szCs w:val="16"/>
                  <w:color w:val="0E32E1"/>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Borders>
              <w:top w:val="single" w:sz="8" w:color="0E32E1"/>
              <w:bottom w:val="single" w:sz="8" w:color="0E32E1"/>
            </w:tcBorders>
            <w:gridSpan w:val="4"/>
          </w:tcPr>
          <w:p>
            <w:pPr>
              <w:spacing w:after="0" w:line="142" w:lineRule="exact"/>
              <w:rPr>
                <w:rFonts w:ascii="Arial" w:cs="Arial" w:eastAsia="Arial" w:hAnsi="Arial"/>
                <w:sz w:val="16"/>
                <w:szCs w:val="16"/>
                <w:color w:val="0E32E1"/>
              </w:rPr>
            </w:pPr>
            <w:hyperlink r:id="rId61">
              <w:r>
                <w:rPr>
                  <w:rFonts w:ascii="Arial" w:cs="Arial" w:eastAsia="Arial" w:hAnsi="Arial"/>
                  <w:sz w:val="16"/>
                  <w:szCs w:val="16"/>
                  <w:color w:val="0E32E1"/>
                </w:rPr>
                <w:t>dated as of January 25, 2024.</w:t>
              </w:r>
            </w:hyperlink>
          </w:p>
        </w:tc>
        <w:tc>
          <w:tcPr>
            <w:tcW w:w="2060" w:type="dxa"/>
            <w:vAlign w:val="bottom"/>
            <w:tcBorders>
              <w:top w:val="single" w:sz="8" w:color="0E32E1"/>
            </w:tcBorders>
            <w:gridSpan w:val="6"/>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tcBorders>
              <w:bottom w:val="single" w:sz="8" w:color="0E32E1"/>
            </w:tcBorders>
            <w:gridSpan w:val="14"/>
          </w:tcPr>
          <w:p>
            <w:pPr>
              <w:spacing w:after="0"/>
              <w:rPr>
                <w:rFonts w:ascii="Arial" w:cs="Arial" w:eastAsia="Arial" w:hAnsi="Arial"/>
                <w:sz w:val="16"/>
                <w:szCs w:val="16"/>
                <w:color w:val="0E32E1"/>
              </w:rPr>
            </w:pPr>
            <w:hyperlink r:id="rId62">
              <w:r>
                <w:rPr>
                  <w:rFonts w:ascii="Arial" w:cs="Arial" w:eastAsia="Arial" w:hAnsi="Arial"/>
                  <w:sz w:val="16"/>
                  <w:szCs w:val="16"/>
                  <w:color w:val="0E32E1"/>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4"/>
          </w:tcPr>
          <w:p>
            <w:pPr>
              <w:spacing w:after="0" w:line="142" w:lineRule="exact"/>
              <w:rPr>
                <w:rFonts w:ascii="Arial" w:cs="Arial" w:eastAsia="Arial" w:hAnsi="Arial"/>
                <w:sz w:val="16"/>
                <w:szCs w:val="16"/>
                <w:color w:val="0E32E1"/>
              </w:rPr>
            </w:pPr>
            <w:hyperlink r:id="rId62">
              <w:r>
                <w:rPr>
                  <w:rFonts w:ascii="Arial" w:cs="Arial" w:eastAsia="Arial" w:hAnsi="Arial"/>
                  <w:sz w:val="16"/>
                  <w:szCs w:val="16"/>
                  <w:color w:val="0E32E1"/>
                </w:rPr>
                <w:t>as of January 25, 2024.</w:t>
              </w:r>
            </w:hyperlink>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4"/>
          </w:tcPr>
          <w:p>
            <w:pPr>
              <w:spacing w:after="0"/>
              <w:rPr>
                <w:rFonts w:ascii="Arial" w:cs="Arial" w:eastAsia="Arial" w:hAnsi="Arial"/>
                <w:sz w:val="16"/>
                <w:szCs w:val="16"/>
                <w:color w:val="0000FF"/>
              </w:rPr>
            </w:pPr>
            <w:hyperlink r:id="rId63">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4"/>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6"/>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4"/>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60" w:type="dxa"/>
            <w:vAlign w:val="bottom"/>
            <w:gridSpan w:val="3"/>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5"/>
          </w:tcPr>
          <w:p>
            <w:pPr>
              <w:jc w:val="right"/>
              <w:ind w:right="4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4"/>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6"/>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4"/>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4"/>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4"/>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4"/>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3.1 of registrant’s Form 8-K as filed with the Commission on January 26, 2024,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3.4 of registrant’s Form 8-K as filed with the Commission on January 26, 2024, which is incorporated herein by reference.</w:t>
      </w:r>
    </w:p>
    <w:p>
      <w:pPr>
        <w:spacing w:after="0" w:line="3"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26, 2023,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June 27,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June 27,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242"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May 31, 2024,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27, 2024</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May 31, 2024,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27, 2024</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0" Type="http://schemas.openxmlformats.org/officeDocument/2006/relationships/hyperlink" Target="https://www.sec.gov/Archives/edgar/data/1144215/000114421524000015/ayi-20240124xex31xcertific.htm" TargetMode="External"/><Relationship Id="rId61" Type="http://schemas.openxmlformats.org/officeDocument/2006/relationships/hyperlink" Target="https://www.sec.gov/Archives/edgar/data/1144215/000114421524000015/ayi-20240124xex32xrestated.htm" TargetMode="External"/><Relationship Id="rId62" Type="http://schemas.openxmlformats.org/officeDocument/2006/relationships/hyperlink" Target="https://www.sec.gov/Archives/edgar/data/1144215/000114421524000015/ayi-20240124xex34xamendeda.htm" TargetMode="External"/><Relationship Id="rId63" Type="http://schemas.openxmlformats.org/officeDocument/2006/relationships/hyperlink" Target="https://www.sec.gov/Archives/edgar/data/1144215/000114421523000090/ayi-2023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2024-06-27T06:27:54Z</dcterms:created>
  <dcterms:modified xsi:type="dcterms:W3CDTF">2024-06-27T06:27:54Z</dcterms:modified>
</cp:coreProperties>
</file>