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00" w:right="1380" w:hanging="2600"/>
        <w:spacing w:after="0" w:line="442" w:lineRule="auto"/>
        <w:tabs>
          <w:tab w:leader="none" w:pos="2481"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May 31,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380" w:hanging="2987"/>
        <w:spacing w:after="0" w:line="374" w:lineRule="auto"/>
        <w:tabs>
          <w:tab w:leader="none" w:pos="247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_____________________________________________</w:t>
      </w:r>
    </w:p>
    <w:p>
      <w:pPr>
        <w:sectPr>
          <w:pgSz w:w="11900" w:h="16838" w:orient="portrait"/>
          <w:cols w:equalWidth="0" w:num="1">
            <w:col w:w="11240"/>
          </w:cols>
          <w:pgMar w:left="320" w:top="242" w:right="339" w:bottom="1440" w:gutter="0" w:footer="0" w:header="0"/>
        </w:sectPr>
      </w:pPr>
    </w:p>
    <w:p>
      <w:pPr>
        <w:spacing w:after="0" w:line="122"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58-2632672</w:t>
      </w:r>
    </w:p>
    <w:p>
      <w:pPr>
        <w:spacing w:after="0" w:line="43" w:lineRule="exact"/>
        <w:rPr>
          <w:sz w:val="24"/>
          <w:szCs w:val="24"/>
          <w:color w:val="auto"/>
        </w:rPr>
      </w:pPr>
    </w:p>
    <w:p>
      <w:pPr>
        <w:sectPr>
          <w:pgSz w:w="11900" w:h="16838" w:orient="portrait"/>
          <w:cols w:equalWidth="0" w:num="2">
            <w:col w:w="7400" w:space="720"/>
            <w:col w:w="3120"/>
          </w:cols>
          <w:pgMar w:left="320" w:top="242" w:right="339" w:bottom="1440" w:gutter="0" w:footer="0" w:header="0"/>
          <w:type w:val="continuous"/>
        </w:sectPr>
      </w:pPr>
    </w:p>
    <w:p>
      <w:pPr>
        <w:ind w:left="1820"/>
        <w:spacing w:after="0"/>
        <w:rPr>
          <w:sz w:val="20"/>
          <w:szCs w:val="20"/>
          <w:color w:val="auto"/>
        </w:rPr>
      </w:pPr>
      <w:r>
        <w:rPr>
          <w:rFonts w:ascii="Arial" w:cs="Arial" w:eastAsia="Arial" w:hAnsi="Arial"/>
          <w:sz w:val="14"/>
          <w:szCs w:val="14"/>
          <w:i w:val="1"/>
          <w:iCs w:val="1"/>
          <w:color w:val="auto"/>
        </w:rPr>
        <w:t>(State or other jurisdiction of</w:t>
      </w:r>
    </w:p>
    <w:p>
      <w:pPr>
        <w:ind w:left="1780"/>
        <w:spacing w:after="0"/>
        <w:rPr>
          <w:sz w:val="20"/>
          <w:szCs w:val="20"/>
          <w:color w:val="auto"/>
        </w:rPr>
      </w:pPr>
      <w:r>
        <w:rPr>
          <w:rFonts w:ascii="Arial" w:cs="Arial" w:eastAsia="Arial" w:hAnsi="Arial"/>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i w:val="1"/>
          <w:iCs w:val="1"/>
          <w:color w:val="auto"/>
        </w:rPr>
        <w:t>(I.R.S. Employer</w:t>
      </w:r>
    </w:p>
    <w:p>
      <w:pPr>
        <w:spacing w:after="0"/>
        <w:rPr>
          <w:sz w:val="20"/>
          <w:szCs w:val="20"/>
          <w:color w:val="auto"/>
        </w:rPr>
      </w:pPr>
      <w:r>
        <w:rPr>
          <w:rFonts w:ascii="Arial" w:cs="Arial" w:eastAsia="Arial" w:hAnsi="Arial"/>
          <w:sz w:val="14"/>
          <w:szCs w:val="14"/>
          <w:i w:val="1"/>
          <w:iCs w:val="1"/>
          <w:color w:val="auto"/>
        </w:rPr>
        <w:t>Identification No.)</w:t>
      </w:r>
    </w:p>
    <w:p>
      <w:pPr>
        <w:spacing w:after="0" w:line="200" w:lineRule="exact"/>
        <w:rPr>
          <w:sz w:val="24"/>
          <w:szCs w:val="24"/>
          <w:color w:val="auto"/>
        </w:rPr>
      </w:pPr>
    </w:p>
    <w:p>
      <w:pPr>
        <w:sectPr>
          <w:pgSz w:w="11900" w:h="16838" w:orient="portrait"/>
          <w:cols w:equalWidth="0" w:num="2">
            <w:col w:w="7240" w:space="720"/>
            <w:col w:w="3280"/>
          </w:cols>
          <w:pgMar w:left="320" w:top="242" w:right="339" w:bottom="1440" w:gutter="0" w:footer="0" w:header="0"/>
          <w:type w:val="continuous"/>
        </w:sectPr>
      </w:pP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1200, Atlanta, Georgia 30309</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82" w:lineRule="exact"/>
        <w:rPr>
          <w:sz w:val="24"/>
          <w:szCs w:val="24"/>
          <w:color w:val="auto"/>
        </w:rPr>
      </w:pPr>
    </w:p>
    <w:p>
      <w:pPr>
        <w:ind w:left="5440"/>
        <w:spacing w:after="0"/>
        <w:rPr>
          <w:sz w:val="20"/>
          <w:szCs w:val="20"/>
          <w:color w:val="auto"/>
        </w:rPr>
      </w:pPr>
      <w:r>
        <w:rPr>
          <w:rFonts w:ascii="Arial" w:cs="Arial" w:eastAsia="Arial" w:hAnsi="Arial"/>
          <w:sz w:val="14"/>
          <w:szCs w:val="14"/>
          <w:b w:val="1"/>
          <w:bCs w:val="1"/>
          <w:color w:val="auto"/>
        </w:rPr>
        <w:t>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type w:val="continuous"/>
        </w:sectPr>
      </w:pPr>
    </w:p>
    <w:p>
      <w:pPr>
        <w:spacing w:after="0" w:line="95" w:lineRule="exact"/>
        <w:rPr>
          <w:sz w:val="24"/>
          <w:szCs w:val="24"/>
          <w:color w:val="auto"/>
        </w:rPr>
      </w:pPr>
    </w:p>
    <w:p>
      <w:pPr>
        <w:ind w:left="20" w:right="8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4"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$0.01 par value </w:t>
      </w:r>
      <w:r>
        <w:rPr>
          <w:rFonts w:ascii="Arial" w:cs="Arial" w:eastAsia="Arial" w:hAnsi="Arial"/>
          <w:sz w:val="17"/>
          <w:szCs w:val="17"/>
          <w:color w:val="auto"/>
        </w:rPr>
        <w:t>—</w:t>
      </w:r>
      <w:r>
        <w:rPr>
          <w:rFonts w:ascii="Arial" w:cs="Arial" w:eastAsia="Arial" w:hAnsi="Arial"/>
          <w:sz w:val="16"/>
          <w:szCs w:val="16"/>
          <w:color w:val="auto"/>
        </w:rPr>
        <w:t xml:space="preserve"> 29,935,547 shares as of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ACUITY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158"/>
        </w:trPr>
        <w:tc>
          <w:tcPr>
            <w:tcW w:w="20" w:type="dxa"/>
            <w:vAlign w:val="bottom"/>
          </w:tcPr>
          <w:p>
            <w:pPr>
              <w:spacing w:after="0"/>
              <w:rPr>
                <w:sz w:val="13"/>
                <w:szCs w:val="13"/>
                <w:color w:val="auto"/>
              </w:rPr>
            </w:pPr>
          </w:p>
        </w:tc>
        <w:tc>
          <w:tcPr>
            <w:tcW w:w="10120" w:type="dxa"/>
            <w:vAlign w:val="bottom"/>
            <w:gridSpan w:val="9"/>
          </w:tcPr>
          <w:p>
            <w:pPr>
              <w:spacing w:after="0" w:line="158" w:lineRule="exact"/>
              <w:rPr>
                <w:sz w:val="20"/>
                <w:szCs w:val="20"/>
                <w:color w:val="auto"/>
              </w:rPr>
            </w:pPr>
            <w:r>
              <w:rPr>
                <w:rFonts w:ascii="Arial" w:cs="Arial" w:eastAsia="Arial" w:hAnsi="Arial"/>
                <w:sz w:val="16"/>
                <w:szCs w:val="16"/>
                <w:b w:val="1"/>
                <w:bCs w:val="1"/>
                <w:color w:val="0000FF"/>
              </w:rPr>
              <w:t>Part I. FINANCIAL INFORMATION</w:t>
            </w: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Financial Statements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 xml:space="preserve">Consolidated Balance Sheets -- </w:t>
            </w:r>
            <w:r>
              <w:rPr>
                <w:rFonts w:ascii="Arial" w:cs="Arial" w:eastAsia="Arial" w:hAnsi="Arial"/>
                <w:sz w:val="16"/>
                <w:szCs w:val="16"/>
                <w:color w:val="0E32E1"/>
              </w:rPr>
              <w:t>May 31</w:t>
            </w:r>
            <w:r>
              <w:rPr>
                <w:rFonts w:ascii="Arial" w:cs="Arial" w:eastAsia="Arial" w:hAnsi="Arial"/>
                <w:sz w:val="16"/>
                <w:szCs w:val="16"/>
                <w:color w:val="0000FF"/>
              </w:rPr>
              <w:t xml:space="preserve">, 2026 </w:t>
            </w:r>
            <w:r>
              <w:rPr>
                <w:rFonts w:ascii="Arial" w:cs="Arial" w:eastAsia="Arial" w:hAnsi="Arial"/>
                <w:sz w:val="16"/>
                <w:szCs w:val="16"/>
                <w:color w:val="0E32E1"/>
              </w:rPr>
              <w:t>(</w:t>
            </w:r>
            <w:r>
              <w:rPr>
                <w:rFonts w:ascii="Arial" w:cs="Arial" w:eastAsia="Arial" w:hAnsi="Arial"/>
                <w:sz w:val="16"/>
                <w:szCs w:val="16"/>
                <w:color w:val="0000FF"/>
              </w:rPr>
              <w:t>Unaudited) and August 31, 2025</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Comprehensive Income (Unaudited) -- Three and nine months ended May 31, 2026 and May</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ind w:left="60"/>
              <w:spacing w:after="0" w:line="182" w:lineRule="exact"/>
              <w:rPr>
                <w:sz w:val="20"/>
                <w:szCs w:val="20"/>
                <w:color w:val="auto"/>
              </w:rPr>
            </w:pPr>
            <w:r>
              <w:rPr>
                <w:rFonts w:ascii="Arial" w:cs="Arial" w:eastAsia="Arial" w:hAnsi="Arial"/>
                <w:sz w:val="16"/>
                <w:szCs w:val="16"/>
                <w:color w:val="0000FF"/>
              </w:rPr>
              <w:t>31, 2025</w:t>
            </w:r>
          </w:p>
        </w:tc>
        <w:tc>
          <w:tcPr>
            <w:tcW w:w="2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76" w:lineRule="exact"/>
              <w:rPr>
                <w:sz w:val="20"/>
                <w:szCs w:val="20"/>
                <w:color w:val="auto"/>
              </w:rPr>
            </w:pPr>
            <w:r>
              <w:rPr>
                <w:rFonts w:ascii="Arial" w:cs="Arial" w:eastAsia="Arial" w:hAnsi="Arial"/>
                <w:sz w:val="16"/>
                <w:szCs w:val="16"/>
                <w:color w:val="0000FF"/>
              </w:rPr>
              <w:t>Consolidated Statements of Cash Flows (Unaudited) -- Nine months ended May 31, 2026 and May 31, 2025</w:t>
            </w:r>
          </w:p>
        </w:tc>
        <w:tc>
          <w:tcPr>
            <w:tcW w:w="1040" w:type="dxa"/>
            <w:vAlign w:val="bottom"/>
            <w:gridSpan w:val="4"/>
          </w:tcPr>
          <w:p>
            <w:pPr>
              <w:jc w:val="right"/>
              <w:spacing w:after="0" w:line="176" w:lineRule="exact"/>
              <w:rPr>
                <w:sz w:val="20"/>
                <w:szCs w:val="20"/>
                <w:color w:val="auto"/>
              </w:rPr>
            </w:pPr>
            <w:r>
              <w:rPr>
                <w:rFonts w:ascii="Arial" w:cs="Arial" w:eastAsia="Arial" w:hAnsi="Arial"/>
                <w:sz w:val="16"/>
                <w:szCs w:val="16"/>
                <w:color w:val="0000FF"/>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Notes to Consolidated Financial Statements (Unaudited)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 — Description of Business and Basis of Presentation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 — Significant Accounting Policies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3 — Acquisitions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4 — New Accounting Pronouncements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5 — Fair Value Measurements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6 — Inventories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7 — Property, Plant, and Equipment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8 — Goodwill and Intangible Assets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9 — Other Current Liabilities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10 — Debt and Lines of Credit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11 — Commitments and Contingencies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12 — Changes in Stockholders' Equity</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13 — Revenue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14 — Share-based Payments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15 — Pension Plans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16 — Special Charges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17 — Other Expense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18 — Earnings Per Share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19 — Comprehensive Income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20 — Segment Information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Quantitative and Qualitative Disclosures about Market Risk</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Controls and Procedures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Part II. OTHER INFORMATION</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Legal Proceedings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Risk Factors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Unregistered Sales of Equity Securities and Use of Proceeds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Other Information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INDEX TO 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6"/>
                <w:szCs w:val="16"/>
                <w:b w:val="1"/>
                <w:bCs w:val="1"/>
                <w:color w:val="0000FF"/>
              </w:rPr>
              <w:t>SIGNATURES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May 31, 2026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2025</w:t>
            </w:r>
          </w:p>
        </w:tc>
      </w:tr>
      <w:tr>
        <w:trPr>
          <w:trHeight w:val="196"/>
        </w:trPr>
        <w:tc>
          <w:tcPr>
            <w:tcW w:w="7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422.5</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$7.0 and $4.3, respectively</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610.9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593.9</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526.7</w:t>
            </w:r>
          </w:p>
        </w:tc>
      </w:tr>
      <w:tr>
        <w:trPr>
          <w:trHeight w:val="198"/>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1,651.5</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345.9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343.2</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1,494.6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1,495.5</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1,099.0</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23.4</w:t>
            </w: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w:t>
            </w:r>
          </w:p>
        </w:tc>
      </w:tr>
      <w:tr>
        <w:trPr>
          <w:trHeight w:val="200"/>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4,635.4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4,755.2</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r>
      <w:tr>
        <w:trPr>
          <w:trHeight w:val="19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845.8</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697.3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896.8</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Accrued pension liabilities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39.2</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9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w:t>
            </w:r>
          </w:p>
        </w:tc>
      </w:tr>
      <w:tr>
        <w:trPr>
          <w:trHeight w:val="200"/>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2,030.3</w:t>
            </w:r>
          </w:p>
        </w:tc>
      </w:tr>
      <w:tr>
        <w:trPr>
          <w:trHeight w:val="178"/>
        </w:trPr>
        <w:tc>
          <w:tcPr>
            <w:tcW w:w="72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Preferred stock, $0.01 par value per share; 50.0 shares authorized; none issued</w:t>
            </w:r>
          </w:p>
        </w:tc>
        <w:tc>
          <w:tcPr>
            <w:tcW w:w="300" w:type="dxa"/>
            <w:vAlign w:val="bottom"/>
          </w:tcPr>
          <w:p>
            <w:pPr>
              <w:spacing w:after="0"/>
              <w:rPr>
                <w:sz w:val="17"/>
                <w:szCs w:val="17"/>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$0.01 par value per share; 500.0 shares authorized; 55.0 and 54.9 shares issued, respectively</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1,178.4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1,164.7</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4,285.8</w:t>
            </w: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(76.5)</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of 24.9 and 24.2 shares, respectively</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(2,882.3)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(2,649.6)</w:t>
            </w:r>
          </w:p>
        </w:tc>
      </w:tr>
      <w:tr>
        <w:trPr>
          <w:trHeight w:val="192"/>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2,724.9</w:t>
            </w:r>
          </w:p>
        </w:tc>
      </w:tr>
      <w:tr>
        <w:trPr>
          <w:trHeight w:val="225"/>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4,755.2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May 31, 2026</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May 31, 2026</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2025</w:t>
            </w: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3,397.4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3,136.5</w:t>
            </w: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1,649.0</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1,487.5</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1,074.5</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383.3</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51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7"/>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09"/>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w:t>
            </w: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r>
      <w:tr>
        <w:trPr>
          <w:trHeight w:val="23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5"/>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6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5"/>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6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income items,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282.9</w:t>
            </w:r>
          </w:p>
        </w:tc>
      </w:tr>
      <w:tr>
        <w:trPr>
          <w:trHeight w:val="21"/>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3"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7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2026</w:t>
            </w:r>
          </w:p>
        </w:tc>
        <w:tc>
          <w:tcPr>
            <w:tcW w:w="280" w:type="dxa"/>
            <w:vAlign w:val="bottom"/>
          </w:tcPr>
          <w:p>
            <w:pPr>
              <w:spacing w:after="0"/>
              <w:rPr>
                <w:sz w:val="18"/>
                <w:szCs w:val="18"/>
                <w:color w:val="auto"/>
              </w:rPr>
            </w:pPr>
          </w:p>
        </w:tc>
        <w:tc>
          <w:tcPr>
            <w:tcW w:w="166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31, 2025</w:t>
            </w:r>
          </w:p>
        </w:tc>
        <w:tc>
          <w:tcPr>
            <w:tcW w:w="0" w:type="dxa"/>
            <w:vAlign w:val="bottom"/>
          </w:tcPr>
          <w:p>
            <w:pPr>
              <w:spacing w:after="0"/>
              <w:rPr>
                <w:sz w:val="1"/>
                <w:szCs w:val="1"/>
                <w:color w:val="auto"/>
              </w:rPr>
            </w:pPr>
          </w:p>
        </w:tc>
      </w:tr>
      <w:tr>
        <w:trPr>
          <w:trHeight w:val="196"/>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358.3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282.6</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Asset impairments</w:t>
            </w:r>
          </w:p>
        </w:tc>
        <w:tc>
          <w:tcPr>
            <w:tcW w:w="2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net of acquisitions: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09"/>
        </w:trPr>
        <w:tc>
          <w:tcPr>
            <w:tcW w:w="72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(1,189.4)</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(1,249.3)</w:t>
            </w:r>
          </w:p>
        </w:tc>
        <w:tc>
          <w:tcPr>
            <w:tcW w:w="0" w:type="dxa"/>
            <w:vAlign w:val="bottom"/>
          </w:tcPr>
          <w:p>
            <w:pPr>
              <w:spacing w:after="0"/>
              <w:rPr>
                <w:sz w:val="1"/>
                <w:szCs w:val="1"/>
                <w:color w:val="auto"/>
              </w:rPr>
            </w:pPr>
          </w:p>
        </w:tc>
      </w:tr>
      <w:tr>
        <w:trPr>
          <w:trHeight w:val="208"/>
        </w:trPr>
        <w:tc>
          <w:tcPr>
            <w:tcW w:w="72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on credit agreement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Borrowings from term loan</w:t>
            </w:r>
          </w:p>
        </w:tc>
        <w:tc>
          <w:tcPr>
            <w:tcW w:w="2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term loan borrowings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for)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0" w:type="dxa"/>
            <w:vAlign w:val="bottom"/>
          </w:tcPr>
          <w:p>
            <w:pPr>
              <w:spacing w:after="0"/>
              <w:rPr>
                <w:sz w:val="1"/>
                <w:szCs w:val="1"/>
                <w:color w:val="auto"/>
              </w:rPr>
            </w:pPr>
          </w:p>
        </w:tc>
      </w:tr>
      <w:tr>
        <w:trPr>
          <w:trHeight w:val="20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(474.0)</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845.8</w:t>
            </w:r>
          </w:p>
        </w:tc>
        <w:tc>
          <w:tcPr>
            <w:tcW w:w="0" w:type="dxa"/>
            <w:vAlign w:val="bottom"/>
          </w:tcPr>
          <w:p>
            <w:pPr>
              <w:spacing w:after="0"/>
              <w:rPr>
                <w:sz w:val="1"/>
                <w:szCs w:val="1"/>
                <w:color w:val="auto"/>
              </w:rPr>
            </w:pPr>
          </w:p>
        </w:tc>
      </w:tr>
      <w:tr>
        <w:trPr>
          <w:trHeight w:val="235"/>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during the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Interest paid during the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Inc. (referred to herein as “we,” “our,” “us,” the “Company,” or similar references) is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Acuity Brands Lighting Segment</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mission at ABL is to provide sustainable and intelligent lighting solutions that enrich communities where people live, learn, work, and play. Our strategy is to increase product vitality, elevate service levels, use technology to improve and differentiate both our products and how we operate the business, and drive productivity. At ABL, our offering combines luminaires with advanced electronics. Our luminaires deliver performance and aesthetic appeal, while our electronics portfolio, featuring drivers and a leading controls platform, provides connectivity and functionality. ABL's portfolio of products includes, but is not limited to the following brands: Aculux</w:t>
      </w:r>
      <w:r>
        <w:rPr>
          <w:rFonts w:ascii="Arial" w:cs="Arial" w:eastAsia="Arial" w:hAnsi="Arial"/>
          <w:sz w:val="22"/>
          <w:szCs w:val="22"/>
          <w:color w:val="auto"/>
          <w:vertAlign w:val="superscript"/>
        </w:rPr>
        <w:t>TM</w:t>
      </w:r>
      <w:r>
        <w:rPr>
          <w:rFonts w:ascii="Arial" w:cs="Arial" w:eastAsia="Arial" w:hAnsi="Arial"/>
          <w:sz w:val="17"/>
          <w:szCs w:val="17"/>
          <w:color w:val="auto"/>
        </w:rPr>
        <w:t>, American Electric Lighting</w:t>
      </w:r>
      <w:r>
        <w:rPr>
          <w:rFonts w:ascii="Arial" w:cs="Arial" w:eastAsia="Arial" w:hAnsi="Arial"/>
          <w:sz w:val="22"/>
          <w:szCs w:val="22"/>
          <w:color w:val="auto"/>
          <w:vertAlign w:val="superscript"/>
        </w:rPr>
        <w:t>®</w:t>
      </w:r>
      <w:r>
        <w:rPr>
          <w:rFonts w:ascii="Arial" w:cs="Arial" w:eastAsia="Arial" w:hAnsi="Arial"/>
          <w:sz w:val="17"/>
          <w:szCs w:val="17"/>
          <w:color w:val="auto"/>
        </w:rPr>
        <w:t>, Cyclone</w:t>
      </w:r>
      <w:r>
        <w:rPr>
          <w:rFonts w:ascii="Arial" w:cs="Arial" w:eastAsia="Arial" w:hAnsi="Arial"/>
          <w:sz w:val="22"/>
          <w:szCs w:val="22"/>
          <w:color w:val="auto"/>
          <w:vertAlign w:val="superscript"/>
        </w:rPr>
        <w:t>TM</w:t>
      </w:r>
      <w:r>
        <w:rPr>
          <w:rFonts w:ascii="Arial" w:cs="Arial" w:eastAsia="Arial" w:hAnsi="Arial"/>
          <w:sz w:val="17"/>
          <w:szCs w:val="17"/>
          <w:color w:val="auto"/>
        </w:rPr>
        <w:t>, Dark to Light</w:t>
      </w:r>
      <w:r>
        <w:rPr>
          <w:rFonts w:ascii="Arial" w:cs="Arial" w:eastAsia="Arial" w:hAnsi="Arial"/>
          <w:sz w:val="22"/>
          <w:szCs w:val="22"/>
          <w:color w:val="auto"/>
          <w:vertAlign w:val="superscript"/>
        </w:rPr>
        <w:t>®</w:t>
      </w:r>
      <w:r>
        <w:rPr>
          <w:rFonts w:ascii="Arial" w:cs="Arial" w:eastAsia="Arial" w:hAnsi="Arial"/>
          <w:sz w:val="17"/>
          <w:szCs w:val="17"/>
          <w:color w:val="auto"/>
        </w:rPr>
        <w:t>, eldoLED</w:t>
      </w:r>
      <w:r>
        <w:rPr>
          <w:rFonts w:ascii="Arial" w:cs="Arial" w:eastAsia="Arial" w:hAnsi="Arial"/>
          <w:sz w:val="22"/>
          <w:szCs w:val="22"/>
          <w:color w:val="auto"/>
          <w:vertAlign w:val="superscript"/>
        </w:rPr>
        <w:t>®</w:t>
      </w:r>
      <w:r>
        <w:rPr>
          <w:rFonts w:ascii="Arial" w:cs="Arial" w:eastAsia="Arial" w:hAnsi="Arial"/>
          <w:sz w:val="17"/>
          <w:szCs w:val="17"/>
          <w:color w:val="auto"/>
        </w:rPr>
        <w:t>, Eureka</w:t>
      </w:r>
      <w:r>
        <w:rPr>
          <w:rFonts w:ascii="Arial" w:cs="Arial" w:eastAsia="Arial" w:hAnsi="Arial"/>
          <w:sz w:val="22"/>
          <w:szCs w:val="22"/>
          <w:color w:val="auto"/>
          <w:vertAlign w:val="superscript"/>
        </w:rPr>
        <w:t>®</w:t>
      </w:r>
      <w:r>
        <w:rPr>
          <w:rFonts w:ascii="Arial" w:cs="Arial" w:eastAsia="Arial" w:hAnsi="Arial"/>
          <w:sz w:val="17"/>
          <w:szCs w:val="17"/>
          <w:color w:val="auto"/>
        </w:rPr>
        <w:t>, Fresco</w:t>
      </w:r>
      <w:r>
        <w:rPr>
          <w:rFonts w:ascii="Arial" w:cs="Arial" w:eastAsia="Arial" w:hAnsi="Arial"/>
          <w:sz w:val="22"/>
          <w:szCs w:val="22"/>
          <w:color w:val="auto"/>
          <w:vertAlign w:val="superscript"/>
        </w:rPr>
        <w:t>TM</w:t>
      </w:r>
      <w:r>
        <w:rPr>
          <w:rFonts w:ascii="Arial" w:cs="Arial" w:eastAsia="Arial" w:hAnsi="Arial"/>
          <w:sz w:val="17"/>
          <w:szCs w:val="17"/>
          <w:color w:val="auto"/>
        </w:rPr>
        <w:t>, Gotham</w:t>
      </w:r>
      <w:r>
        <w:rPr>
          <w:rFonts w:ascii="Arial" w:cs="Arial" w:eastAsia="Arial" w:hAnsi="Arial"/>
          <w:sz w:val="22"/>
          <w:szCs w:val="22"/>
          <w:color w:val="auto"/>
          <w:vertAlign w:val="superscript"/>
        </w:rPr>
        <w:t>®</w:t>
      </w:r>
      <w:r>
        <w:rPr>
          <w:rFonts w:ascii="Arial" w:cs="Arial" w:eastAsia="Arial" w:hAnsi="Arial"/>
          <w:sz w:val="17"/>
          <w:szCs w:val="17"/>
          <w:color w:val="auto"/>
        </w:rPr>
        <w:t>, Healthcare Lighting</w:t>
      </w:r>
      <w:r>
        <w:rPr>
          <w:rFonts w:ascii="Arial" w:cs="Arial" w:eastAsia="Arial" w:hAnsi="Arial"/>
          <w:sz w:val="22"/>
          <w:szCs w:val="22"/>
          <w:color w:val="auto"/>
          <w:vertAlign w:val="superscript"/>
        </w:rPr>
        <w:t>®</w:t>
      </w:r>
      <w:r>
        <w:rPr>
          <w:rFonts w:ascii="Arial" w:cs="Arial" w:eastAsia="Arial" w:hAnsi="Arial"/>
          <w:sz w:val="17"/>
          <w:szCs w:val="17"/>
          <w:color w:val="auto"/>
        </w:rPr>
        <w:t>, Holophane</w:t>
      </w:r>
      <w:r>
        <w:rPr>
          <w:rFonts w:ascii="Arial" w:cs="Arial" w:eastAsia="Arial" w:hAnsi="Arial"/>
          <w:sz w:val="22"/>
          <w:szCs w:val="22"/>
          <w:color w:val="auto"/>
          <w:vertAlign w:val="superscript"/>
        </w:rPr>
        <w:t>®</w:t>
      </w:r>
      <w:r>
        <w:rPr>
          <w:rFonts w:ascii="Arial" w:cs="Arial" w:eastAsia="Arial" w:hAnsi="Arial"/>
          <w:sz w:val="17"/>
          <w:szCs w:val="17"/>
          <w:color w:val="auto"/>
        </w:rPr>
        <w:t>, Hydrel</w:t>
      </w:r>
      <w:r>
        <w:rPr>
          <w:rFonts w:ascii="Arial" w:cs="Arial" w:eastAsia="Arial" w:hAnsi="Arial"/>
          <w:sz w:val="22"/>
          <w:szCs w:val="22"/>
          <w:color w:val="auto"/>
          <w:vertAlign w:val="superscript"/>
        </w:rPr>
        <w:t>®</w:t>
      </w:r>
      <w:r>
        <w:rPr>
          <w:rFonts w:ascii="Arial" w:cs="Arial" w:eastAsia="Arial" w:hAnsi="Arial"/>
          <w:sz w:val="17"/>
          <w:szCs w:val="17"/>
          <w:color w:val="auto"/>
        </w:rPr>
        <w:t>, IOTA</w:t>
      </w:r>
      <w:r>
        <w:rPr>
          <w:rFonts w:ascii="Arial" w:cs="Arial" w:eastAsia="Arial" w:hAnsi="Arial"/>
          <w:sz w:val="22"/>
          <w:szCs w:val="22"/>
          <w:color w:val="auto"/>
          <w:vertAlign w:val="superscript"/>
        </w:rPr>
        <w:t>®</w:t>
      </w:r>
      <w:r>
        <w:rPr>
          <w:rFonts w:ascii="Arial" w:cs="Arial" w:eastAsia="Arial" w:hAnsi="Arial"/>
          <w:sz w:val="17"/>
          <w:szCs w:val="17"/>
          <w:color w:val="auto"/>
        </w:rPr>
        <w:t>, Juno</w:t>
      </w:r>
      <w:r>
        <w:rPr>
          <w:rFonts w:ascii="Arial" w:cs="Arial" w:eastAsia="Arial" w:hAnsi="Arial"/>
          <w:sz w:val="22"/>
          <w:szCs w:val="22"/>
          <w:color w:val="auto"/>
          <w:vertAlign w:val="superscript"/>
        </w:rPr>
        <w:t>®</w:t>
      </w:r>
      <w:r>
        <w:rPr>
          <w:rFonts w:ascii="Arial" w:cs="Arial" w:eastAsia="Arial" w:hAnsi="Arial"/>
          <w:sz w:val="17"/>
          <w:szCs w:val="17"/>
          <w:color w:val="auto"/>
        </w:rPr>
        <w:t>, Lithonia Lighting</w:t>
      </w:r>
      <w:r>
        <w:rPr>
          <w:rFonts w:ascii="Arial" w:cs="Arial" w:eastAsia="Arial" w:hAnsi="Arial"/>
          <w:sz w:val="22"/>
          <w:szCs w:val="22"/>
          <w:color w:val="auto"/>
          <w:vertAlign w:val="superscript"/>
        </w:rPr>
        <w:t>®</w:t>
      </w:r>
      <w:r>
        <w:rPr>
          <w:rFonts w:ascii="Arial" w:cs="Arial" w:eastAsia="Arial" w:hAnsi="Arial"/>
          <w:sz w:val="17"/>
          <w:szCs w:val="17"/>
          <w:color w:val="auto"/>
        </w:rPr>
        <w:t>, Luminaire LED</w:t>
      </w:r>
      <w:r>
        <w:rPr>
          <w:rFonts w:ascii="Arial" w:cs="Arial" w:eastAsia="Arial" w:hAnsi="Arial"/>
          <w:sz w:val="22"/>
          <w:szCs w:val="22"/>
          <w:color w:val="auto"/>
          <w:vertAlign w:val="superscript"/>
        </w:rPr>
        <w:t>TM</w:t>
      </w:r>
      <w:r>
        <w:rPr>
          <w:rFonts w:ascii="Arial" w:cs="Arial" w:eastAsia="Arial" w:hAnsi="Arial"/>
          <w:sz w:val="17"/>
          <w:szCs w:val="17"/>
          <w:color w:val="auto"/>
        </w:rPr>
        <w:t>, Luminis</w:t>
      </w:r>
      <w:r>
        <w:rPr>
          <w:rFonts w:ascii="Arial" w:cs="Arial" w:eastAsia="Arial" w:hAnsi="Arial"/>
          <w:sz w:val="22"/>
          <w:szCs w:val="22"/>
          <w:color w:val="auto"/>
          <w:vertAlign w:val="superscript"/>
        </w:rPr>
        <w:t>®</w:t>
      </w:r>
      <w:r>
        <w:rPr>
          <w:rFonts w:ascii="Arial" w:cs="Arial" w:eastAsia="Arial" w:hAnsi="Arial"/>
          <w:sz w:val="17"/>
          <w:szCs w:val="17"/>
          <w:color w:val="auto"/>
        </w:rPr>
        <w:t>, Mark Architectural Lighting</w:t>
      </w:r>
      <w:r>
        <w:rPr>
          <w:rFonts w:ascii="Arial" w:cs="Arial" w:eastAsia="Arial" w:hAnsi="Arial"/>
          <w:sz w:val="22"/>
          <w:szCs w:val="22"/>
          <w:color w:val="auto"/>
          <w:vertAlign w:val="superscript"/>
        </w:rPr>
        <w:t>TM</w:t>
      </w:r>
      <w:r>
        <w:rPr>
          <w:rFonts w:ascii="Arial" w:cs="Arial" w:eastAsia="Arial" w:hAnsi="Arial"/>
          <w:sz w:val="17"/>
          <w:szCs w:val="17"/>
          <w:color w:val="auto"/>
        </w:rPr>
        <w:t>, Nightingale</w:t>
      </w:r>
      <w:r>
        <w:rPr>
          <w:rFonts w:ascii="Arial" w:cs="Arial" w:eastAsia="Arial" w:hAnsi="Arial"/>
          <w:sz w:val="22"/>
          <w:szCs w:val="22"/>
          <w:color w:val="auto"/>
          <w:vertAlign w:val="superscript"/>
        </w:rPr>
        <w:t>TM</w:t>
      </w:r>
      <w:r>
        <w:rPr>
          <w:rFonts w:ascii="Arial" w:cs="Arial" w:eastAsia="Arial" w:hAnsi="Arial"/>
          <w:sz w:val="17"/>
          <w:szCs w:val="17"/>
          <w:color w:val="auto"/>
        </w:rPr>
        <w:t>, nLight</w:t>
      </w:r>
      <w:r>
        <w:rPr>
          <w:rFonts w:ascii="Arial" w:cs="Arial" w:eastAsia="Arial" w:hAnsi="Arial"/>
          <w:sz w:val="22"/>
          <w:szCs w:val="22"/>
          <w:color w:val="auto"/>
          <w:vertAlign w:val="superscript"/>
        </w:rPr>
        <w:t>®</w:t>
      </w:r>
      <w:r>
        <w:rPr>
          <w:rFonts w:ascii="Arial" w:cs="Arial" w:eastAsia="Arial" w:hAnsi="Arial"/>
          <w:sz w:val="17"/>
          <w:szCs w:val="17"/>
          <w:color w:val="auto"/>
        </w:rPr>
        <w:t>, Peerless</w:t>
      </w:r>
      <w:r>
        <w:rPr>
          <w:rFonts w:ascii="Arial" w:cs="Arial" w:eastAsia="Arial" w:hAnsi="Arial"/>
          <w:sz w:val="22"/>
          <w:szCs w:val="22"/>
          <w:color w:val="auto"/>
          <w:vertAlign w:val="superscript"/>
        </w:rPr>
        <w:t>®</w:t>
      </w:r>
      <w:r>
        <w:rPr>
          <w:rFonts w:ascii="Arial" w:cs="Arial" w:eastAsia="Arial" w:hAnsi="Arial"/>
          <w:sz w:val="17"/>
          <w:szCs w:val="17"/>
          <w:color w:val="auto"/>
        </w:rPr>
        <w:t>, RELOC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Wiring Solutions, and SensorSwitch</w:t>
      </w:r>
      <w:r>
        <w:rPr>
          <w:rFonts w:ascii="Arial" w:cs="Arial" w:eastAsia="Arial" w:hAnsi="Arial"/>
          <w:sz w:val="22"/>
          <w:szCs w:val="22"/>
          <w:color w:val="auto"/>
          <w:vertAlign w:val="superscript"/>
        </w:rPr>
        <w:t>TM</w:t>
      </w:r>
      <w:r>
        <w:rPr>
          <w:rFonts w:ascii="Arial" w:cs="Arial" w:eastAsia="Arial" w:hAnsi="Arial"/>
          <w:sz w:val="17"/>
          <w:szCs w:val="17"/>
          <w:color w:val="auto"/>
        </w:rPr>
        <w:t>.</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of ABL are located in North America and select international markets that serve new construction, renovation and retrofit, and maintenance and repair applications. Our lighting solutions are sold primarily through a network of independent sales agencies, by internal sales representatives, through electrical distributors and consumer retailers, directly to large corporate accounts, and directly to original equipment manufacturer (“OEM”) customers. Products are delivered directly from our manufacturing facilities or through a network of distribution centers.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Acuity Intelligent Spaces Segment</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AIS, through Atrius</w:t>
      </w:r>
      <w:r>
        <w:rPr>
          <w:rFonts w:ascii="Arial" w:cs="Arial" w:eastAsia="Arial" w:hAnsi="Arial"/>
          <w:sz w:val="23"/>
          <w:szCs w:val="23"/>
          <w:color w:val="auto"/>
          <w:vertAlign w:val="superscript"/>
        </w:rPr>
        <w:t>®</w:t>
      </w:r>
      <w:r>
        <w:rPr>
          <w:rFonts w:ascii="Arial" w:cs="Arial" w:eastAsia="Arial" w:hAnsi="Arial"/>
          <w:sz w:val="18"/>
          <w:szCs w:val="18"/>
          <w:color w:val="auto"/>
        </w:rPr>
        <w:t>,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and QSC</w:t>
      </w:r>
      <w:r>
        <w:rPr>
          <w:rFonts w:ascii="Arial" w:cs="Arial" w:eastAsia="Arial" w:hAnsi="Arial"/>
          <w:sz w:val="23"/>
          <w:szCs w:val="23"/>
          <w:color w:val="auto"/>
          <w:vertAlign w:val="superscript"/>
        </w:rPr>
        <w:t>®</w:t>
      </w:r>
      <w:r>
        <w:rPr>
          <w:rFonts w:ascii="Arial" w:cs="Arial" w:eastAsia="Arial" w:hAnsi="Arial"/>
          <w:sz w:val="18"/>
          <w:szCs w:val="18"/>
          <w:color w:val="auto"/>
        </w:rPr>
        <w:t>, we have unique and disruptive technologies that are driving productivity for people experiencing spaces and for the people providing those spaces. We do this through edge-with-cloud network effects, data-driven growth, a global operating model and end-customer focus.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Atrius makes data in a space accessible, usable, and actionable. Our data platform and cloud applications for building performance and spatial intelligence aim to maximize occupant and owner experiences. Our Distech Controls intelligent Building Management Systems (“BMS”) provide management of a space through controls, sensors, and software. Our open technology includes products for heating, ventilation, and air conditioning (“HVAC”), refrigeration, lighting, shades, and building access that prioritize end-user outcomes. Q-SYS, our full-stack audio, video, and control platform, unifies data, devices, and a cloud-first architecture to deliver real-time actions, experiences, and insights. QSC Audio includes audio technology that enhances experiences for live entertainers and sound reinforcement professionals.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AIS goes to market primarily through system integrators. Key customer verticals include retail stores, airports, universities, enterprise campuses, sports venues, themed entertainment, and hospitality, among many other broad applications throughout North America, Europe, and other select international locations.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Inc. and its wholly-owned subsidiaries.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May 31, 2026, our consolidated comprehensive income for the three and nine months ended May 31, 2026 and May 31, 2025, and our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cash flows for the nine months ended May 31, 2026 and May 31, 2025.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in the period ended August 31, 2025 and notes thereto included in our Annual Report on Form 10-K filed with the Securities and Exchange Commission (the “SEC”) on October 27, 2025 (“Form 10-K”).</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QSC, LLC</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1, 2025, we acquired all of the equity interests of QSC, LLC (“QSC”), a leader in the design, engineering, and manufacturing of audio, video, and control solutions and services, for $1.2 billion in cash. This acquisition expanded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indebtedness.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accounted for the acquisition of QSC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We recorded acquired assets and liabilities at their acquisition date fair values. We finalized the purchase accounting for QSC during the second quarter of fiscal 2026. No measurement period adjustments were recorded during fiscal 2026.</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Acquisition-related professional fees of $23.8 million were expensed as incurred in fiscal 2025, of which $2.5 million and $ 21.2 million were incurred during the three and nine months ended May 31, 2025, respectively. These costs were recorded in </w:t>
      </w:r>
      <w:r>
        <w:rPr>
          <w:rFonts w:ascii="Arial" w:cs="Arial" w:eastAsia="Arial" w:hAnsi="Arial"/>
          <w:sz w:val="18"/>
          <w:szCs w:val="18"/>
          <w:i w:val="1"/>
          <w:iCs w:val="1"/>
          <w:color w:val="auto"/>
        </w:rPr>
        <w:t>Selling, distribution,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 were reflected in our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outlines the final fair values of the assets and liabilities obtained in connection with the QSC acquisition as of January 1, 2025 (in millions):</w:t>
      </w:r>
    </w:p>
    <w:p>
      <w:pPr>
        <w:spacing w:after="0" w:line="117"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Consideration transferred:</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consideration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Identifiable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Intangible assets</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receivable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Total identifiable assets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payable</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lease liabilities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1,240.7</w:t>
      </w:r>
    </w:p>
    <w:p>
      <w:pPr>
        <w:spacing w:after="0" w:line="24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713.9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101.9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28.4</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24.2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55.7</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51.3</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45.8</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1397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2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32.6</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24.2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17.6</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100.7</w:t>
      </w:r>
    </w:p>
    <w:p>
      <w:pPr>
        <w:spacing w:after="0" w:line="31" w:lineRule="exact"/>
        <w:rPr>
          <w:sz w:val="20"/>
          <w:szCs w:val="20"/>
          <w:color w:val="auto"/>
        </w:rPr>
      </w:pPr>
    </w:p>
    <w:p>
      <w:pPr>
        <w:sectPr>
          <w:pgSz w:w="11900" w:h="16838" w:orient="portrait"/>
          <w:cols w:equalWidth="0" w:num="2">
            <w:col w:w="8340" w:space="720"/>
            <w:col w:w="2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90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liabilities assumed</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r>
      <w:tr>
        <w:trPr>
          <w:trHeight w:val="209"/>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identifiable net assets</w:t>
            </w:r>
          </w:p>
        </w:tc>
        <w:tc>
          <w:tcPr>
            <w:tcW w:w="9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846.1</w:t>
            </w:r>
          </w:p>
        </w:tc>
      </w:tr>
      <w:tr>
        <w:trPr>
          <w:trHeight w:val="234"/>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394.6</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final fair values and useful lives of identifiable intangible assets as of January 1, 2025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 Useful</w:t>
            </w:r>
          </w:p>
        </w:tc>
        <w:tc>
          <w:tcPr>
            <w:tcW w:w="3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Arial" w:cs="Arial" w:eastAsia="Arial" w:hAnsi="Arial"/>
                <w:sz w:val="16"/>
                <w:szCs w:val="16"/>
                <w:b w:val="1"/>
                <w:bCs w:val="1"/>
                <w:color w:val="auto"/>
              </w:rPr>
              <w:t>Fair Value</w:t>
            </w:r>
          </w:p>
        </w:tc>
      </w:tr>
      <w:tr>
        <w:trPr>
          <w:trHeight w:val="216"/>
        </w:trPr>
        <w:tc>
          <w:tcPr>
            <w:tcW w:w="676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 (Years)</w:t>
            </w:r>
          </w:p>
        </w:tc>
        <w:tc>
          <w:tcPr>
            <w:tcW w:w="380" w:type="dxa"/>
            <w:vAlign w:val="bottom"/>
          </w:tcPr>
          <w:p>
            <w:pPr>
              <w:spacing w:after="0"/>
              <w:rPr>
                <w:sz w:val="18"/>
                <w:szCs w:val="18"/>
                <w:color w:val="auto"/>
              </w:rPr>
            </w:pPr>
          </w:p>
        </w:tc>
        <w:tc>
          <w:tcPr>
            <w:tcW w:w="1820" w:type="dxa"/>
            <w:vAlign w:val="bottom"/>
          </w:tcPr>
          <w:p>
            <w:pPr>
              <w:jc w:val="right"/>
              <w:ind w:right="559"/>
              <w:spacing w:after="0"/>
              <w:rPr>
                <w:sz w:val="20"/>
                <w:szCs w:val="20"/>
                <w:color w:val="auto"/>
              </w:rPr>
            </w:pPr>
            <w:r>
              <w:rPr>
                <w:rFonts w:ascii="Arial" w:cs="Arial" w:eastAsia="Arial" w:hAnsi="Arial"/>
                <w:sz w:val="16"/>
                <w:szCs w:val="16"/>
                <w:b w:val="1"/>
                <w:bCs w:val="1"/>
                <w:color w:val="auto"/>
              </w:rPr>
              <w:t>(in millions)</w:t>
            </w:r>
          </w:p>
        </w:tc>
      </w:tr>
      <w:tr>
        <w:trPr>
          <w:trHeight w:val="210"/>
        </w:trPr>
        <w:tc>
          <w:tcPr>
            <w:tcW w:w="67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Developed technology and patents</w:t>
            </w:r>
            <w:r>
              <w:rPr>
                <w:rFonts w:ascii="Arial" w:cs="Arial" w:eastAsia="Arial" w:hAnsi="Arial"/>
                <w:sz w:val="21"/>
                <w:szCs w:val="21"/>
                <w:color w:val="auto"/>
                <w:vertAlign w:val="superscript"/>
              </w:rPr>
              <w:t>(1)</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w:t>
            </w:r>
          </w:p>
        </w:tc>
      </w:tr>
      <w:tr>
        <w:trPr>
          <w:trHeight w:val="215"/>
        </w:trPr>
        <w:tc>
          <w:tcPr>
            <w:tcW w:w="676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2180" w:type="dxa"/>
            <w:vAlign w:val="bottom"/>
          </w:tcPr>
          <w:p>
            <w:pPr>
              <w:jc w:val="center"/>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r>
      <w:tr>
        <w:trPr>
          <w:trHeight w:val="21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1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identifiable intangible assets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1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Substantially all of the developed technology intangible assets relates to Q-SYS, an audio, video, and control platform.</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Assets and liabilities for QSC have been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since the acquisition date. The goodwill is recorded in the AIS segment, and it is primarily comprised of benefits related to the expansion of AIS’ technology and audio, video, and control solution product portfolios. Approximately $350.0 million of the goodwill is deductible for tax purposes.</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operating results of QSC have been included in our consolidated financial statements since the date of acquisition. The following table provides the amount of QSC net sales and net income included within our consolidated financial statements for fiscal 2025 since the acquisition date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4"/>
          </w:tcPr>
          <w:p>
            <w:pPr>
              <w:jc w:val="right"/>
              <w:ind w:right="1819"/>
              <w:spacing w:after="0"/>
              <w:rPr>
                <w:sz w:val="20"/>
                <w:szCs w:val="20"/>
                <w:color w:val="auto"/>
              </w:rPr>
            </w:pPr>
            <w:r>
              <w:rPr>
                <w:rFonts w:ascii="Arial" w:cs="Arial" w:eastAsia="Arial" w:hAnsi="Arial"/>
                <w:sz w:val="16"/>
                <w:szCs w:val="16"/>
                <w:b w:val="1"/>
                <w:bCs w:val="1"/>
                <w:color w:val="auto"/>
              </w:rPr>
              <w:t>May 31, 2025</w:t>
            </w:r>
          </w:p>
        </w:tc>
      </w:tr>
      <w:tr>
        <w:trPr>
          <w:trHeight w:val="210"/>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080" w:type="dxa"/>
            <w:vAlign w:val="bottom"/>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w:t>
            </w:r>
          </w:p>
        </w:tc>
      </w:tr>
      <w:tr>
        <w:trPr>
          <w:trHeight w:val="285"/>
        </w:trPr>
        <w:tc>
          <w:tcPr>
            <w:tcW w:w="6460" w:type="dxa"/>
            <w:vAlign w:val="bottom"/>
          </w:tcPr>
          <w:p>
            <w:pPr>
              <w:ind w:left="20"/>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6.2</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15" w:lineRule="exact"/>
        <w:rPr>
          <w:sz w:val="20"/>
          <w:szCs w:val="20"/>
          <w:color w:val="auto"/>
        </w:rPr>
      </w:pPr>
    </w:p>
    <w:p>
      <w:pPr>
        <w:jc w:val="both"/>
        <w:ind w:firstLine="8"/>
        <w:spacing w:after="0" w:line="272" w:lineRule="auto"/>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Net income for the three months ended May 31, 2025 includes pre-tax nonrecurring acquisition date fair value adjustments to inventory of $19.2 million and amortization of acquired intangible assets of $11.6 million. Net income for the nine months ended May 31, 2025 includes pre-tax nonrecurring acquisition date fair value adjustments to inventory of $29.6 million and amortization of acquired intangible assets of $19.4 million.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included unaudited pro forma financial information for fiscal 2025 to show the impacts of the QSC acquisition to our consolidated results assuming the acquisition closed as of the first day of fiscal 2024. The unaudited pro forma information is not necessarily indicative of our results of operations had the acquisition been completed on this date, neither is it necessarily indicative of our future results. Amounts in the table below combine our previously reported results with QSC’s results for the corresponding periods as well as adjustments for purchase accounting, accounting policy alignments, changes to our capital structure, including additional interest expense associated with borrowings to fund the acquisition, and other nonrecurring items that were incurred in connection with the acquisition, assuming they occurred as of September 1, 2023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Quarter-to-Date</w:t>
            </w:r>
          </w:p>
        </w:tc>
        <w:tc>
          <w:tcPr>
            <w:tcW w:w="240" w:type="dxa"/>
            <w:vAlign w:val="bottom"/>
          </w:tcPr>
          <w:p>
            <w:pPr>
              <w:spacing w:after="0"/>
              <w:rPr>
                <w:sz w:val="18"/>
                <w:szCs w:val="18"/>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Year-to-Date</w:t>
            </w:r>
          </w:p>
        </w:tc>
      </w:tr>
      <w:tr>
        <w:trPr>
          <w:trHeight w:val="210"/>
        </w:trPr>
        <w:tc>
          <w:tcPr>
            <w:tcW w:w="75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2025</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3,337.2</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323.7</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Accounting Standards Update (</w:t>
      </w:r>
      <w:r>
        <w:rPr>
          <w:rFonts w:ascii="Arial" w:cs="Arial" w:eastAsia="Arial" w:hAnsi="Arial"/>
          <w:sz w:val="16"/>
          <w:szCs w:val="16"/>
          <w:color w:val="auto"/>
        </w:rPr>
        <w:t>“</w:t>
      </w:r>
      <w:r>
        <w:rPr>
          <w:rFonts w:ascii="Arial" w:cs="Arial" w:eastAsia="Arial" w:hAnsi="Arial"/>
          <w:sz w:val="18"/>
          <w:szCs w:val="18"/>
          <w:i w:val="1"/>
          <w:iCs w:val="1"/>
          <w:color w:val="auto"/>
        </w:rPr>
        <w:t>ASU</w:t>
      </w:r>
      <w:r>
        <w:rPr>
          <w:rFonts w:ascii="Arial" w:cs="Arial" w:eastAsia="Arial" w:hAnsi="Arial"/>
          <w:sz w:val="18"/>
          <w:szCs w:val="18"/>
          <w:color w:val="auto"/>
        </w:rPr>
        <w:t>”</w:t>
      </w:r>
      <w:r>
        <w:rPr>
          <w:rFonts w:ascii="Arial" w:cs="Arial" w:eastAsia="Arial" w:hAnsi="Arial"/>
          <w:sz w:val="18"/>
          <w:szCs w:val="18"/>
          <w:i w:val="1"/>
          <w:iCs w:val="1"/>
          <w:color w:val="auto"/>
        </w:rPr>
        <w:t>) 2025-06, Intangibles - Goodwill and Other - Internal-Use Software (Subtopic 350-40): Targeted Improvements to the Accounting for Internal-Use Software (</w:t>
      </w:r>
      <w:r>
        <w:rPr>
          <w:rFonts w:ascii="Arial" w:cs="Arial" w:eastAsia="Arial" w:hAnsi="Arial"/>
          <w:sz w:val="18"/>
          <w:szCs w:val="18"/>
          <w:color w:val="auto"/>
        </w:rPr>
        <w:t>“</w:t>
      </w:r>
      <w:r>
        <w:rPr>
          <w:rFonts w:ascii="Arial" w:cs="Arial" w:eastAsia="Arial" w:hAnsi="Arial"/>
          <w:sz w:val="18"/>
          <w:szCs w:val="18"/>
          <w:i w:val="1"/>
          <w:iCs w:val="1"/>
          <w:color w:val="auto"/>
        </w:rPr>
        <w:t>ASU 2025-06</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2025, the Financial Accounting Standards Board (“FASB”) issued ASU 2025-06, which modernizes the accounting for internal-use software costs by aligning the guidance with incremental and iterative software development methods used today. The amendment removes all references to development stages and requires capitalization of software costs to begin once management approves funds for the project and it is probable the software will be completed and used as intended. The amendment may be applied prospectively, retrospectively, or using a modified prospective approach, and early adoption is permitted. ASU 2025-06 is effective for fiscal years beginning after December 15, 2027, or our fiscal 2029. We are currently assessing the impact of the requirements on our consolidated financial statements and disclosures.</w:t>
      </w:r>
    </w:p>
    <w:p>
      <w:pPr>
        <w:spacing w:after="0" w:line="212"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ASU 2024-03, Income Statement - Reporting Comprehensive Income - Expense Disaggregation Disclosures (Topic 220): Disaggregation of Income Statement Expenses (</w:t>
      </w:r>
      <w:r>
        <w:rPr>
          <w:rFonts w:ascii="Arial" w:cs="Arial" w:eastAsia="Arial" w:hAnsi="Arial"/>
          <w:sz w:val="18"/>
          <w:szCs w:val="18"/>
          <w:color w:val="auto"/>
        </w:rPr>
        <w:t>“</w:t>
      </w:r>
      <w:r>
        <w:rPr>
          <w:rFonts w:ascii="Arial" w:cs="Arial" w:eastAsia="Arial" w:hAnsi="Arial"/>
          <w:sz w:val="18"/>
          <w:szCs w:val="18"/>
          <w:i w:val="1"/>
          <w:iCs w:val="1"/>
          <w:color w:val="auto"/>
        </w:rPr>
        <w:t>ASU 2024-03</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2024, the FASB issued ASU 2024-03, which requires public entities to disaggregate specific types of expenses, including disclosures for purchases of inventory, employee compensation, depreciation, intangible asset amortization, and selling expenses. Annual disclosures are required for fiscal years beginning after December 15, 2026, or our fiscal 2028. Interim disclosures are required for periods within fiscal years beginning after December 15, 2027, or our fiscal 2029. Prospective application is required, and retrospective application is permitted. Early adoption is permitted. We are currently assessing the impact of the requirements on our consolidated financial statements and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2023-09, Income Taxes (Topic 740): Improvements to Income Tax Disclosures (</w:t>
      </w:r>
      <w:r>
        <w:rPr>
          <w:rFonts w:ascii="Arial" w:cs="Arial" w:eastAsia="Arial" w:hAnsi="Arial"/>
          <w:sz w:val="18"/>
          <w:szCs w:val="18"/>
          <w:color w:val="auto"/>
        </w:rPr>
        <w:t>“</w:t>
      </w:r>
      <w:r>
        <w:rPr>
          <w:rFonts w:ascii="Arial" w:cs="Arial" w:eastAsia="Arial" w:hAnsi="Arial"/>
          <w:sz w:val="18"/>
          <w:szCs w:val="18"/>
          <w:i w:val="1"/>
          <w:iCs w:val="1"/>
          <w:color w:val="auto"/>
        </w:rPr>
        <w:t>ASU 2023-09</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2023-09, which expands income tax disclosure requirements to include additional information related to the rate reconciliation of our effective tax rates to statutory rates as well as additional disaggregation of taxes paid. The amendments in the ASU also remove disclosures related to certain unrecognized tax benefits and deferred taxes. The amendments may be applied prospectively or retrospectively, and early adoption is permitted. ASU 2023 -09 is effective for fiscal years beginning after December 15, 2024. We will adopt the standard as required in our annual disclosures for fiscal 2026.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balances and the fair value hierarchy level of our financial instruments recorded at fair value on a recurring basis as of the dates presented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May 31, 2026</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August 31, 2025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r>
      <w:tr>
        <w:trPr>
          <w:trHeight w:val="209"/>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w:t>
            </w:r>
          </w:p>
        </w:tc>
      </w:tr>
      <w:tr>
        <w:trPr>
          <w:trHeight w:val="209"/>
        </w:trPr>
        <w:tc>
          <w:tcPr>
            <w:tcW w:w="2760" w:type="dxa"/>
            <w:vAlign w:val="bottom"/>
          </w:tcPr>
          <w:p>
            <w:pPr>
              <w:ind w:left="20"/>
              <w:spacing w:after="0"/>
              <w:rPr>
                <w:sz w:val="20"/>
                <w:szCs w:val="20"/>
                <w:color w:val="auto"/>
              </w:rPr>
            </w:pPr>
            <w:r>
              <w:rPr>
                <w:rFonts w:ascii="Arial" w:cs="Arial" w:eastAsia="Arial" w:hAnsi="Arial"/>
                <w:sz w:val="16"/>
                <w:szCs w:val="16"/>
                <w:color w:val="auto"/>
              </w:rPr>
              <w:t>Assets in fair value hierarchy</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422.5</w:t>
            </w:r>
          </w:p>
        </w:tc>
      </w:tr>
      <w:tr>
        <w:trPr>
          <w:trHeight w:val="217"/>
        </w:trPr>
        <w:tc>
          <w:tcPr>
            <w:tcW w:w="27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 investments</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276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427.6</w:t>
            </w:r>
          </w:p>
        </w:tc>
      </w:tr>
      <w:tr>
        <w:trPr>
          <w:trHeight w:val="20"/>
        </w:trPr>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55" w:lineRule="exact"/>
        <w:rPr>
          <w:sz w:val="20"/>
          <w:szCs w:val="20"/>
          <w:color w:val="auto"/>
        </w:rPr>
      </w:pPr>
    </w:p>
    <w:p>
      <w:pPr>
        <w:ind w:firstLine="8"/>
        <w:spacing w:after="0" w:line="305" w:lineRule="auto"/>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strategic investments in privately-held entities over which we do not exercise significant influence or control and without readily determinable fair values. Amounts are recorded at cost less any impairment adjusted for observable price changes, if 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Fair value for our senior unsecured public notes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$447.8 million and $446.7 million as of May 31, 2026 and August 31, 2025, respectively.</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had $200.0 million and $400.0 million of borrowings outstanding under our credit agreements as of May 31, 2026 and August 31, 2025, respectively. Such borrowings are variable-rate instruments that reset on a frequent short-term basis; therefore, we estimate that any outstanding carrying values of these instruments, which are equal to their face amounts, approximate their fair values. See </w:t>
      </w:r>
      <w:r>
        <w:rPr>
          <w:rFonts w:ascii="Arial" w:cs="Arial" w:eastAsia="Arial" w:hAnsi="Arial"/>
          <w:sz w:val="18"/>
          <w:szCs w:val="18"/>
          <w:i w:val="1"/>
          <w:iCs w:val="1"/>
          <w:color w:val="auto"/>
        </w:rPr>
        <w:t>Debt and Lines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 on our outstanding borrowings.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and other risks, the fair values of all assets and liabilities should be taken into consideration, not only those presented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2026</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2025</w:t>
            </w:r>
          </w:p>
        </w:tc>
      </w:tr>
      <w:tr>
        <w:trPr>
          <w:trHeight w:val="209"/>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246.8</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553.5</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firstLine="8"/>
        <w:spacing w:after="0" w:line="305" w:lineRule="auto"/>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Although our historical experience related to demand and market conditions have been within expectations, a significant change in customer demand, market conditions, or technology could render certain inventory obsolete and thus could have a material adverse impact on our operating results in the period the change occurs.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2026</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2025</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235.3</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equipment, and information technology</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1,149.2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1,096.9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(753.7)</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343.2</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the third quarter of fiscal 2025, one of our assets, with a carrying value of $5.5 million, met the criteria to be classified as held for sale. This asset is reflected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It is expected to be sold within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developed technology and patents,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amortization expense for definite-lived intangible assets of $23.0 million and $ 20.0 million during the three months ended May 31, 2026 and May 31, 2025, respectively and $70.4 million and $45.5 million during the nine months ended May 31, 2026 and May 31, 2025,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AIS</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20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2025</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1,495.5</w:t>
            </w:r>
          </w:p>
        </w:tc>
      </w:tr>
      <w:tr>
        <w:trPr>
          <w:trHeight w:val="215"/>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3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May 31, 2026</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AIS</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20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2024</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Provisional amounts from acquired businesses</w:t>
            </w: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363.5</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15"/>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May 31, 2025</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2026</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31, 2025</w:t>
            </w:r>
          </w:p>
        </w:tc>
      </w:tr>
      <w:tr>
        <w:trPr>
          <w:trHeight w:val="210"/>
        </w:trPr>
        <w:tc>
          <w:tcPr>
            <w:tcW w:w="71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150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Product warranty costs</w:t>
            </w:r>
            <w:r>
              <w:rPr>
                <w:rFonts w:ascii="Arial" w:cs="Arial" w:eastAsia="Arial" w:hAnsi="Arial"/>
                <w:sz w:val="21"/>
                <w:szCs w:val="21"/>
                <w:color w:val="auto"/>
                <w:vertAlign w:val="superscript"/>
              </w:rPr>
              <w:t>(2)</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Interest on debt</w:t>
            </w:r>
            <w:r>
              <w:rPr>
                <w:rFonts w:ascii="Arial" w:cs="Arial" w:eastAsia="Arial" w:hAnsi="Arial"/>
                <w:sz w:val="21"/>
                <w:szCs w:val="21"/>
                <w:color w:val="auto"/>
                <w:vertAlign w:val="superscript"/>
              </w:rPr>
              <w:t>(4)</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1500" w:type="dxa"/>
            <w:vAlign w:val="bottom"/>
            <w:tcBorders>
              <w:bottom w:val="single" w:sz="8" w:color="auto"/>
            </w:tcBorders>
          </w:tcPr>
          <w:p>
            <w:pPr>
              <w:jc w:val="right"/>
              <w:ind w:right="12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271.0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r>
      <w:tr>
        <w:trPr>
          <w:trHeight w:val="20"/>
        </w:trPr>
        <w:tc>
          <w:tcPr>
            <w:tcW w:w="7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the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footnote of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within our Form 10-K for additional information.</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40"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accruals for income, property, sales and use, and value-added taxes.</w:t>
      </w:r>
    </w:p>
    <w:p>
      <w:pPr>
        <w:spacing w:after="0" w:line="54" w:lineRule="exact"/>
        <w:rPr>
          <w:rFonts w:ascii="Arial" w:cs="Arial" w:eastAsia="Arial" w:hAnsi="Arial"/>
          <w:sz w:val="9"/>
          <w:szCs w:val="9"/>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the </w:t>
      </w:r>
      <w:r>
        <w:rPr>
          <w:rFonts w:ascii="Arial" w:cs="Arial" w:eastAsia="Arial" w:hAnsi="Arial"/>
          <w:sz w:val="12"/>
          <w:szCs w:val="12"/>
          <w:i w:val="1"/>
          <w:iCs w:val="1"/>
          <w:color w:val="auto"/>
        </w:rPr>
        <w:t>Debt and Lines of Credit</w:t>
      </w:r>
      <w:r>
        <w:rPr>
          <w:rFonts w:ascii="Arial" w:cs="Arial" w:eastAsia="Arial" w:hAnsi="Arial"/>
          <w:sz w:val="12"/>
          <w:szCs w:val="12"/>
          <w:color w:val="auto"/>
        </w:rPr>
        <w:t xml:space="preserve"> footnote of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for additional information.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Notes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2020, Acuity Brands Lighting, Inc., a wholly-owned operating subsidiary of Acuity Inc., issued $500.0 million aggregate principal amount of 2.150% senior unsecured notes due December 15, 2030 (the “Unsecured Notes”) at a price equal to 99.737% of their face value. Interest on the Unsecured Notes is paid semi-annually in arrears on June 15 and December 15 of each year. At issuance we recorded $ 4.8 million of deferred issuance costs related to the Unsecured Notes as a direct deduction from the face amount of the Unsecured Notes. These issuance costs are amortized over the 10-year term of the Unsecured Notes.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Inc. and ABL IP Holding LLC, a wholly-owned subsidiary of Acuity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8, 2026, we entered into a credit agreement (the “Credit Agreement”) with a syndicate of banks that provides us with an $800.0 million five-year unsecured revolving credit facility. The Credit Agreement will mature on May 8, 2031. Borrowings under the Credit Agreement bear interest at a rate equal to an adjusted base rate, Term Secured Overnight Financing Rate (“SOFR”), Euro Interbank Offered Rate (“EURIBOR”), Daily Simple Sterling Overnight Index Average (“SONIA”), or Term Canadian Overnight Repo Rate Average (“CORRA”), plus, in each case, an applicable margin. The applicable margin is based on, at our option, the Company’s leverage ratio or credit rating level, each as defined in the Credit Agreement, and ranges from 0.75% to 1.25%.</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Additionally, we will pay a quarterly facility fee based on the average daily amount of the revolving credit facility (regardless of usage), which will be determined, at the Company’s option, by the Company’s leverage ratio or credit rating level.</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replaced our prior credit agreement dated as of June 30, 2022 and amended on November 25, 2024 that was set to expire June 30, 2027. The prior credit agreement provided us with a $600.0 million five-year unsecured revolving credit facility and a delayed draw term loan facility of up to $600.0 million (the “Term Loan Facility”). In fiscal 2025, we incurred an aggregate $600.0 million in indebtedness on our Term Loan Facility in connection with the acquisition of QSC, and we voluntarily repaid $200.0 million of the outstanding obligation. In fiscal 2026, we voluntarily repaid an additional $200.0 million of the outstanding obligation. We repaid the remaining $200.0 million of borrowings outstanding on the Term Loan Facility using proceeds received from borrowings on the Credit Agreement.</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had borrowings outstanding under our credit agreements of $200.0 million and $400.0 million at May 31, 2026 and August 31, 2025, respectively.</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a leverage ratio covenant (“Maximum Leverage Ratio”) requiring the ratio of (a) the Company’s consolidated debt (subject to certain adjustments), less unrestricted cash and cash equivalents of the Company and its subsidiaries, to (b) the sum of the Company’s consolidated adjusted earnings before interest, tax, depreciation, and amortization (“EBITDA”) as of the last day of any fiscal quarter to be 3.75 to 1.00 or less, subject to the Company’s right to temporarily increase the maximum leverage ratio to up to 4.25 to 1.00 in connection with certain acquisitions.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Credit Agreement contains various customary restrictions, covenants and events of default. The revolving credit facility under the Credit Agreement is guaranteed by the Company’s material domestic subsidiaries (subject to certain exclusions) and certain other subsidiaries.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were in compliance with all financial covenants under our credit agreements as of the periods presented. At May 31, 2026, we had additional borrowing capacity under the Credit Agreement of $592.8 million under the most restrictive covenant in effect at the time. This represents the full amount of the revolving credit facility under the Credit Agreement less outstanding borrowings of $200.0 million and letters of credit of $7.2 million issued, primarily for securing collateral requirements under our casualty insurance policies.</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None of our existing debt instruments include provisions that would require an acceleration of repayments based solely on changes in our credit ratings. Borrowings and repayments on our revolving credit facility under the Credit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Agreement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May 31, 2026,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Costs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products generally have a standard warranty term of five years or less that assures our products comply with agreed upon specifications. We record an accrual for the estimated amount of future warranty costs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when the related revenue is recognized and when costs are deemed to be probable and can be reasonably estimated. Liabilities related to product warranty costs are subject to uncertainty because they require estimates of future costs. Estimated future warranty costs are primarily based on historical experience, including the number and costs of identified warranty claims as well as the period of time between the shipment of products and our settlement of related claims.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based on the timing of receipt of recovery. Recoveries are recorded net of allowances for credit losses.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assume that historical experience will continue to be the best indicator of future warranty costs, we cannot assure that future warranty costs will not exceed historical amounts, and/or loss recoveries will be fully collectible. If actual future warranty costs exceed recorded amounts, or recoveries are no longer collectible, adjustments to our accruals and/or receivables may be warranted, which could have a material adverse impact on our results of operations and cash flows.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based upon when we expect to settle the incurred warranty. The following table summarizes changes in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product warranty costs, excluding any estimated or actual lost recoveries, during the periods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Product warranty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Payments and other deductions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Acquired warranty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Nine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May 31, 2026</w:t>
            </w:r>
          </w:p>
        </w:tc>
        <w:tc>
          <w:tcPr>
            <w:tcW w:w="3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May 31, 2025</w:t>
            </w:r>
          </w:p>
        </w:tc>
      </w:tr>
      <w:tr>
        <w:trPr>
          <w:trHeight w:val="208"/>
        </w:trPr>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15"/>
        </w:trPr>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6"/>
        </w:trPr>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7"/>
        </w:trPr>
        <w:tc>
          <w:tcPr>
            <w:tcW w:w="30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-736600</wp:posOffset>
            </wp:positionV>
            <wp:extent cx="710628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-454025</wp:posOffset>
            </wp:positionV>
            <wp:extent cx="710628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-179705</wp:posOffset>
            </wp:positionV>
            <wp:extent cx="7106285"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40"/>
          </w:cols>
          <w:pgMar w:left="320" w:top="122"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Tariff Refunds</w:t>
      </w:r>
    </w:p>
    <w:p>
      <w:pPr>
        <w:spacing w:after="0" w:line="1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On February 20, 2026, the U.S. Supreme Court issued a ruling addressing the validity of certain tariffs implemented under the International Emergency Economic Powers Act (“IEEPA”). In March 2026, the U.S. Court of International Trade issued an additional ruling that importers that paid tariffs under IEEPA are due refunds. We paid tariffs during fiscal years 2025 and 2026 on certain imported products and materials that were subject to these IEEPA</w:t>
      </w:r>
      <w:r>
        <w:rPr>
          <w:rFonts w:ascii="MS PGothic" w:cs="MS PGothic" w:eastAsia="MS PGothic" w:hAnsi="MS PGothic"/>
          <w:sz w:val="18"/>
          <w:szCs w:val="18"/>
          <w:color w:val="auto"/>
        </w:rPr>
        <w:t>‑</w:t>
      </w:r>
      <w:r>
        <w:rPr>
          <w:rFonts w:ascii="Arial" w:cs="Arial" w:eastAsia="Arial" w:hAnsi="Arial"/>
          <w:sz w:val="18"/>
          <w:szCs w:val="18"/>
          <w:color w:val="auto"/>
        </w:rPr>
        <w:t xml:space="preserve">based duties. As the nature, timing, and extent of any such refunds remains uncertain, we have elected to account for refunds of these tariffs as gain contingencies based on the original tariff cost recognition in accordance with ASC 450,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(“ASC 450”). During the three and nine months ended May 31, 2026, we recorded $6.4 million in tariff refunds in</w:t>
      </w:r>
      <w:r>
        <w:rPr>
          <w:rFonts w:ascii="Arial" w:cs="Arial" w:eastAsia="Arial" w:hAnsi="Arial"/>
          <w:sz w:val="18"/>
          <w:szCs w:val="18"/>
          <w:i w:val="1"/>
          <w:iCs w:val="1"/>
          <w:color w:val="auto"/>
        </w:rPr>
        <w:t xml:space="preserve"> Cost of products sold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Statements of Comprehensive Income.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50"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45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580" w:type="dxa"/>
            <w:vAlign w:val="bottom"/>
          </w:tcPr>
          <w:p>
            <w:pPr>
              <w:spacing w:after="0"/>
              <w:rPr>
                <w:sz w:val="10"/>
                <w:szCs w:val="10"/>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1,164.7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4,285.8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(2,649.6)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2,724.9</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 and other</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$0.17 per share paid on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64"/>
        </w:trPr>
        <w:tc>
          <w:tcPr>
            <w:tcW w:w="4580" w:type="dxa"/>
            <w:vAlign w:val="bottom"/>
          </w:tcPr>
          <w:p>
            <w:pPr>
              <w:ind w:left="20"/>
              <w:spacing w:after="0"/>
              <w:rPr>
                <w:sz w:val="20"/>
                <w:szCs w:val="20"/>
                <w:color w:val="auto"/>
              </w:rPr>
            </w:pPr>
            <w:r>
              <w:rPr>
                <w:rFonts w:ascii="Arial" w:cs="Arial" w:eastAsia="Arial" w:hAnsi="Arial"/>
                <w:sz w:val="13"/>
                <w:szCs w:val="13"/>
                <w:color w:val="auto"/>
              </w:rPr>
              <w:t>Balance, November 30, 2025</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1,151.0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4,401.0</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(2,677.2)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2,794.0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Other comprehensive income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221"/>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Stock options exercised and other</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of $0.20 per share paid on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(77.9)</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1,164.5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4,491.5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(2,755.1)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2,840.8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141.0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 and other</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$0.20 per share paid on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(127.2)</w:t>
            </w:r>
          </w:p>
        </w:tc>
        <w:tc>
          <w:tcPr>
            <w:tcW w:w="0" w:type="dxa"/>
            <w:vAlign w:val="bottom"/>
          </w:tcPr>
          <w:p>
            <w:pPr>
              <w:spacing w:after="0"/>
              <w:rPr>
                <w:sz w:val="1"/>
                <w:szCs w:val="1"/>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3"/>
                <w:szCs w:val="13"/>
                <w:color w:val="auto"/>
              </w:rPr>
              <w:t>Balance, May 31, 2026</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1,178.4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4,626.4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(2,882.3)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2,851.5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8"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Share activity and balances above are calculated using rounded numbers.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 Represents shares of less than 0.1 million.</w:t>
      </w:r>
    </w:p>
    <w:p>
      <w:pPr>
        <w:spacing w:after="0" w:line="159"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45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580" w:type="dxa"/>
            <w:vAlign w:val="bottom"/>
          </w:tcPr>
          <w:p>
            <w:pPr>
              <w:spacing w:after="0"/>
              <w:rPr>
                <w:sz w:val="10"/>
                <w:szCs w:val="10"/>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1,115.9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3,909.8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(2,532.5)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2,378.8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 and other</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$0.15 per share paid on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4"/>
        </w:trPr>
        <w:tc>
          <w:tcPr>
            <w:tcW w:w="4580" w:type="dxa"/>
            <w:vAlign w:val="bottom"/>
          </w:tcPr>
          <w:p>
            <w:pPr>
              <w:ind w:left="20"/>
              <w:spacing w:after="0"/>
              <w:rPr>
                <w:sz w:val="20"/>
                <w:szCs w:val="20"/>
                <w:color w:val="auto"/>
              </w:rPr>
            </w:pPr>
            <w:r>
              <w:rPr>
                <w:rFonts w:ascii="Arial" w:cs="Arial" w:eastAsia="Arial" w:hAnsi="Arial"/>
                <w:sz w:val="13"/>
                <w:szCs w:val="13"/>
                <w:color w:val="auto"/>
              </w:rPr>
              <w:t>Balance, November 30, 2024</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1,120.5</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4,012.0</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(2,537.9)</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2,463.4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Other comprehensive loss</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Stock options exercised and other</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of $0.17 per share paid on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1,132.8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4,084.0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2,520.4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 and other</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$0.17 per share paid on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3"/>
                <w:szCs w:val="13"/>
                <w:color w:val="auto"/>
              </w:rPr>
              <w:t>Balance, May 31, 2025</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1,143.5</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4,177.1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(2,622.5)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2,584.0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6960" w:firstLine="8"/>
        <w:spacing w:after="0" w:line="246" w:lineRule="auto"/>
        <w:tabs>
          <w:tab w:leader="none" w:pos="135"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Share activity and balances above are calculated using rounded numbers. * Represents shares of less than 0.1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Sheets </w:t>
      </w:r>
      <w:r>
        <w:rPr>
          <w:rFonts w:ascii="Arial" w:cs="Arial" w:eastAsia="Arial" w:hAnsi="Arial"/>
          <w:sz w:val="18"/>
          <w:szCs w:val="18"/>
          <w:color w:val="auto"/>
        </w:rPr>
        <w:t>at net realizable value. Further details regarding our method for developing our estimate of expected credit losses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contractual term of our receivables are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do not have any other significant contract assets. Contract liabilities arise when we receive cash or an unconditional right to collect cash prior to the transfer of control of goods or services.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May 31, 2026</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August 31, 2025</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16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1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38.0</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upfront fees collected for service-type warranties, time-bound software licenses, software as a service arrangements, and professional fees and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These services are expected to be performed within one year. Revenue recognized from beginning balances of contract liabilities during the nine months ended May 31, 2026 totaled $17.6 million.</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years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May 31, 2026 and consist primarily of orders for physical goods that have not yet been shipped.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ABL segment's luminaires and electronics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AIS sells predominantly to system integrators. The following table shows revenue from contracts with customers by sales channel and reconciles to our segment information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2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4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May 31, 2026</w:t>
            </w:r>
          </w:p>
        </w:tc>
        <w:tc>
          <w:tcPr>
            <w:tcW w:w="3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May 31, 2026</w:t>
            </w: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31, 2025</w:t>
            </w:r>
          </w:p>
        </w:tc>
      </w:tr>
      <w:tr>
        <w:trPr>
          <w:trHeight w:val="196"/>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3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5"/>
        </w:trPr>
        <w:tc>
          <w:tcPr>
            <w:tcW w:w="310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690.5</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685.3</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1,973.5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1,944.4</w:t>
            </w:r>
          </w:p>
        </w:tc>
      </w:tr>
      <w:tr>
        <w:trPr>
          <w:trHeight w:val="217"/>
        </w:trPr>
        <w:tc>
          <w:tcPr>
            <w:tcW w:w="3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w:t>
            </w:r>
          </w:p>
        </w:tc>
      </w:tr>
      <w:tr>
        <w:trPr>
          <w:trHeight w:val="215"/>
        </w:trPr>
        <w:tc>
          <w:tcPr>
            <w:tcW w:w="310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127.3</w:t>
            </w:r>
          </w:p>
        </w:tc>
      </w:tr>
      <w:tr>
        <w:trPr>
          <w:trHeight w:val="217"/>
        </w:trPr>
        <w:tc>
          <w:tcPr>
            <w:tcW w:w="3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215"/>
        </w:trPr>
        <w:tc>
          <w:tcPr>
            <w:tcW w:w="3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w:t>
            </w: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2,649.8</w:t>
            </w: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color w:val="auto"/>
              </w:rPr>
              <w:t>AIS</w:t>
            </w: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303.5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509.1</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3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0"/>
        </w:trPr>
        <w:tc>
          <w:tcPr>
            <w:tcW w:w="3100" w:type="dxa"/>
            <w:vAlign w:val="bottom"/>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1,198.0</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3,136.5</w:t>
            </w:r>
          </w:p>
        </w:tc>
      </w:tr>
      <w:tr>
        <w:trPr>
          <w:trHeight w:val="20"/>
        </w:trPr>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restricted stock, performance stock units, and stock options (all part of our equity incentive plan), as well as stock units representing certain deferrals into our director deferred compensation plan or our supplemental deferred savings plan.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tcPr>
          <w:p>
            <w:pPr>
              <w:spacing w:after="0"/>
              <w:rPr>
                <w:sz w:val="18"/>
                <w:szCs w:val="18"/>
                <w:color w:val="auto"/>
              </w:rPr>
            </w:pPr>
          </w:p>
        </w:tc>
        <w:tc>
          <w:tcPr>
            <w:tcW w:w="38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May 31, 2026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May 31, 2025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2026</w:t>
            </w:r>
          </w:p>
        </w:tc>
        <w:tc>
          <w:tcPr>
            <w:tcW w:w="260" w:type="dxa"/>
            <w:vAlign w:val="bottom"/>
          </w:tcPr>
          <w:p>
            <w:pPr>
              <w:spacing w:after="0"/>
              <w:rPr>
                <w:sz w:val="18"/>
                <w:szCs w:val="18"/>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31, 2025</w:t>
            </w: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640" w:type="dxa"/>
            <w:vAlign w:val="bottom"/>
            <w:tcBorders>
              <w:top w:val="single" w:sz="8" w:color="auto"/>
            </w:tcBorders>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pension plans, both qualified and non-qualified, covering certain hourly and salaried employees. Benefits paid under these plans are based generally on employees’ years of service and/or compensation during the final years of employment. We historically have made at least the minimum annual contributions to the plans to the extent indicated by actuarial valuations and statutory requirements. Plan assets are invested primarily in fixed income and equity securities.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function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20" w:type="dxa"/>
            <w:vAlign w:val="bottom"/>
          </w:tcPr>
          <w:p>
            <w:pPr>
              <w:spacing w:after="0"/>
              <w:rPr>
                <w:sz w:val="18"/>
                <w:szCs w:val="18"/>
                <w:color w:val="auto"/>
              </w:rPr>
            </w:pPr>
          </w:p>
        </w:tc>
        <w:tc>
          <w:tcPr>
            <w:tcW w:w="390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120" w:type="dxa"/>
            <w:vAlign w:val="bottom"/>
          </w:tcPr>
          <w:p>
            <w:pPr>
              <w:spacing w:after="0"/>
              <w:rPr>
                <w:sz w:val="18"/>
                <w:szCs w:val="18"/>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May 31, 2026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b w:val="1"/>
                <w:bCs w:val="1"/>
                <w:color w:val="auto"/>
              </w:rPr>
              <w:t>May 31, 2025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2026</w:t>
            </w:r>
          </w:p>
        </w:tc>
        <w:tc>
          <w:tcPr>
            <w:tcW w:w="240" w:type="dxa"/>
            <w:vAlign w:val="bottom"/>
          </w:tcPr>
          <w:p>
            <w:pPr>
              <w:spacing w:after="0"/>
              <w:rPr>
                <w:sz w:val="18"/>
                <w:szCs w:val="18"/>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31, 2025</w:t>
            </w: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660" w:type="dxa"/>
            <w:vAlign w:val="bottom"/>
            <w:tcBorders>
              <w:top w:val="single" w:sz="8" w:color="auto"/>
            </w:tcBorders>
            <w:shd w:val="clear" w:color="auto" w:fill="CCEEFF"/>
          </w:tcPr>
          <w:p>
            <w:pPr>
              <w:jc w:val="right"/>
              <w:ind w:right="147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49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center"/>
              <w:ind w:left="1079"/>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5"/>
        </w:trPr>
        <w:tc>
          <w:tcPr>
            <w:tcW w:w="3120" w:type="dxa"/>
            <w:vAlign w:val="bottom"/>
          </w:tcPr>
          <w:p>
            <w:pPr>
              <w:ind w:left="20"/>
              <w:spacing w:after="0"/>
              <w:rPr>
                <w:sz w:val="20"/>
                <w:szCs w:val="20"/>
                <w:color w:val="auto"/>
              </w:rPr>
            </w:pPr>
            <w:r>
              <w:rPr>
                <w:rFonts w:ascii="Arial" w:cs="Arial" w:eastAsia="Arial" w:hAnsi="Arial"/>
                <w:sz w:val="16"/>
                <w:szCs w:val="16"/>
                <w:color w:val="auto"/>
              </w:rPr>
              <w:t>Administrative cost</w:t>
            </w:r>
          </w:p>
        </w:tc>
        <w:tc>
          <w:tcPr>
            <w:tcW w:w="16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20" w:type="dxa"/>
            <w:vAlign w:val="bottom"/>
          </w:tcPr>
          <w:p>
            <w:pPr>
              <w:jc w:val="center"/>
              <w:ind w:left="10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1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107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5"/>
        </w:trPr>
        <w:tc>
          <w:tcPr>
            <w:tcW w:w="312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center"/>
              <w:ind w:left="105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16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center"/>
              <w:ind w:left="107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312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1660" w:type="dxa"/>
            <w:vAlign w:val="bottom"/>
            <w:tcBorders>
              <w:bottom w:val="single" w:sz="8" w:color="auto"/>
            </w:tcBorders>
          </w:tcPr>
          <w:p>
            <w:pPr>
              <w:jc w:val="right"/>
              <w:ind w:right="14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14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center"/>
              <w:ind w:left="107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1"/>
        </w:trPr>
        <w:tc>
          <w:tcPr>
            <w:tcW w:w="3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recognized no special charges during the three months ended May 31, 2026. During the nine months ended May 31, 2026, we recognized pre-tax special charges consisting of employee severance costs of $5.9 million related to productivity improvements in our ABL segment. These charges primarily related to labor cost reductions.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and nine months ended May 31, 2025, we recognized pre-tax special charges of $29.7 million comprised of impairments of long lived assets of $ 16.7 million, severance and employee-related costs of $7.2 million, and other items of $5.8 million. These costs were related to productivity initiatives in our ABL segment.</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As of May 31, 2026, remaining accruals related to special charges totaled $0.6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amounts related to unpaid severance and employee-related costs from our fiscal 2026 actions.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w:t>
      </w:r>
      <w:r>
        <w:rPr>
          <w:rFonts w:ascii="Arial" w:cs="Arial" w:eastAsia="Arial" w:hAnsi="Arial"/>
          <w:sz w:val="18"/>
          <w:szCs w:val="18"/>
          <w:i w:val="1"/>
          <w:iCs w:val="1"/>
          <w:color w:val="auto"/>
        </w:rPr>
        <w:t>ther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xml:space="preserve"> for the periods presented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May 31, 2026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May 31, 2025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 2026</w:t>
            </w:r>
          </w:p>
        </w:tc>
        <w:tc>
          <w:tcPr>
            <w:tcW w:w="240" w:type="dxa"/>
            <w:vAlign w:val="bottom"/>
          </w:tcPr>
          <w:p>
            <w:pPr>
              <w:spacing w:after="0"/>
              <w:rPr>
                <w:sz w:val="17"/>
                <w:szCs w:val="17"/>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May 31, 2025</w:t>
            </w:r>
          </w:p>
        </w:tc>
      </w:tr>
      <w:tr>
        <w:trPr>
          <w:trHeight w:val="183"/>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(income), net:</w:t>
            </w:r>
          </w:p>
        </w:tc>
        <w:tc>
          <w:tcPr>
            <w:tcW w:w="12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198"/>
        </w:trPr>
        <w:tc>
          <w:tcPr>
            <w:tcW w:w="44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340" w:type="dxa"/>
            <w:vAlign w:val="bottom"/>
          </w:tcPr>
          <w:p>
            <w:pPr>
              <w:jc w:val="center"/>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1260" w:type="dxa"/>
            <w:vAlign w:val="bottom"/>
          </w:tcPr>
          <w:p>
            <w:pPr>
              <w:jc w:val="right"/>
              <w:ind w:right="1108"/>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w w:val="95"/>
              </w:rPr>
              <w:t>14.6</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32.4</w:t>
            </w:r>
          </w:p>
        </w:tc>
      </w:tr>
      <w:tr>
        <w:trPr>
          <w:trHeight w:val="207"/>
        </w:trPr>
        <w:tc>
          <w:tcPr>
            <w:tcW w:w="4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12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(1.7)</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92"/>
        </w:trPr>
        <w:tc>
          <w:tcPr>
            <w:tcW w:w="4480" w:type="dxa"/>
            <w:vAlign w:val="bottom"/>
          </w:tcPr>
          <w:p>
            <w:pPr>
              <w:ind w:left="240"/>
              <w:spacing w:after="0"/>
              <w:rPr>
                <w:sz w:val="20"/>
                <w:szCs w:val="20"/>
                <w:color w:val="auto"/>
              </w:rPr>
            </w:pPr>
            <w:r>
              <w:rPr>
                <w:rFonts w:ascii="Arial" w:cs="Arial" w:eastAsia="Arial" w:hAnsi="Arial"/>
                <w:sz w:val="14"/>
                <w:szCs w:val="14"/>
                <w:color w:val="auto"/>
              </w:rPr>
              <w:t>Interest expense, net</w:t>
            </w:r>
          </w:p>
        </w:tc>
        <w:tc>
          <w:tcPr>
            <w:tcW w:w="128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w w:val="95"/>
              </w:rPr>
              <w:t>12.1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0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(income), net:</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8"/>
        </w:trPr>
        <w:tc>
          <w:tcPr>
            <w:tcW w:w="4480" w:type="dxa"/>
            <w:vAlign w:val="bottom"/>
          </w:tcPr>
          <w:p>
            <w:pPr>
              <w:ind w:left="140"/>
              <w:spacing w:after="0"/>
              <w:rPr>
                <w:sz w:val="20"/>
                <w:szCs w:val="20"/>
                <w:color w:val="auto"/>
              </w:rPr>
            </w:pPr>
            <w:r>
              <w:rPr>
                <w:rFonts w:ascii="Arial" w:cs="Arial" w:eastAsia="Arial" w:hAnsi="Arial"/>
                <w:sz w:val="14"/>
                <w:szCs w:val="14"/>
                <w:color w:val="auto"/>
              </w:rPr>
              <w:t>Non-service components of net periodic pension cost</w:t>
            </w:r>
          </w:p>
        </w:tc>
        <w:tc>
          <w:tcPr>
            <w:tcW w:w="128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7"/>
        </w:trPr>
        <w:tc>
          <w:tcPr>
            <w:tcW w:w="4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transaction losses</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8"/>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items</w:t>
            </w:r>
          </w:p>
        </w:tc>
        <w:tc>
          <w:tcPr>
            <w:tcW w:w="1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(0.2)</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4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Miscellaneous expense, net</w:t>
            </w:r>
          </w:p>
        </w:tc>
        <w:tc>
          <w:tcPr>
            <w:tcW w:w="12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00"/>
        </w:trPr>
        <w:tc>
          <w:tcPr>
            <w:tcW w:w="448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5"/>
              </w:rPr>
              <w:t>14.4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r>
      <w:tr>
        <w:trPr>
          <w:trHeight w:val="20"/>
        </w:trPr>
        <w:tc>
          <w:tcPr>
            <w:tcW w:w="4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 2026</w:t>
            </w:r>
          </w:p>
        </w:tc>
        <w:tc>
          <w:tcPr>
            <w:tcW w:w="24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 2025</w:t>
            </w:r>
          </w:p>
        </w:tc>
        <w:tc>
          <w:tcPr>
            <w:tcW w:w="24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 2026</w:t>
            </w:r>
          </w:p>
        </w:tc>
        <w:tc>
          <w:tcPr>
            <w:tcW w:w="240" w:type="dxa"/>
            <w:vAlign w:val="bottom"/>
          </w:tcPr>
          <w:p>
            <w:pPr>
              <w:spacing w:after="0"/>
              <w:rPr>
                <w:sz w:val="17"/>
                <w:szCs w:val="17"/>
                <w:color w:val="auto"/>
              </w:rPr>
            </w:pPr>
          </w:p>
        </w:tc>
        <w:tc>
          <w:tcPr>
            <w:tcW w:w="1420" w:type="dxa"/>
            <w:vAlign w:val="bottom"/>
          </w:tcPr>
          <w:p>
            <w:pPr>
              <w:jc w:val="right"/>
              <w:ind w:right="328"/>
              <w:spacing w:after="0"/>
              <w:rPr>
                <w:sz w:val="20"/>
                <w:szCs w:val="20"/>
                <w:color w:val="auto"/>
              </w:rPr>
            </w:pPr>
            <w:r>
              <w:rPr>
                <w:rFonts w:ascii="Arial" w:cs="Arial" w:eastAsia="Arial" w:hAnsi="Arial"/>
                <w:sz w:val="14"/>
                <w:szCs w:val="14"/>
                <w:b w:val="1"/>
                <w:bCs w:val="1"/>
                <w:color w:val="auto"/>
              </w:rPr>
              <w:t>May 31, 2025</w:t>
            </w:r>
          </w:p>
        </w:tc>
        <w:tc>
          <w:tcPr>
            <w:tcW w:w="0" w:type="dxa"/>
            <w:vAlign w:val="bottom"/>
          </w:tcPr>
          <w:p>
            <w:pPr>
              <w:spacing w:after="0"/>
              <w:rPr>
                <w:sz w:val="1"/>
                <w:szCs w:val="1"/>
                <w:color w:val="auto"/>
              </w:rPr>
            </w:pPr>
          </w:p>
        </w:tc>
      </w:tr>
      <w:tr>
        <w:trPr>
          <w:trHeight w:val="222"/>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30.268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30.851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30.520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30.912</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0.714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0.761</w:t>
            </w:r>
          </w:p>
        </w:tc>
        <w:tc>
          <w:tcPr>
            <w:tcW w:w="0" w:type="dxa"/>
            <w:vAlign w:val="bottom"/>
          </w:tcPr>
          <w:p>
            <w:pPr>
              <w:spacing w:after="0"/>
              <w:rPr>
                <w:sz w:val="1"/>
                <w:szCs w:val="1"/>
                <w:color w:val="auto"/>
              </w:rPr>
            </w:pPr>
          </w:p>
        </w:tc>
      </w:tr>
      <w:tr>
        <w:trPr>
          <w:trHeight w:val="200"/>
        </w:trPr>
        <w:tc>
          <w:tcPr>
            <w:tcW w:w="436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31.565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31.278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31.673</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Basic earnings per share</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tcPr>
          <w:p>
            <w:pPr>
              <w:ind w:left="20"/>
              <w:spacing w:after="0" w:line="176" w:lineRule="exact"/>
              <w:rPr>
                <w:sz w:val="20"/>
                <w:szCs w:val="20"/>
                <w:color w:val="auto"/>
              </w:rPr>
            </w:pPr>
            <w:r>
              <w:rPr>
                <w:rFonts w:ascii="Arial" w:cs="Arial" w:eastAsia="Arial" w:hAnsi="Arial"/>
                <w:sz w:val="14"/>
                <w:szCs w:val="14"/>
                <w:color w:val="auto"/>
              </w:rPr>
              <w:t>Diluted earnings per share</w:t>
            </w:r>
            <w:r>
              <w:rPr>
                <w:rFonts w:ascii="Arial" w:cs="Arial" w:eastAsia="Arial" w:hAnsi="Arial"/>
                <w:sz w:val="18"/>
                <w:szCs w:val="18"/>
                <w:color w:val="auto"/>
                <w:vertAlign w:val="superscript"/>
              </w:rPr>
              <w:t>(1)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8"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calculated using unrounded numbers. Amounts in the table may not recalculate exactly due to rounding.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Stock options, performance stock awards, and restricted stock awards that were excluded from the diluted earnings per share calculation as the effect of inclusion would have been antidilutive were immaterial for the three and nine months ended May 31, 2026 and May 31, 2025.</w:t>
      </w:r>
    </w:p>
    <w:p>
      <w:pPr>
        <w:spacing w:after="0" w:line="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Comprehensive Income</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(loss) income items, which are comprised of foreign currency translation and pension adjustments.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Items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2025</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98"/>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31, 2026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Items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2024</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98"/>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31, 2025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firstLine="8"/>
        <w:spacing w:after="0" w:line="291" w:lineRule="auto"/>
        <w:tabs>
          <w:tab w:leader="none" w:pos="122"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 xml:space="preserve">The before tax amounts of the defined benefit pension plan items are included in net periodic pension cost. See the </w:t>
      </w:r>
      <w:r>
        <w:rPr>
          <w:rFonts w:ascii="Arial" w:cs="Arial" w:eastAsia="Arial" w:hAnsi="Arial"/>
          <w:sz w:val="11"/>
          <w:szCs w:val="11"/>
          <w:i w:val="1"/>
          <w:iCs w:val="1"/>
          <w:color w:val="auto"/>
        </w:rPr>
        <w:t>Pension and Defined Contribution Plans</w:t>
      </w:r>
      <w:r>
        <w:rPr>
          <w:rFonts w:ascii="Arial" w:cs="Arial" w:eastAsia="Arial" w:hAnsi="Arial"/>
          <w:sz w:val="11"/>
          <w:szCs w:val="11"/>
          <w:color w:val="auto"/>
        </w:rPr>
        <w:t xml:space="preserve"> footnote of the </w:t>
      </w:r>
      <w:r>
        <w:rPr>
          <w:rFonts w:ascii="Arial" w:cs="Arial" w:eastAsia="Arial" w:hAnsi="Arial"/>
          <w:sz w:val="11"/>
          <w:szCs w:val="11"/>
          <w:i w:val="1"/>
          <w:iCs w:val="1"/>
          <w:color w:val="auto"/>
        </w:rPr>
        <w:t>Notes to Consolidated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Financial Statements </w:t>
      </w:r>
      <w:r>
        <w:rPr>
          <w:rFonts w:ascii="Arial" w:cs="Arial" w:eastAsia="Arial" w:hAnsi="Arial"/>
          <w:sz w:val="11"/>
          <w:szCs w:val="11"/>
          <w:color w:val="auto"/>
        </w:rPr>
        <w:t>for additional details.</w:t>
      </w:r>
    </w:p>
    <w:p>
      <w:pPr>
        <w:spacing w:after="0" w:line="83"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(loss) income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2026</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2025</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Actuarial losses on defined benefit pension plans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2026</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2025</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Actuarial losses on defined benefit pension plans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report our financial results of operations in two reportable segments, ABL and AIS, consistent with how our chief operating decision maker (“CODM”), Neil Ashe, Chairman, President and Chief Executive Officer, evaluates operating results, assesses performance, and allocates resources within the Company. See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further details on how we identify our reportable segments.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both segments, our CODM uses segment operating profit as the measurement of segment profit to allocate resources and assess performance. Our CODM considers target-to-actual differences in operating profit when making decisions on how to allocate capital and resources. Additionally, he considers segment operating profit when evaluating employee compensation and personnel allocations.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allocate certain working capital assets and capital expenditures to our segments primarily to assess each segment's contribution to our consolidated operating cash flows and capital expenditures. Segment assets include accounts receivable and inventory. Unallocated assets are presented in corporate as a reconciling item to our total consolidated assets.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segments. These include expenses related to governance, policy setting, compliance, and certain other shared services functions. Additionally, net interest expense, net miscellaneous expense, and income tax expense are not allocated to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Three Months Ended May 31, 2026</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ABL</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AIS</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1,198.0</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481.8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120.5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tcPr>
          <w:p>
            <w:pPr>
              <w:ind w:left="820"/>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591.6</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9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262.8</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413.1</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160.6</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56.5</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193.3</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Miscellaneous expense, net</w:t>
            </w:r>
          </w:p>
        </w:tc>
        <w:tc>
          <w:tcPr>
            <w:tcW w:w="9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9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Segment assets</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840.0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229.2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3,566.2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4,635.4</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Three Months Ended May 31, 2025</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ABL</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AIS</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1,178.6</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492.8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124.3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tcPr>
          <w:p>
            <w:pPr>
              <w:ind w:left="900"/>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608.4</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400.7</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Interest expense, net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line="20" w:lineRule="exact"/>
              <w:rPr>
                <w:sz w:val="1"/>
                <w:szCs w:val="1"/>
                <w:color w:val="auto"/>
              </w:rPr>
            </w:pPr>
          </w:p>
        </w:tc>
      </w:tr>
      <w:tr>
        <w:trPr>
          <w:trHeight w:val="145"/>
        </w:trPr>
        <w:tc>
          <w:tcPr>
            <w:tcW w:w="39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net</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assets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4,646.3</w:t>
            </w:r>
          </w:p>
        </w:tc>
        <w:tc>
          <w:tcPr>
            <w:tcW w:w="0" w:type="dxa"/>
            <w:vAlign w:val="bottom"/>
          </w:tcPr>
          <w:p>
            <w:pPr>
              <w:spacing w:after="0"/>
              <w:rPr>
                <w:sz w:val="1"/>
                <w:szCs w:val="1"/>
                <w:color w:val="auto"/>
              </w:rPr>
            </w:pPr>
          </w:p>
        </w:tc>
      </w:tr>
      <w:tr>
        <w:trPr>
          <w:trHeight w:val="194"/>
        </w:trPr>
        <w:tc>
          <w:tcPr>
            <w:tcW w:w="390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Nine Months Ended May 31, 2026</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ABL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AIS</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2,617.7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809.0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3,397.4</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1,419.9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326.2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tcPr>
          <w:p>
            <w:pPr>
              <w:ind w:left="820"/>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1,716.8</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1,188.0</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Interest expense, net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line="20" w:lineRule="exact"/>
              <w:rPr>
                <w:sz w:val="1"/>
                <w:szCs w:val="1"/>
                <w:color w:val="auto"/>
              </w:rPr>
            </w:pPr>
          </w:p>
        </w:tc>
      </w:tr>
      <w:tr>
        <w:trPr>
          <w:trHeight w:val="146"/>
        </w:trPr>
        <w:tc>
          <w:tcPr>
            <w:tcW w:w="39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net</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460.7</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61.3</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assets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4,635.4</w:t>
            </w:r>
          </w:p>
        </w:tc>
        <w:tc>
          <w:tcPr>
            <w:tcW w:w="0" w:type="dxa"/>
            <w:vAlign w:val="bottom"/>
          </w:tcPr>
          <w:p>
            <w:pPr>
              <w:spacing w:after="0"/>
              <w:rPr>
                <w:sz w:val="1"/>
                <w:szCs w:val="1"/>
                <w:color w:val="auto"/>
              </w:rPr>
            </w:pPr>
          </w:p>
        </w:tc>
      </w:tr>
      <w:tr>
        <w:trPr>
          <w:trHeight w:val="194"/>
        </w:trPr>
        <w:tc>
          <w:tcPr>
            <w:tcW w:w="390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Nine Months Ended May 31, 2025</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ABL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AIS</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2,649.8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509.1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(22.4)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3,136.5</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1,435.0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236.4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tcPr>
          <w:p>
            <w:pPr>
              <w:ind w:left="820"/>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1,649.0</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1,074.5</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Interest expense, net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line="20" w:lineRule="exact"/>
              <w:rPr>
                <w:sz w:val="1"/>
                <w:szCs w:val="1"/>
                <w:color w:val="auto"/>
              </w:rPr>
            </w:pPr>
          </w:p>
        </w:tc>
      </w:tr>
      <w:tr>
        <w:trPr>
          <w:trHeight w:val="145"/>
        </w:trPr>
        <w:tc>
          <w:tcPr>
            <w:tcW w:w="39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net</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362.5</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31.5</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assets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4,646.3</w:t>
            </w:r>
          </w:p>
        </w:tc>
        <w:tc>
          <w:tcPr>
            <w:tcW w:w="0" w:type="dxa"/>
            <w:vAlign w:val="bottom"/>
          </w:tcPr>
          <w:p>
            <w:pPr>
              <w:spacing w:after="0"/>
              <w:rPr>
                <w:sz w:val="1"/>
                <w:szCs w:val="1"/>
                <w:color w:val="auto"/>
              </w:rPr>
            </w:pPr>
          </w:p>
        </w:tc>
      </w:tr>
      <w:tr>
        <w:trPr>
          <w:trHeight w:val="195"/>
        </w:trPr>
        <w:tc>
          <w:tcPr>
            <w:tcW w:w="390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Inc. (referred to herein as “we,” “our,” “us,” the “Company,” or similar references) and its subsidiaries as of May 31, 2026 and for the three and nine months ended May 31, 2026 and May 31, 2025.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within this report. Also, please refer to Acuity Inc.'s Annual Report on Form 10-K for the fiscal year ended August 31, 2025, filed with the Securities and Exchange Commission (the “SEC”) on October 27, 2025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Both ABL and AIS exhibit some seasonality, with net sales being affected by business days, weather and seasonal demand on construction and installation programs, particularly during the winter months, and the annual budget cycles of major customers. Historically, with certain exceptions, we have experienced our highest sales in the last two quarters of each fiscal year due to these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pay a dividend, and to make share repurchases. Sufficient cash flow generation is also critical to fund our operations in the short and long term and to maintain compliance with covenants contained in our financing agreements.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outstanding debt, accounts payable, accrued employee compensation,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 Refer to</w:t>
      </w:r>
      <w:r>
        <w:rPr>
          <w:rFonts w:ascii="Arial" w:cs="Arial" w:eastAsia="Arial" w:hAnsi="Arial"/>
          <w:sz w:val="18"/>
          <w:szCs w:val="18"/>
          <w:i w:val="1"/>
          <w:iCs w:val="1"/>
          <w:color w:val="auto"/>
        </w:rPr>
        <w:t xml:space="preserve"> Financing Arrangements </w:t>
      </w:r>
      <w:r>
        <w:rPr>
          <w:rFonts w:ascii="Arial" w:cs="Arial" w:eastAsia="Arial" w:hAnsi="Arial"/>
          <w:sz w:val="18"/>
          <w:szCs w:val="18"/>
          <w:color w:val="auto"/>
        </w:rPr>
        <w:t>below for a</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significant changes to our contractual obligations for the first nine months of fiscal 2026.</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will be able to meet our liquidity needs over the next 12 months based on our cash on hand, current projections of cash flows from operations, borrowing availability under financing arrangements, and current access to capital markets.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cash position at May 31, 2026 was $411.9 million, a decrease of $10.6 million from August 31, 2025. Cash generated from operating activities and cash on hand were used during the current fiscal year to voluntarily repay borrowings as well as to fund our capital allocation priorities as discussed below.</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$ 520.2 million of cash flows from operating activities during the nine months ended May 31, 2026, compared to $398.9 million in the prior-year period, an increase of $121.3 million. Cash flows from operations increased due primarily to higher profit and lower income tax payments.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the terms of our various financing arrangements, including the 2.150% senior unsecured notes due December 15, 2030 (the “Unsecured Notes”), and the terms of our five-year credit agreement (“Credit Agreement”) entered into during the period set to expire May 8, 2031.</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May 31, 2026, our outstanding debt balance was $697.3 million, which consisted of our Unsecured Notes and borrowings on our revolving credit facility under the Credit Agreement, compared to our cash position of $411.9 million. We were in compliance with all covenants under our financing arrangements as of May 31, 2026.</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Inc. The Unsecured Notes are fully and unconditionally guaranteed on a senior unsecured basis by Acuity Inc. and ABL IP Holding LLC, a wholly-owned subsidiary of Acuity Inc. The following tables present summarized financial information for Acuity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32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31, 2026</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2025</w:t>
            </w:r>
          </w:p>
        </w:tc>
      </w:tr>
      <w:tr>
        <w:trPr>
          <w:trHeight w:val="209"/>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1,068.2</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3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303.5</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1,369.4</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604.0</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due to non-guarantor affiliates</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927.7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1,138.4</w:t>
            </w: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Pr>
          <w:p>
            <w:pPr>
              <w:spacing w:after="0"/>
              <w:rPr>
                <w:sz w:val="16"/>
                <w:szCs w:val="16"/>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b w:val="1"/>
                <w:bCs w:val="1"/>
                <w:color w:val="auto"/>
              </w:rPr>
              <w:t>Nine Months Ended May 31,</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939"/>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10"/>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2,459.7</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1,083.2</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first nine months of fiscal 2026, we voluntarily repaid $200.0 million of our outstanding obligation on our term loan facility (“Term Loan Facility”). Additionally, we repaid the remaining $ 200.0 million obligation on the Term Loan Facility with borrowings under the revolving credit facility under the Credit Agreement entered into on May 8, 2026. As of May 31, 2026, we had $200.0 million in remaining borrowings outstanding under revolving credit facility under the Credit Agreement.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May 31, 2026, we had additional borrowing capacity under the Credit Agreement of $592.8 million under the most restrictive covenant in effect at the time, which represents the full amount of borrowing capacity under the Credit Agreement of $800.0 million less outstanding borrowings of $200.0 million and letters of credit of $7.2 million, primarily for securing collateral requirements under our casualty insurance policies. As of May 31, 2026, our cash on hand combined with the additional borrowing capacity under the new Credit Agreement totaled $1.0 billion.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pay a dividend, and to make share repurchases.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invested $58.5 million and $43.6 million in property, plant, and equipment during the nine months ended May 31, 2026 and May 31, 2025, respectively. We invested primarily in new and enhanced information technology, equipment, tooling, and facility improvements in fiscal 2026.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seek opportunities to strategically expand and enhance our portfolio of solutions.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QSC,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2025, we acquired all of the equity interests of QSC, LLC (“QSC”), a leader in the design,</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engineering, and manufacturing of audio, video, and control solutions and services, for $ 1.2 billion. This acquisition expanded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Term Loan Facility. The operating results, assets, liabilities, and cash flows of QSC have been included in our consolidated financial statements since the date of acquisition.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$17.7 million ($0.57 per share) and $15.3 million ($0.49 per share) during the nine months ended May 31, 2026 and May 31, 2025,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first nine months of fiscal 2026 and 2025, we repurchased approximately 0.7 million shares and 0.3 million shares of our outstanding common stock for $232.7 million and $90.0 million, respectively.</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cash outflows for share repurchases during the nine months ended May 31, 2026 and May 31, 2025 were $229.9 million and $91.3 million, respectively.</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repurchase shares on an opportunistic basis subject to various factors including stock price, Company performance, market conditions, and other possible uses of cash. As of May 31, 2026, 2.6 million shares remained available within the program to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2026 Compared with Third Quarter of Fiscal 2025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three months ended May 31, 2026 and May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2025 (in millions except per-share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2026</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2025</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28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1,198.0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1,178.6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Cost of products sold</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591.6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608.4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90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570.2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50.6 %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48.4 %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220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r>
              <w:rPr>
                <w:rFonts w:ascii="Arial" w:cs="Arial" w:eastAsia="Arial" w:hAnsi="Arial"/>
                <w:sz w:val="18"/>
                <w:szCs w:val="18"/>
                <w:color w:val="auto"/>
                <w:vertAlign w:val="superscript"/>
              </w:rPr>
              <w:t>(2)</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18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(29.7)</w:t>
            </w:r>
          </w:p>
        </w:tc>
        <w:tc>
          <w:tcPr>
            <w:tcW w:w="46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193.3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139.8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53.5</w:t>
            </w:r>
          </w:p>
        </w:tc>
        <w:tc>
          <w:tcPr>
            <w:tcW w:w="17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16.1 %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11.9 %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420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w:t>
            </w:r>
          </w:p>
        </w:tc>
        <w:tc>
          <w:tcPr>
            <w:tcW w:w="46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Miscellaneous expense, net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other expense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4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15.5 %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10.6 %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490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23.9 %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21.5 %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46.2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52"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Fiscal 2025 includes $19.2 million in acquisition date fair value adjustments to inventory for the QSC acquisition.</w:t>
      </w:r>
    </w:p>
    <w:p>
      <w:pPr>
        <w:spacing w:after="0" w:line="5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Fiscal 2025 includes $2.5 million in acquisition-related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sales for the third quarter of fiscal 2026 increased $ 19.4 million, or 1.6%, to $1.20 billion, compared with $1.18 billion in the prior-year period due primarily to an increase in net sales in our AIS segment, partially offset by a decrease in net sales in our ABL segment.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third quarter of fiscal 2026 was $606.4 million (50.6% of net sales), compared with $570.2 million (48.4% of net sales) for the prior-year period, an increase of $ 36.2 million, or 6.3%. This increase was due primarily to the fall through of higher net sales of our Distech and QSC products as well as acquisition date fair value adjustments to QSC's inventory in fiscal 2025 that did not recur in fiscal 2026. The improvement at AIS was partially offset by lower gross profit at ABL.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distribution, and administrative expenses (“SD&amp;A”) expenses for the third quarter of fiscal 2026 were $413.1 million, compared with $400.7 million in the prior-year period, an increase of $12.4 million, or 3.1%. The increase in SD&amp;A expenses was due primarily to higher employee-related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were no special charges for the three months ended May 31, 2026. Special charges within our ABL segment for the three months ended May 31, 2025 were $29.7 million, which consisted primarily of impairments of long lived assets as well as employee severance costs related to productivity initiatives.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third quarter of fiscal 2026 was $193.3 million (16.1% of net sales), compared with $139.8 million (11.9% of net sales) for the prior-year period, an increase of $ 53.5 million, or 38.3%. The increase in operating profit was due to higher gross profit and a decrease in special charges, partially offset by higher SD&amp;A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expense of $6.1 million and $12.1 million for the third quarter of fiscal 2026 and 2025, respectively. Net interest expense decreased year over year primarily due to a decline in interest expense from lower outstanding borrowings during the third quarter of fiscal 2026.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 We reported net miscellaneous expense of $2.0 million and $2.3 million for the third quarter of fiscal 2026 and 2025,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effective income tax rate was 23.9% and 21.5% for the third quarter of fiscal 2026 and 2025, respectively. This increase primarily reflects favorable discrete items recognized in the third quarter of fiscal 2025 that did not recur in the current year.</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third quarter of fiscal 2026 increased $42.6 million, or 43.3%, to $141.0 million, from $98.4 million reported for the prior-year period. This increase was due primarily to higher operating profit and lower interest expense, partially offset by higher income tax expense associated with the increase in profit. Diluted earnings per share for the third quarter of fiscal 2026 increased $1.44, or 46.2%, to $4.56 compared with diluted earnings per share of $3.12 for the prior-year period. This increase reflects higher net income as well as lower outstanding diluted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operating results of our segments, ABL and AIS, for the three months ended May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2026 and May 31, 2025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7"/>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 2026</w:t>
            </w:r>
          </w:p>
        </w:tc>
        <w:tc>
          <w:tcPr>
            <w:tcW w:w="22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 2025</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 (Decrease)</w:t>
            </w:r>
          </w:p>
        </w:tc>
        <w:tc>
          <w:tcPr>
            <w:tcW w:w="1560" w:type="dxa"/>
            <w:vAlign w:val="bottom"/>
          </w:tcPr>
          <w:p>
            <w:pPr>
              <w:jc w:val="right"/>
              <w:ind w:right="168"/>
              <w:spacing w:after="0"/>
              <w:rPr>
                <w:sz w:val="20"/>
                <w:szCs w:val="20"/>
                <w:color w:val="auto"/>
              </w:rPr>
            </w:pPr>
            <w:r>
              <w:rPr>
                <w:rFonts w:ascii="Arial" w:cs="Arial" w:eastAsia="Arial" w:hAnsi="Arial"/>
                <w:sz w:val="14"/>
                <w:szCs w:val="14"/>
                <w:b w:val="1"/>
                <w:bCs w:val="1"/>
                <w:color w:val="auto"/>
              </w:rPr>
              <w:t>Percent Change</w:t>
            </w:r>
          </w:p>
        </w:tc>
      </w:tr>
      <w:tr>
        <w:trPr>
          <w:trHeight w:val="18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r>
      <w:tr>
        <w:trPr>
          <w:trHeight w:val="199"/>
        </w:trPr>
        <w:tc>
          <w:tcPr>
            <w:tcW w:w="48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905.2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923.2</w:t>
            </w:r>
          </w:p>
        </w:tc>
        <w:tc>
          <w:tcPr>
            <w:tcW w:w="100" w:type="dxa"/>
            <w:vAlign w:val="bottom"/>
          </w:tcPr>
          <w:p>
            <w:pPr>
              <w:spacing w:after="0"/>
              <w:rPr>
                <w:sz w:val="17"/>
                <w:szCs w:val="17"/>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6"/>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430.4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9"/>
        </w:trPr>
        <w:tc>
          <w:tcPr>
            <w:tcW w:w="480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46.8 %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46.6 %</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100" w:type="dxa"/>
            <w:vAlign w:val="bottom"/>
          </w:tcPr>
          <w:p>
            <w:pPr>
              <w:spacing w:after="0"/>
              <w:rPr>
                <w:sz w:val="17"/>
                <w:szCs w:val="17"/>
                <w:color w:val="auto"/>
              </w:rPr>
            </w:pPr>
          </w:p>
        </w:tc>
        <w:tc>
          <w:tcPr>
            <w:tcW w:w="1560" w:type="dxa"/>
            <w:vAlign w:val="bottom"/>
          </w:tcPr>
          <w:p>
            <w:pPr>
              <w:jc w:val="right"/>
              <w:ind w:right="1248"/>
              <w:spacing w:after="0"/>
              <w:rPr>
                <w:sz w:val="20"/>
                <w:szCs w:val="20"/>
                <w:color w:val="auto"/>
              </w:rPr>
            </w:pPr>
            <w:r>
              <w:rPr>
                <w:rFonts w:ascii="Arial" w:cs="Arial" w:eastAsia="Arial" w:hAnsi="Arial"/>
                <w:sz w:val="14"/>
                <w:szCs w:val="14"/>
                <w:i w:val="1"/>
                <w:iCs w:val="1"/>
                <w:color w:val="auto"/>
                <w:w w:val="97"/>
              </w:rPr>
              <w:t>bps</w:t>
            </w:r>
          </w:p>
        </w:tc>
      </w:tr>
      <w:tr>
        <w:trPr>
          <w:trHeight w:val="206"/>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19.9 %</w:t>
            </w:r>
          </w:p>
        </w:tc>
      </w:tr>
      <w:tr>
        <w:trPr>
          <w:trHeight w:val="199"/>
        </w:trPr>
        <w:tc>
          <w:tcPr>
            <w:tcW w:w="480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17.7 %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14.5 %</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320</w:t>
            </w:r>
          </w:p>
        </w:tc>
        <w:tc>
          <w:tcPr>
            <w:tcW w:w="100" w:type="dxa"/>
            <w:vAlign w:val="bottom"/>
          </w:tcPr>
          <w:p>
            <w:pPr>
              <w:spacing w:after="0"/>
              <w:rPr>
                <w:sz w:val="17"/>
                <w:szCs w:val="17"/>
                <w:color w:val="auto"/>
              </w:rPr>
            </w:pPr>
          </w:p>
        </w:tc>
        <w:tc>
          <w:tcPr>
            <w:tcW w:w="1560" w:type="dxa"/>
            <w:vAlign w:val="bottom"/>
          </w:tcPr>
          <w:p>
            <w:pPr>
              <w:jc w:val="right"/>
              <w:ind w:right="1248"/>
              <w:spacing w:after="0"/>
              <w:rPr>
                <w:sz w:val="20"/>
                <w:szCs w:val="20"/>
                <w:color w:val="auto"/>
              </w:rPr>
            </w:pPr>
            <w:r>
              <w:rPr>
                <w:rFonts w:ascii="Arial" w:cs="Arial" w:eastAsia="Arial" w:hAnsi="Arial"/>
                <w:sz w:val="14"/>
                <w:szCs w:val="14"/>
                <w:i w:val="1"/>
                <w:iCs w:val="1"/>
                <w:color w:val="auto"/>
                <w:w w:val="97"/>
              </w:rPr>
              <w:t>bps</w:t>
            </w:r>
          </w:p>
        </w:tc>
      </w:tr>
      <w:tr>
        <w:trPr>
          <w:trHeight w:val="274"/>
        </w:trPr>
        <w:tc>
          <w:tcPr>
            <w:tcW w:w="4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02"/>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AIS: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264.1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14.9 %</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30.9 %</w:t>
            </w:r>
          </w:p>
        </w:tc>
      </w:tr>
      <w:tr>
        <w:trPr>
          <w:trHeight w:val="207"/>
        </w:trPr>
        <w:tc>
          <w:tcPr>
            <w:tcW w:w="480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60.3 %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52.9 %</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740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48"/>
              <w:spacing w:after="0"/>
              <w:rPr>
                <w:sz w:val="20"/>
                <w:szCs w:val="20"/>
                <w:color w:val="auto"/>
              </w:rPr>
            </w:pPr>
            <w:r>
              <w:rPr>
                <w:rFonts w:ascii="Arial" w:cs="Arial" w:eastAsia="Arial" w:hAnsi="Arial"/>
                <w:sz w:val="14"/>
                <w:szCs w:val="14"/>
                <w:i w:val="1"/>
                <w:iCs w:val="1"/>
                <w:color w:val="auto"/>
                <w:w w:val="97"/>
              </w:rPr>
              <w:t>bps</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22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7"/>
                <w:szCs w:val="17"/>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106.2 %</w:t>
            </w:r>
          </w:p>
        </w:tc>
      </w:tr>
      <w:tr>
        <w:trPr>
          <w:trHeight w:val="207"/>
        </w:trPr>
        <w:tc>
          <w:tcPr>
            <w:tcW w:w="480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18.6 %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10.4 %</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820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48"/>
              <w:spacing w:after="0"/>
              <w:rPr>
                <w:sz w:val="20"/>
                <w:szCs w:val="20"/>
                <w:color w:val="auto"/>
              </w:rPr>
            </w:pPr>
            <w:r>
              <w:rPr>
                <w:rFonts w:ascii="Arial" w:cs="Arial" w:eastAsia="Arial" w:hAnsi="Arial"/>
                <w:sz w:val="14"/>
                <w:szCs w:val="14"/>
                <w:i w:val="1"/>
                <w:iCs w:val="1"/>
                <w:color w:val="auto"/>
                <w:w w:val="97"/>
              </w:rPr>
              <w:t>bps</w:t>
            </w: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net sales for the third quarter of fiscal 2026 decreased 1.9% compared with the prior-year period. This decrease was due primarily to lower net sales within the direct sales network, due in part to lower project business, partially offset by higher net sales within the corporate accounts channel.</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ABL gross profit was $423.4 million (46.8% of ABL net sales) for the third quarter of fiscal 2026, compared with $430.4 million (46.6% of ABL net sales) in the prior-year period, a decrease of $7.0 million. The decrease in gross</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profit was due primarily to the fall through of lower net sales as well as higher labor, tariff, and overhead costs, partially offset by lower material and quality costs.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operating profit was $160.6 million (17.7% of ABL net sales) for the third quarter of fiscal 2026, compared with $134.0 million (14.5% of ABL net sales) in the prior-year period, an increase of $ 26.6 million. The increase in operating profit was due primarily to special charges in fiscal 2025, which did not recur in fiscal 2026, as well as lower sales-related costs, partially offset by lower gross profit.</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AIS net sales for the third quarter of fiscal 2026 increased 14.9% compared with the prior-year period. The increase was due primarily to higher sales of Distech and QSC products.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AIS gross profit was $183.0 million (60.3% of AIS net sales) for the third quarter of fiscal 2026, compared with $139.8 million (52.9% of AIS net sales) in the prior-year period, an increase of $43.2 million. The increase in gross profit was due primarily to fall through of higher Distech and QSC net sales. The third quarter of fiscal 2025 also included $19.2 million in pre-tax nonrecurring acquisition date fair value adjustments to inventory related to the acquisition of QSC, which did not recur in fiscal 2026.</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AIS operating profit was $56.5 million (18.6% of AIS net sales) for the third quarter of fiscal 2026, compared with $27.4 million (10.4% of AIS net sales) in the prior-year period, an increase of $29.1 million. This increase in operating profit was due primarily to higher gross profit, partially offset by higher employee-related costs as well as higher amortization from acquired intangibles.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Fiscal 2026 Compared with First Nine Months of Fiscal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nine months ended May 31, 2026 and May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2025 (in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2026</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2025</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28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5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3,397.4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3,136.5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Cost of products sold</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1,716.8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1,649.0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1,680.6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1,487.5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199"/>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47.4 %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210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r>
              <w:rPr>
                <w:rFonts w:ascii="Arial" w:cs="Arial" w:eastAsia="Arial" w:hAnsi="Arial"/>
                <w:sz w:val="18"/>
                <w:szCs w:val="18"/>
                <w:color w:val="auto"/>
                <w:vertAlign w:val="superscript"/>
              </w:rPr>
              <w:t>(2)</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1,188.0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1,074.5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19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4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14.3 %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12.2 %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210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60" w:type="dxa"/>
            <w:vAlign w:val="bottom"/>
          </w:tcPr>
          <w:p>
            <w:pPr>
              <w:ind w:left="24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Miscellaneous expense, net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other expense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27.1 %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13.6 %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11.6 %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200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28.2 %</w:t>
            </w:r>
          </w:p>
        </w:tc>
        <w:tc>
          <w:tcPr>
            <w:tcW w:w="0" w:type="dxa"/>
            <w:vAlign w:val="bottom"/>
          </w:tcPr>
          <w:p>
            <w:pPr>
              <w:spacing w:after="0"/>
              <w:rPr>
                <w:sz w:val="1"/>
                <w:szCs w:val="1"/>
                <w:color w:val="auto"/>
              </w:rPr>
            </w:pPr>
          </w:p>
        </w:tc>
      </w:tr>
      <w:tr>
        <w:trPr>
          <w:trHeight w:val="192"/>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22.2 %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22.0 %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358.3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282.6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26.8 %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11.45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28.4 %</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Fiscal 2025 includes $29.6 million in pre-tax nonrecurring acquisition date fair value adjustments to inventory related to the acquisition of QSC.</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Fiscal 2025 includes $21.2 million in acquisition-related costs.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nine months ended May 31, 2026 increased $ 260.9 million, or 8.3%, to $3.40 billion compared with $3.14 billion in the prior-year due to higher sales in our AIS segment, partially offset by lower sales in our ABL segment. The increase in our AIS segment was driven by the acquisition of QSC, as well higher net sales of our Distech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for the nine months ended May 31, 2026 increased $ 193.1 million, or 13.0%, to $1.68 billion compared with $1.49 billion in the prior-year period. This increase was due primarily to contributions from the QSC acquisition as well as the fall through of higher net sales of our Distech products. The improvement at AIS was partially offset by lower gross profit at ABL.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SD&amp;A expenses for the nine months ended May 31, 2026 were $1.19 billion compared with $1.07 billion in the prior-year period, an increase of $113.5 million, or 10.6%. The increase in SD&amp;A expenses was due primarily to amounts related to the QSC acquisition, including higher employee-related costs and higher amortization from acquired intangibles, partially offset by acquisition-related professional fees that did not recur in fiscal 2026.</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Special charges for the nine months ended May 31, 2026 were $5.9 million, which consisted of employee severance costs related to productivity improvements in our ABL segment. These charges primarily related to labor cost reductions. Special charges for the nine months ended May 31, 2025 were $29.7 million, which consisted primarily of impairments of long lived assets as well as employee severance costs related to productivity initiatives. These amounts were recorded within our ABL segment.</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nine months ended May 31, 2026 was $486.7 million (14.3% of net sales) compared with $383.3 million (12.2% of net sales) for the prior-year period, an increase of $103.4 million, or 27.0%. The increase in operating profit was due to higher gross profit and lower special charges, partially offset by higher SD&amp;A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expense of $21.5 million and $15.0 million for the nine months ended May 31, 2026 and May 31, 2025, respectively. Net interest expense increased year over year as lower interest income was partially offset by a decline in interest expense. These changes reflect both lower outstanding cash balances as well as lower outstanding borrowings during the first nine months of fiscal 2026.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w:t>
      </w:r>
    </w:p>
    <w:p>
      <w:pPr>
        <w:spacing w:after="0" w:line="7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reported net miscellaneous expense of $4.5 million for the nine months ended May 31, 2026 and $5.8 million for the nine months ended May 31, 2025.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22.2% and 22.0% for the nine months ended May 31, 2026 and May 31, 2025, respectively.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first nine months of fiscal 2026 increased $75.7 million, or 26.8%, to $358.3 million from $282.6 million reported for the prior-year period. This increase was due primarily to higher operating profit, partially offset by higher net interest expense and income tax expense associated with the increase in profit. Diluted earnings per share for the nine months ended May 31, 2026 increased $2.53 to $11.45 compared with diluted earnings per share of $8.92 for the prior-year period. This increase reflects higher net income as well as lower outstanding diluted shares.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operating results of our segments, ABL and AIS, for the nine months ended May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2026 and May 31, 2025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May 31, 2026</w:t>
            </w:r>
          </w:p>
        </w:tc>
        <w:tc>
          <w:tcPr>
            <w:tcW w:w="18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2025</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2,617.7</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2,649.8</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1,197.8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1,214.8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544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45.8 %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45.8 %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rPr>
              <w:t>—</w:t>
            </w: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198"/>
        </w:trPr>
        <w:tc>
          <w:tcPr>
            <w:tcW w:w="544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16.6 %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15.4 %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120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AIS: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482.8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272.7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210.1</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77.0 %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59.7 %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53.6 %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610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121.8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48.1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153.2 %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15.1 %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9.4 %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570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net sales for the nine months ended May 31, 2026 decreased 1.2% compared with the prior-year period. This decrease was due primarily to lower net sales within the direct sales network, due in part to lower project business, partially offset by higher sales within the independent sales network and the corporate accounts channel.</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gross profit for the nine months ended May 31, 2026 was $1.20 billion (45.8% of ABL net sales), compared with $1.21 billion (45.8% of ABL net sales) in the prior-year period, a decrease of $17.0 million. The decrease in gross profit was due primarily to the fall through of lower net sales and higher tariff costs, partially offset by product and productivity improvements.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operating profit for the nine months ended May 31, 2026 was $434.7 million (16.6% of ABL net sales), compared with $407.6 million (15.4% of ABL net sales) in the prior-year period, an increase of $27.1 million. The increase in operating profit was due primarily to lower special charges and sales-related costs, which more than offset the decline in gross profit.</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AIS net sales for the nine months ended May 31, 2026 increased 58.9% compared with the prior-year period. The increase in sales is attributed primarily to the acquisition of QSC as well as higher net sales of Distech products.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AIS gross profit for the nine months ended May 31, 2026 was $482.8 million (59.7% of AIS net sales), compared with $ 272.7 million (53.6% of AIS net sales) in the prior-year period, an increase of $210.1 million. The increase in gross profit was due primarily to the acquisition of QSC as well as the fall through of higher Distech net sales. The nine months ended May 31, 2025, also included $19.2 million in pre-tax nonrecurring acquisition date fair value adjustments to inventory related to the acquisition of QSC, which did not recur in fiscal 2026.</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AIS operating profit for the nine months ended May 31, 2026 was $121.8 million (15.1% of AIS net sales), compared with $48.1 million (9.4% of AIS net sales) in the prior-year period, an increase of $73.7 million. This increase primarily reflects higher operating profit from the QSC acquisition as well as increased profit from Distech's higher net sales. AIS's operating results also include higher amortization from acquired intangibles as well as the impact of fair value adjustments to inventory that occurred in the prior year, both of which related to the QSC acquisition.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business combinations; and goodwill and indefinite-lived intangible assets.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 on a recurring basis.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but are not limited to,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assumptions, and other important factors, many of which are outside of our control and any of which could cause our actual results to differ materially from those expressed or implied by the forward-looking statements. These risks and uncertainties are discussed in our filings with the U.S. Securities and Exchange Commission, including our most recent annual report on Form 10-K (including, but not limited to, the sections titled “Risk Factors” and “Management's Discussion and Analysis of Financial Condition and Results of Operations”), quarterly reports on Form 10-Q, and current reports on Form 8-K. Any forward-looking statement speaks only as of the date on which it is made. This quarterly report is not comprehensive, and for that reason, should be read in conjunction with such filings.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due primarily to fluctuations in interest and foreign exchange rates. We do not currently engage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significant commodity hedging transactions for raw materials. There have been no material changes to our exposure from market risks from those disclosed in </w:t>
      </w:r>
      <w:r>
        <w:rPr>
          <w:rFonts w:ascii="Arial" w:cs="Arial" w:eastAsia="Arial" w:hAnsi="Arial"/>
          <w:sz w:val="18"/>
          <w:szCs w:val="18"/>
          <w:i w:val="1"/>
          <w:iCs w:val="1"/>
          <w:color w:val="auto"/>
        </w:rPr>
        <w:t>Part II, Item 7A. Quantitative and Qualitative Disclosures About Market Risk</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May 31, 2026.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May 31, 2026.</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a control. Because of these limitations, misstatements due to error or fraud may occur and may not be detected.</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and nine months ended May 31, 2026,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May 31, 2026, the maximum number of shares that may yet be repurchased under the share repurchase program authorized by the Board equaled approximately 2.6 million shares. The following table reflects activity related to equity securities we repurchased during the quarter ended May 31, 2026:</w:t>
      </w:r>
    </w:p>
    <w:p>
      <w:pPr>
        <w:spacing w:after="0" w:line="9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3/01/2026 through 3/31/2026</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153,128</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272.09</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153,128</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2,868,438</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4/01/2026 through 4/30/2026</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149,714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283.08</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149,714</w:t>
            </w:r>
          </w:p>
        </w:tc>
        <w:tc>
          <w:tcPr>
            <w:tcW w:w="1940" w:type="dxa"/>
            <w:vAlign w:val="bottom"/>
          </w:tcPr>
          <w:p>
            <w:pPr>
              <w:jc w:val="right"/>
              <w:spacing w:after="0"/>
              <w:rPr>
                <w:sz w:val="20"/>
                <w:szCs w:val="20"/>
                <w:color w:val="auto"/>
              </w:rPr>
            </w:pPr>
            <w:r>
              <w:rPr>
                <w:rFonts w:ascii="Arial" w:cs="Arial" w:eastAsia="Arial" w:hAnsi="Arial"/>
                <w:sz w:val="16"/>
                <w:szCs w:val="16"/>
                <w:color w:val="auto"/>
              </w:rPr>
              <w:t>2,718,724</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5/01/2026 through 5/31/2026</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145,801</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287.52</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145,801</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2,572,923</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448,643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280.77</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448,643</w:t>
            </w:r>
          </w:p>
        </w:tc>
        <w:tc>
          <w:tcPr>
            <w:tcW w:w="1940" w:type="dxa"/>
            <w:vAlign w:val="bottom"/>
          </w:tcPr>
          <w:p>
            <w:pPr>
              <w:jc w:val="right"/>
              <w:spacing w:after="0"/>
              <w:rPr>
                <w:sz w:val="20"/>
                <w:szCs w:val="20"/>
                <w:color w:val="auto"/>
              </w:rPr>
            </w:pPr>
            <w:r>
              <w:rPr>
                <w:rFonts w:ascii="Arial" w:cs="Arial" w:eastAsia="Arial" w:hAnsi="Arial"/>
                <w:sz w:val="16"/>
                <w:szCs w:val="16"/>
                <w:color w:val="auto"/>
              </w:rPr>
              <w:t>2,572,923</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third quarter of fiscal 2026, none of our directors or Section 16 officers adopted or terminated any “Rule 10b5-1 trading arrangement” or “non-Rule 10b5-1 trading arrangement” (as each term is defined in Item 408(a)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14"/>
          </w:tcPr>
          <w:p>
            <w:pPr>
              <w:ind w:left="1000"/>
              <w:spacing w:after="0"/>
              <w:rPr>
                <w:sz w:val="20"/>
                <w:szCs w:val="20"/>
                <w:color w:val="auto"/>
              </w:rPr>
            </w:pPr>
            <w:r>
              <w:rPr>
                <w:rFonts w:ascii="Arial" w:cs="Arial" w:eastAsia="Arial" w:hAnsi="Arial"/>
                <w:sz w:val="16"/>
                <w:szCs w:val="16"/>
                <w:b w:val="1"/>
                <w:bCs w:val="1"/>
                <w:color w:val="auto"/>
              </w:rPr>
              <w:t>INDEX TO EXHIBITS</w:t>
            </w:r>
          </w:p>
        </w:tc>
      </w:tr>
      <w:tr>
        <w:trPr>
          <w:trHeight w:val="413"/>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3940" w:type="dxa"/>
            <w:vAlign w:val="bottom"/>
            <w:tcBorders>
              <w:bottom w:val="single" w:sz="8" w:color="0000FF"/>
            </w:tcBorders>
            <w:gridSpan w:val="6"/>
          </w:tcPr>
          <w:p>
            <w:pPr>
              <w:spacing w:after="0"/>
              <w:rPr>
                <w:rFonts w:ascii="Arial" w:cs="Arial" w:eastAsia="Arial" w:hAnsi="Arial"/>
                <w:sz w:val="16"/>
                <w:szCs w:val="16"/>
                <w:color w:val="0000FF"/>
              </w:rPr>
            </w:pPr>
            <w:hyperlink r:id="rId75">
              <w:r>
                <w:rPr>
                  <w:rFonts w:ascii="Arial" w:cs="Arial" w:eastAsia="Arial" w:hAnsi="Arial"/>
                  <w:sz w:val="16"/>
                  <w:szCs w:val="16"/>
                  <w:color w:val="0000FF"/>
                </w:rPr>
                <w:t>Certificate of Amendment to the Restated Certificate of</w:t>
              </w:r>
            </w:hyperlink>
          </w:p>
        </w:tc>
        <w:tc>
          <w:tcPr>
            <w:tcW w:w="400" w:type="dxa"/>
            <w:vAlign w:val="bottom"/>
            <w:gridSpan w:val="11"/>
          </w:tcPr>
          <w:p>
            <w:pPr>
              <w:spacing w:after="0"/>
              <w:rPr>
                <w:sz w:val="24"/>
                <w:szCs w:val="24"/>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60" w:type="dxa"/>
            <w:vAlign w:val="bottom"/>
            <w:tcBorders>
              <w:bottom w:val="single" w:sz="8" w:color="0000FF"/>
            </w:tcBorders>
            <w:gridSpan w:val="13"/>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Incorporation of Acuity Inc., effective as of March 26, 2025.</w:t>
              </w:r>
            </w:hyperlink>
          </w:p>
        </w:tc>
        <w:tc>
          <w:tcPr>
            <w:tcW w:w="80" w:type="dxa"/>
            <w:vAlign w:val="bottom"/>
            <w:gridSpan w:val="4"/>
          </w:tcPr>
          <w:p>
            <w:pPr>
              <w:spacing w:after="0"/>
              <w:rPr>
                <w:sz w:val="12"/>
                <w:szCs w:val="12"/>
                <w:color w:val="auto"/>
              </w:rPr>
            </w:pPr>
          </w:p>
        </w:tc>
      </w:tr>
      <w:tr>
        <w:trPr>
          <w:trHeight w:val="412"/>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7"/>
          </w:tcPr>
          <w:p>
            <w:pPr>
              <w:spacing w:after="0"/>
              <w:rPr>
                <w:rFonts w:ascii="Arial" w:cs="Arial" w:eastAsia="Arial" w:hAnsi="Arial"/>
                <w:sz w:val="16"/>
                <w:szCs w:val="16"/>
                <w:color w:val="0000FF"/>
              </w:rPr>
            </w:pPr>
            <w:hyperlink r:id="rId76">
              <w:r>
                <w:rPr>
                  <w:rFonts w:ascii="Arial" w:cs="Arial" w:eastAsia="Arial" w:hAnsi="Arial"/>
                  <w:sz w:val="16"/>
                  <w:szCs w:val="16"/>
                  <w:color w:val="0000FF"/>
                </w:rPr>
                <w:t>Restated Certificate of Incorporation of Acuity Inc., dated as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76">
              <w:r>
                <w:rPr>
                  <w:rFonts w:ascii="Arial" w:cs="Arial" w:eastAsia="Arial" w:hAnsi="Arial"/>
                  <w:sz w:val="16"/>
                  <w:szCs w:val="16"/>
                  <w:color w:val="0000FF"/>
                </w:rPr>
                <w:t>of January 25,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17"/>
          </w:tcPr>
          <w:p>
            <w:pPr>
              <w:spacing w:after="0"/>
              <w:rPr>
                <w:rFonts w:ascii="Arial" w:cs="Arial" w:eastAsia="Arial" w:hAnsi="Arial"/>
                <w:sz w:val="16"/>
                <w:szCs w:val="16"/>
                <w:color w:val="0000FF"/>
              </w:rPr>
            </w:pPr>
            <w:hyperlink r:id="rId77">
              <w:r>
                <w:rPr>
                  <w:rFonts w:ascii="Arial" w:cs="Arial" w:eastAsia="Arial" w:hAnsi="Arial"/>
                  <w:sz w:val="16"/>
                  <w:szCs w:val="16"/>
                  <w:color w:val="0000FF"/>
                </w:rPr>
                <w:t>Amended and Restated Bylaws of Acuity Inc., effective as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77">
              <w:r>
                <w:rPr>
                  <w:rFonts w:ascii="Arial" w:cs="Arial" w:eastAsia="Arial" w:hAnsi="Arial"/>
                  <w:sz w:val="16"/>
                  <w:szCs w:val="16"/>
                  <w:color w:val="0000FF"/>
                </w:rPr>
                <w:t>March 26, 2025.</w:t>
              </w:r>
            </w:hyperlink>
          </w:p>
        </w:tc>
        <w:tc>
          <w:tcPr>
            <w:tcW w:w="314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6"/>
                <w:szCs w:val="16"/>
                <w:color w:val="auto"/>
              </w:rPr>
              <w:t>EXHIBIT 10</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7"/>
          </w:tcPr>
          <w:p>
            <w:pPr>
              <w:spacing w:after="0"/>
              <w:rPr>
                <w:rFonts w:ascii="Arial" w:cs="Arial" w:eastAsia="Arial" w:hAnsi="Arial"/>
                <w:sz w:val="16"/>
                <w:szCs w:val="16"/>
                <w:color w:val="0000FF"/>
              </w:rPr>
            </w:pPr>
            <w:hyperlink r:id="rId78">
              <w:r>
                <w:rPr>
                  <w:rFonts w:ascii="Arial" w:cs="Arial" w:eastAsia="Arial" w:hAnsi="Arial"/>
                  <w:sz w:val="16"/>
                  <w:szCs w:val="16"/>
                  <w:color w:val="0000FF"/>
                </w:rPr>
                <w:t>Credit Agreement, dated as of May 8, 2026, among Acuity</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8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78">
              <w:r>
                <w:rPr>
                  <w:rFonts w:ascii="Arial" w:cs="Arial" w:eastAsia="Arial" w:hAnsi="Arial"/>
                  <w:sz w:val="16"/>
                  <w:szCs w:val="16"/>
                  <w:color w:val="0000FF"/>
                </w:rPr>
                <w:t>Inc., the subsidiary borrowers from time to time party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8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r:id="rId78">
              <w:r>
                <w:rPr>
                  <w:rFonts w:ascii="Arial" w:cs="Arial" w:eastAsia="Arial" w:hAnsi="Arial"/>
                  <w:sz w:val="16"/>
                  <w:szCs w:val="16"/>
                  <w:color w:val="0000FF"/>
                </w:rPr>
                <w:t>thereto, the various lenders from time to time party</w:t>
              </w:r>
            </w:hyperlink>
          </w:p>
        </w:tc>
        <w:tc>
          <w:tcPr>
            <w:tcW w:w="560" w:type="dxa"/>
            <w:vAlign w:val="bottom"/>
            <w:gridSpan w:val="12"/>
          </w:tcPr>
          <w:p>
            <w:pPr>
              <w:spacing w:after="0" w:line="142" w:lineRule="exact"/>
              <w:rPr>
                <w:rFonts w:ascii="Arial" w:cs="Arial" w:eastAsia="Arial" w:hAnsi="Arial"/>
                <w:sz w:val="16"/>
                <w:szCs w:val="16"/>
                <w:color w:val="0000FF"/>
                <w:w w:val="99"/>
              </w:rPr>
            </w:pPr>
            <w:hyperlink r:id="rId78">
              <w:r>
                <w:rPr>
                  <w:rFonts w:ascii="Arial" w:cs="Arial" w:eastAsia="Arial" w:hAnsi="Arial"/>
                  <w:sz w:val="16"/>
                  <w:szCs w:val="16"/>
                  <w:color w:val="0000FF"/>
                  <w:w w:val="99"/>
                </w:rPr>
                <w:t>thereto,</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78">
              <w:r>
                <w:rPr>
                  <w:rFonts w:ascii="Arial" w:cs="Arial" w:eastAsia="Arial" w:hAnsi="Arial"/>
                  <w:sz w:val="16"/>
                  <w:szCs w:val="16"/>
                  <w:color w:val="0000FF"/>
                </w:rPr>
                <w:t>and JPMorgan Chase Bank, N.A., as administrative agent.</w:t>
              </w:r>
            </w:hyperlink>
          </w:p>
        </w:tc>
        <w:tc>
          <w:tcPr>
            <w:tcW w:w="20" w:type="dxa"/>
            <w:vAlign w:val="bottom"/>
            <w:tcBorders>
              <w:top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17"/>
                <w:szCs w:val="17"/>
                <w:color w:val="auto"/>
              </w:rPr>
            </w:pPr>
          </w:p>
        </w:tc>
        <w:tc>
          <w:tcPr>
            <w:tcW w:w="4340" w:type="dxa"/>
            <w:vAlign w:val="bottom"/>
            <w:gridSpan w:val="17"/>
          </w:tcPr>
          <w:p>
            <w:pPr>
              <w:spacing w:after="0"/>
              <w:rPr>
                <w:rFonts w:ascii="Arial" w:cs="Arial" w:eastAsia="Arial" w:hAnsi="Arial"/>
                <w:sz w:val="16"/>
                <w:szCs w:val="16"/>
                <w:color w:val="0000FF"/>
              </w:rPr>
            </w:pPr>
            <w:hyperlink r:id="rId79">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7"/>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w w:val="98"/>
              </w:rPr>
              <w:t>pursuant to Section 302 of the Sarbanes-Oxley Act of 2002.</w:t>
            </w: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Certification of the Chief Financial Officer of the Company</w:t>
            </w:r>
          </w:p>
        </w:tc>
        <w:tc>
          <w:tcPr>
            <w:tcW w:w="200" w:type="dxa"/>
            <w:vAlign w:val="bottom"/>
            <w:gridSpan w:val="9"/>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00" w:type="dxa"/>
            <w:vAlign w:val="bottom"/>
            <w:tcBorders>
              <w:bottom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7"/>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40" w:type="dxa"/>
            <w:vAlign w:val="bottom"/>
            <w:gridSpan w:val="7"/>
          </w:tcPr>
          <w:p>
            <w:pPr>
              <w:jc w:val="right"/>
              <w:ind w:right="40"/>
              <w:spacing w:after="0" w:line="142" w:lineRule="exact"/>
              <w:rPr>
                <w:sz w:val="20"/>
                <w:szCs w:val="20"/>
                <w:color w:val="auto"/>
              </w:rPr>
            </w:pPr>
            <w:r>
              <w:rPr>
                <w:rFonts w:ascii="Arial" w:cs="Arial" w:eastAsia="Arial" w:hAnsi="Arial"/>
                <w:sz w:val="13"/>
                <w:szCs w:val="13"/>
                <w:color w:val="0000FF"/>
                <w:w w:val="73"/>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1"/>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7"/>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200" w:type="dxa"/>
            <w:vAlign w:val="bottom"/>
            <w:gridSpan w:val="9"/>
          </w:tcPr>
          <w:p>
            <w:pPr>
              <w:jc w:val="right"/>
              <w:ind w:right="40"/>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1"/>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17"/>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1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17"/>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1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17"/>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40" w:type="dxa"/>
            <w:vAlign w:val="bottom"/>
            <w:gridSpan w:val="17"/>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7"/>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40" w:type="dxa"/>
            <w:vAlign w:val="bottom"/>
            <w:gridSpan w:val="17"/>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7"/>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Reference is made to Exhibit 3.1 of registrant’s Form 8-K as filed with the Commission on March 12, 2025, which is incorporated herein by reference.</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3.2 of registrant’s Form 8-K as filed with the Commission on January 26, 2024, which is incorporated herein by reference.</w:t>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Reference is made to Exhibit 3.3 of registrant’s Form 8-K as filed with the Commission on March 12, 2025, which is incorporated herein by reference.</w:t>
      </w:r>
    </w:p>
    <w:p>
      <w:pPr>
        <w:spacing w:after="0" w:line="3"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Reference is made to Exhibit 10.1 of registrant’s Form 8-K as filed with the Commission on May 13, 2026, which is incorporated herein by reference.</w:t>
      </w:r>
    </w:p>
    <w:p>
      <w:pPr>
        <w:spacing w:after="0" w:line="164"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Reference is made to Exhibit 22 of registrant's Form 10-Q as filed with the Commission on April 3, 2025,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80"/>
          </w:cols>
          <w:pgMar w:left="320" w:top="2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2" w:right="3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June 25,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June 25,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242" w:right="4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2026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Inc., and will be retained by Acuity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2026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Inc., and will be retained by Acuity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Inc. (the “Corporation”) for the quarter ended May 31, 2026, as filed with the Securities and Exchange Commission on the date hereof (the “Report”), the undersigned, the Chairman, President and Chief Executive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25, 2026</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Inc., and will be retained by Acuity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Inc. (the “Corporation”) for the quarter ended May 31, 2026, as filed with the Securities and Exchange Commission on the date hereof (the “Report”), the undersigned, the Senior Vice President and Chief Financial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25, 2026</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Inc., and will be retained by Acuity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75" Type="http://schemas.openxmlformats.org/officeDocument/2006/relationships/hyperlink" Target="https://www.sec.gov/Archives/edgar/data/1144215/000119312525052542/d931430dex31.htm" TargetMode="External"/><Relationship Id="rId76" Type="http://schemas.openxmlformats.org/officeDocument/2006/relationships/hyperlink" Target="https://www.sec.gov/Archives/edgar/data/1144215/000114421524000015/ayi-20240124xex32xrestated.htm" TargetMode="External"/><Relationship Id="rId77" Type="http://schemas.openxmlformats.org/officeDocument/2006/relationships/hyperlink" Target="https://www.sec.gov/Archives/edgar/data/1144215/000119312525052542/d931430dex33.htm" TargetMode="External"/><Relationship Id="rId78" Type="http://schemas.openxmlformats.org/officeDocument/2006/relationships/hyperlink" Target="https://www.sec.gov/Archives/edgar/data/1144215/000119312526221945/d63196dex101.htm" TargetMode="External"/><Relationship Id="rId79" Type="http://schemas.openxmlformats.org/officeDocument/2006/relationships/hyperlink" Target="https://www.sec.gov/Archives/edgar/data/1144215/000114421525000043/ayi2282025-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2026-06-25T06:27:40Z</dcterms:created>
  <dcterms:modified xsi:type="dcterms:W3CDTF">2026-06-25T06:27:40Z</dcterms:modified>
</cp:coreProperties>
</file>