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454d1_8k.htm"/>
      <w:bookmarkStart w:id="1" w:name="kstm262645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9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w:t>
      </w:r>
      <w:r>
        <w:rPr>
          <w:rFonts w:ascii="Times New Roman;Times;Serif" w:hAnsi="Times New Roman;Times;Serif"/>
          <w:b w:val="false"/>
          <w:i w:val="false"/>
          <w:caps w:val="false"/>
          <w:smallCaps w:val="false"/>
          <w:sz w:val="20"/>
        </w:rPr>
        <w:t>(Date of earliest event reported)</w:t>
      </w:r>
      <w:r>
        <w:rPr>
          <w:rFonts w:ascii="Times New Roman;Times;Serif" w:hAnsi="Times New Roman;Times;Serif"/>
          <w:b/>
          <w:i w:val="false"/>
          <w:caps w:val="false"/>
          <w:smallCaps w:val="false"/>
          <w:sz w:val="20"/>
        </w:rPr>
        <w:t xml:space="preserve">: </w:t>
      </w:r>
      <w:bookmarkStart w:id="3" w:name="xdx_902_edei--DocumentPeriodEndDate_c202"/>
      <w:bookmarkEnd w:id="3"/>
      <w:r>
        <w:rPr>
          <w:rFonts w:ascii="Times New Roman;Times;Serif" w:hAnsi="Times New Roman;Times;Serif"/>
          <w:b/>
          <w:i w:val="false"/>
          <w:caps w:val="false"/>
          <w:smallCaps w:val="false"/>
          <w:sz w:val="20"/>
        </w:rPr>
        <w:t>September 24,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6"/>
      <w:bookmarkEnd w:id="4"/>
      <w:r>
        <w:rPr>
          <w:rFonts w:ascii="Times New Roman;Times;Serif" w:hAnsi="Times New Roman;Times;Serif"/>
          <w:b/>
          <w:i w:val="false"/>
          <w:caps w:val="false"/>
          <w:smallCaps w:val="false"/>
          <w:sz w:val="48"/>
        </w:rPr>
        <w:t>ACUITY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2435"/>
        <w:gridCol w:w="2195"/>
        <w:gridCol w:w="1550"/>
      </w:tblGrid>
      <w:tr>
        <w:trPr/>
        <w:tc>
          <w:tcPr>
            <w:tcW w:w="2435" w:type="dxa"/>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2195" w:type="dxa"/>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924"/>
            <w:bookmarkEnd w:id="6"/>
            <w:r>
              <w:rPr>
                <w:rFonts w:ascii="Times New Roman;Times;Serif" w:hAnsi="Times New Roman;Times;Serif"/>
                <w:b/>
                <w:sz w:val="20"/>
              </w:rPr>
              <w:t>001-16583</w:t>
            </w:r>
          </w:p>
        </w:tc>
        <w:tc>
          <w:tcPr>
            <w:tcW w:w="1550"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58-2632672</w:t>
            </w:r>
          </w:p>
        </w:tc>
      </w:tr>
      <w:tr>
        <w:trPr/>
        <w:tc>
          <w:tcPr>
            <w:tcW w:w="2435"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(State or other jurisdiction of</w:t>
              <w:br/>
              <w:t>incorporation)</w:t>
            </w:r>
          </w:p>
        </w:tc>
        <w:tc>
          <w:tcPr>
            <w:tcW w:w="2195"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(Commission File Number)</w:t>
            </w:r>
          </w:p>
        </w:tc>
        <w:tc>
          <w:tcPr>
            <w:tcW w:w="155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1170 Peachtree Street, N.E., </w:t>
      </w:r>
      <w:bookmarkStart w:id="9" w:name="xdx_90E_edei--EntityAddressAddressLine2_"/>
      <w:bookmarkEnd w:id="9"/>
      <w:r>
        <w:rPr>
          <w:rFonts w:ascii="Times New Roman;Times;Serif" w:hAnsi="Times New Roman;Times;Serif"/>
          <w:b/>
          <w:i w:val="false"/>
          <w:caps w:val="false"/>
          <w:smallCaps w:val="false"/>
          <w:sz w:val="20"/>
        </w:rPr>
        <w:t xml:space="preserve">Suite 1200, </w:t>
      </w:r>
      <w:bookmarkStart w:id="10" w:name="xdx_90A_edei--EntityAddressCityOrTown_c2"/>
      <w:bookmarkEnd w:id="10"/>
      <w:r>
        <w:rPr>
          <w:rFonts w:ascii="Times New Roman;Times;Serif" w:hAnsi="Times New Roman;Times;Serif"/>
          <w:b/>
          <w:i w:val="false"/>
          <w:caps w:val="false"/>
          <w:smallCaps w:val="false"/>
          <w:sz w:val="20"/>
        </w:rPr>
        <w:t xml:space="preserve">Atlanta, </w:t>
      </w:r>
      <w:bookmarkStart w:id="11" w:name="xdx_902_edei--EntityAddressStateOrProvin"/>
      <w:bookmarkEnd w:id="11"/>
      <w:r>
        <w:rPr>
          <w:rFonts w:ascii="Times New Roman;Times;Serif" w:hAnsi="Times New Roman;Times;Serif"/>
          <w:b/>
          <w:i w:val="false"/>
          <w:caps w:val="false"/>
          <w:smallCaps w:val="false"/>
          <w:sz w:val="20"/>
        </w:rPr>
        <w:t xml:space="preserve">Georgia </w:t>
      </w:r>
      <w:bookmarkStart w:id="12" w:name="xdx_909_edei--EntityAddressPostalZipCode"/>
      <w:bookmarkEnd w:id="12"/>
      <w:r>
        <w:rPr>
          <w:rFonts w:ascii="Times New Roman;Times;Serif" w:hAnsi="Times New Roman;Times;Serif"/>
          <w:b/>
          <w:i w:val="false"/>
          <w:caps w:val="false"/>
          <w:smallCaps w:val="false"/>
          <w:sz w:val="20"/>
        </w:rPr>
        <w:t>30309</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924__20"/>
      <w:bookmarkEnd w:id="13"/>
      <w:r>
        <w:rPr>
          <w:rFonts w:ascii="Times New Roman;Times;Serif" w:hAnsi="Times New Roman;Times;Serif"/>
          <w:b/>
          <w:i w:val="false"/>
          <w:caps w:val="false"/>
          <w:smallCaps w:val="false"/>
          <w:sz w:val="20"/>
        </w:rPr>
        <w:t xml:space="preserve">404) </w:t>
      </w:r>
      <w:bookmarkStart w:id="14" w:name="xdx_909_edei--LocalPhoneNumber_c20260924"/>
      <w:bookmarkEnd w:id="14"/>
      <w:r>
        <w:rPr>
          <w:rFonts w:ascii="Times New Roman;Times;Serif" w:hAnsi="Times New Roman;Times;Serif"/>
          <w:b/>
          <w:i w:val="false"/>
          <w:caps w:val="false"/>
          <w:smallCaps w:val="false"/>
          <w:sz w:val="20"/>
        </w:rPr>
        <w:t>853-1400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15" w:name="xdx_90B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16" w:name="xdx_909_edei--SolicitingMaterial_c202609"/>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17" w:name="xdx_90C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18" w:name="xdx_90D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28" w:type="dxa"/>
          <w:right w:w="0" w:type="dxa"/>
        </w:tblCellMar>
      </w:tblPr>
      <w:tblGrid>
        <w:gridCol w:w="3275"/>
        <w:gridCol w:w="60"/>
        <w:gridCol w:w="1610"/>
        <w:gridCol w:w="60"/>
        <w:gridCol w:w="3710"/>
      </w:tblGrid>
      <w:tr>
        <w:trPr/>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Security12bTitle_c20260924"/>
            <w:bookmarkEnd w:id="19"/>
            <w:r>
              <w:rPr>
                <w:rFonts w:ascii="Times New Roman;Times;Serif" w:hAnsi="Times New Roman;Times;Serif"/>
                <w:sz w:val="20"/>
              </w:rPr>
              <w:t>Common stock, $.01 par value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D_edei--TradingSymbol_c20260924__2"/>
            <w:bookmarkEnd w:id="20"/>
            <w:r>
              <w:rPr>
                <w:rFonts w:ascii="Times New Roman;Times;Serif" w:hAnsi="Times New Roman;Times;Serif"/>
                <w:sz w:val="20"/>
              </w:rPr>
              <w:t>AYI</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ExchangeName_c2026"/>
            <w:bookmarkEnd w:id="21"/>
            <w:r>
              <w:rPr>
                <w:rFonts w:ascii="Times New Roman;Times;Serif" w:hAnsi="Times New Roman;Times;Serif"/>
                <w:sz w:val="20"/>
              </w:rPr>
              <w:t>New York Stock Exchange</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24, 2026, the Board of Directors (the “Board”) of Acuity Inc. (the “Company”) increased the size of the Board from nine to ten members and elected Nick Tzitzon to the Board. Mr. Tzitzon, whose term will expire at the next annual meeting of stockholders, was also appointed to the Audit and Governance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Tzitzon, age 46, has served as Vice Chairman of ServiceNow, Inc. (“ServiceNow”), a digital workflow company, since January 2020, and leads the ServiceNow AI Institute. He previously served as Executive Vice President of SAP SE, a multinational software company providing enterprise software, from October 2012 to January 2020, and as Senior Vice President and Chief Operating Officer of Bronner Group, LLC from May 2010 to October 2012. Earlier in his career, he was a management consultant advising healthcare, energy, and public sector clients on strategy and transformation. Mr. Tzitzon also serves on the board of directors of various nonprofit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between Mr. Tzitzon and any other person pursuant to which he was selected as a director, nor are there any transactions to which the Company is or was a participant and in which Mr. Tzitzon has a material interest subject to disclosure under Item 404(a) of Regulation S-K. No family relationships exist between Mr. Tzitzon and any of the Company’s directors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Tzitzon will participate on a pro rata basis in the standard non-employee director compensation arrangements described under “Compensation of Directors” in the Company’s fiscal 2025 proxy statement filed with the Securities and Exchange Commission on December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has entered into its standard Form of Indemnification Agreement with Mr. Tzitzon that provides for the Company to indemnify directors against all expenses (as defined in the agreement), judgments, fines, and amounts paid in settlement actually and reasonably incurred by a director and arising out of the director’s service. The Form of Indemnification Agreement was previously filed by the Company as Exhibit 10.1 to the Company’s Current Report on Form 8-K filed with the Commission on February 9, 2010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the Company issued a press release announcing the increase in the size of the Board and the election of Mr. Tzitzon. A copy of this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Exhibits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following exhibits are being filed herewith:</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283"/>
              <w:jc w:val="both"/>
              <w:rPr/>
            </w:pPr>
            <w:hyperlink w:anchor="tm2626454d1_ex99-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both"/>
              <w:rPr/>
            </w:pPr>
            <w:hyperlink w:anchor="tm2626454d1_ex99-1.htm">
              <w:r>
                <w:rPr>
                  <w:rStyle w:val="InternetLink"/>
                  <w:rFonts w:ascii="Times New Roman;Times;Serif" w:hAnsi="Times New Roman;Times;Serif"/>
                  <w:sz w:val="20"/>
                </w:rPr>
                <w:t>Press Release dated September 29, 2026.</w:t>
              </w:r>
            </w:hyperlink>
          </w:p>
        </w:tc>
      </w:tr>
      <w:tr>
        <w:trPr/>
        <w:tc>
          <w:tcPr>
            <w:tcW w:w="395" w:type="dxa"/>
            <w:tcBorders/>
            <w:vAlign w:val="center"/>
          </w:tcPr>
          <w:p>
            <w:pPr>
              <w:pStyle w:val="TableContents"/>
              <w:bidi w:val="0"/>
              <w:spacing w:before="0" w:after="283"/>
              <w:jc w:val="both"/>
              <w:rPr/>
            </w:pPr>
            <w:r>
              <w:rPr/>
              <w:t> </w:t>
            </w:r>
          </w:p>
        </w:tc>
        <w:tc>
          <w:tcPr>
            <w:tcW w:w="6530"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2026</w:t>
      </w:r>
    </w:p>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320"/>
        <w:gridCol w:w="4025"/>
      </w:tblGrid>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ACUITY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Karen J. Holcom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Karen J. Holcom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6454d1_ex99-1.htm"/>
      <w:bookmarkStart w:id="24" w:name="kstm2626454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Acuity Inc. Appoints Nick Tzitzon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ATLANTA — September 29, 2026</w:t>
      </w:r>
      <w:r>
        <w:rPr>
          <w:rFonts w:ascii="Times New Roman;Times;Serif" w:hAnsi="Times New Roman;Times;Serif"/>
          <w:b w:val="false"/>
          <w:i w:val="false"/>
          <w:caps w:val="false"/>
          <w:smallCaps w:val="false"/>
          <w:sz w:val="20"/>
        </w:rPr>
        <w:t xml:space="preserve"> — Acuity Inc. (NYSE: AYI) announces that its Board of Directors has elected Nick Tzitzon as an Independent Director, effective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the Board approved an increase in its size from nine to ten directors. Tzitzon will serve on the Audit and Governance Committees, and his initial term will expire at the Company’s next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Tzitzon currently serves as Vice Chairman of ServiceNow and leads the company's AI Institute, where he works with customers, partners and policymakers on the transformative potential of artificial intelligence. He brings extensive experience leading growth, strategy and digital transformation initiatives across the technology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Nick’s experience helping organizations harness software, data and AI to drive productivity and business outcomes aligns with how we are creating value for customers and shareholders,” said Neil Ashe, Chairman, President and Chief Executive Officer of Acuity. “We are pleased to welcome Nick to the Board and look forward to the perspective he will bring as we advance 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honored to join Acuity's Board of Directors,” said Tzitzon, “Under Neil's leadership, Acuity is positioned to lead the next wave of AI value creation. Industrial intelligence is a massive global growth opportunity. I'm enthusiastic about the company's bright future and look forward to supporting the team on that journey.”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Acuity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 (NYSE: AYI)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Acuity Inc. is based in Atlanta, Georgia, with operations across North America, Europe and Asia. The Company is powered by approximately 13,000 dedicated and talented associates. </w:t>
      </w:r>
      <w:r>
        <w:rPr>
          <w:rFonts w:ascii="Times New Roman;Times;Serif" w:hAnsi="Times New Roman;Times;Serif"/>
          <w:b w:val="false"/>
          <w:i w:val="false"/>
          <w:caps w:val="false"/>
          <w:smallCaps w:val="false"/>
          <w:sz w:val="20"/>
          <w:u w:val="single"/>
        </w:rPr>
        <w:t>Visit us at www.acuityinc.com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1185</Words>
  <Characters>6568</Characters>
  <CharactersWithSpaces>7781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