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12343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433705</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65"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18" w:lineRule="exact"/>
        <w:rPr>
          <w:sz w:val="24"/>
          <w:szCs w:val="24"/>
          <w:color w:val="auto"/>
        </w:rPr>
      </w:pPr>
    </w:p>
    <w:p>
      <w:pPr>
        <w:ind w:left="1200"/>
        <w:spacing w:after="0"/>
        <w:rPr>
          <w:sz w:val="20"/>
          <w:szCs w:val="20"/>
          <w:color w:val="auto"/>
        </w:rPr>
      </w:pPr>
      <w:r>
        <w:rPr>
          <w:rFonts w:ascii="Arial" w:cs="Arial" w:eastAsia="Arial" w:hAnsi="Arial"/>
          <w:sz w:val="14"/>
          <w:szCs w:val="14"/>
          <w:b w:val="1"/>
          <w:bCs w:val="1"/>
          <w:color w:val="auto"/>
        </w:rPr>
        <w:t>(Mark One)</w:t>
      </w:r>
    </w:p>
    <w:p>
      <w:pPr>
        <w:spacing w:after="0" w:line="55" w:lineRule="exact"/>
        <w:rPr>
          <w:sz w:val="24"/>
          <w:szCs w:val="24"/>
          <w:color w:val="auto"/>
        </w:rPr>
      </w:pPr>
    </w:p>
    <w:p>
      <w:pPr>
        <w:ind w:left="2500" w:hanging="994"/>
        <w:spacing w:after="0"/>
        <w:tabs>
          <w:tab w:leader="none" w:pos="25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May 31, 2023.</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4480" w:right="1380" w:hanging="2976"/>
        <w:spacing w:after="0" w:line="380" w:lineRule="auto"/>
        <w:tabs>
          <w:tab w:leader="none" w:pos="2485"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to .</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001-16583.</w:t>
      </w:r>
    </w:p>
    <w:p>
      <w:pPr>
        <w:spacing w:after="0" w:line="37"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ACUITY BRANDS, INC.</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1"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21" w:lineRule="exact"/>
        <w:rPr>
          <w:sz w:val="24"/>
          <w:szCs w:val="24"/>
          <w:color w:val="auto"/>
        </w:rPr>
      </w:pPr>
    </w:p>
    <w:tbl>
      <w:tblPr>
        <w:tblLayout w:type="fixed"/>
        <w:tblInd w:w="1800" w:type="dxa"/>
        <w:tblCellMar>
          <w:top w:w="0" w:type="dxa"/>
          <w:left w:w="0" w:type="dxa"/>
          <w:bottom w:w="0" w:type="dxa"/>
          <w:right w:w="0" w:type="dxa"/>
        </w:tblCellMar>
      </w:tblPr>
      <w:tr>
        <w:trPr>
          <w:trHeight w:val="200"/>
        </w:trPr>
        <w:tc>
          <w:tcPr>
            <w:tcW w:w="3940" w:type="dxa"/>
            <w:vAlign w:val="bottom"/>
          </w:tcPr>
          <w:p>
            <w:pPr>
              <w:jc w:val="center"/>
              <w:ind w:right="2008"/>
              <w:spacing w:after="0"/>
              <w:rPr>
                <w:sz w:val="20"/>
                <w:szCs w:val="20"/>
                <w:color w:val="auto"/>
              </w:rPr>
            </w:pPr>
            <w:r>
              <w:rPr>
                <w:rFonts w:ascii="Arial" w:cs="Arial" w:eastAsia="Arial" w:hAnsi="Arial"/>
                <w:sz w:val="14"/>
                <w:szCs w:val="14"/>
                <w:b w:val="1"/>
                <w:bCs w:val="1"/>
                <w:color w:val="auto"/>
              </w:rPr>
              <w:t>Delaware</w:t>
            </w:r>
          </w:p>
        </w:tc>
        <w:tc>
          <w:tcPr>
            <w:tcW w:w="3480" w:type="dxa"/>
            <w:vAlign w:val="bottom"/>
          </w:tcPr>
          <w:p>
            <w:pPr>
              <w:jc w:val="center"/>
              <w:ind w:left="2008"/>
              <w:spacing w:after="0"/>
              <w:rPr>
                <w:sz w:val="20"/>
                <w:szCs w:val="20"/>
                <w:color w:val="auto"/>
              </w:rPr>
            </w:pPr>
            <w:r>
              <w:rPr>
                <w:rFonts w:ascii="Arial" w:cs="Arial" w:eastAsia="Arial" w:hAnsi="Arial"/>
                <w:sz w:val="14"/>
                <w:szCs w:val="14"/>
                <w:b w:val="1"/>
                <w:bCs w:val="1"/>
                <w:color w:val="auto"/>
              </w:rPr>
              <w:t>58-2632672</w:t>
            </w:r>
          </w:p>
        </w:tc>
      </w:tr>
      <w:tr>
        <w:trPr>
          <w:trHeight w:val="151"/>
        </w:trPr>
        <w:tc>
          <w:tcPr>
            <w:tcW w:w="3940" w:type="dxa"/>
            <w:vAlign w:val="bottom"/>
          </w:tcPr>
          <w:p>
            <w:pPr>
              <w:jc w:val="center"/>
              <w:ind w:right="2028"/>
              <w:spacing w:after="0" w:line="151" w:lineRule="exact"/>
              <w:rPr>
                <w:sz w:val="20"/>
                <w:szCs w:val="20"/>
                <w:color w:val="auto"/>
              </w:rPr>
            </w:pPr>
            <w:r>
              <w:rPr>
                <w:rFonts w:ascii="Arial" w:cs="Arial" w:eastAsia="Arial" w:hAnsi="Arial"/>
                <w:sz w:val="14"/>
                <w:szCs w:val="14"/>
                <w:i w:val="1"/>
                <w:iCs w:val="1"/>
                <w:color w:val="auto"/>
              </w:rPr>
              <w:t>(State or other jurisdiction of</w:t>
            </w:r>
          </w:p>
        </w:tc>
        <w:tc>
          <w:tcPr>
            <w:tcW w:w="3480" w:type="dxa"/>
            <w:vAlign w:val="bottom"/>
          </w:tcPr>
          <w:p>
            <w:pPr>
              <w:jc w:val="center"/>
              <w:ind w:left="2008"/>
              <w:spacing w:after="0" w:line="151" w:lineRule="exact"/>
              <w:rPr>
                <w:sz w:val="20"/>
                <w:szCs w:val="20"/>
                <w:color w:val="auto"/>
              </w:rPr>
            </w:pPr>
            <w:r>
              <w:rPr>
                <w:rFonts w:ascii="Arial" w:cs="Arial" w:eastAsia="Arial" w:hAnsi="Arial"/>
                <w:sz w:val="14"/>
                <w:szCs w:val="14"/>
                <w:i w:val="1"/>
                <w:iCs w:val="1"/>
                <w:color w:val="auto"/>
              </w:rPr>
              <w:t>(I.R.S. Employer</w:t>
            </w:r>
          </w:p>
        </w:tc>
      </w:tr>
      <w:tr>
        <w:trPr>
          <w:trHeight w:val="186"/>
        </w:trPr>
        <w:tc>
          <w:tcPr>
            <w:tcW w:w="3940" w:type="dxa"/>
            <w:vAlign w:val="bottom"/>
          </w:tcPr>
          <w:p>
            <w:pPr>
              <w:jc w:val="center"/>
              <w:ind w:right="2008"/>
              <w:spacing w:after="0"/>
              <w:rPr>
                <w:sz w:val="20"/>
                <w:szCs w:val="20"/>
                <w:color w:val="auto"/>
              </w:rPr>
            </w:pPr>
            <w:r>
              <w:rPr>
                <w:rFonts w:ascii="Arial" w:cs="Arial" w:eastAsia="Arial" w:hAnsi="Arial"/>
                <w:sz w:val="14"/>
                <w:szCs w:val="14"/>
                <w:i w:val="1"/>
                <w:iCs w:val="1"/>
                <w:color w:val="auto"/>
              </w:rPr>
              <w:t>incorporation or organization)</w:t>
            </w:r>
          </w:p>
        </w:tc>
        <w:tc>
          <w:tcPr>
            <w:tcW w:w="3480" w:type="dxa"/>
            <w:vAlign w:val="bottom"/>
          </w:tcPr>
          <w:p>
            <w:pPr>
              <w:jc w:val="center"/>
              <w:ind w:left="2008"/>
              <w:spacing w:after="0"/>
              <w:rPr>
                <w:sz w:val="20"/>
                <w:szCs w:val="20"/>
                <w:color w:val="auto"/>
              </w:rPr>
            </w:pPr>
            <w:r>
              <w:rPr>
                <w:rFonts w:ascii="Arial" w:cs="Arial" w:eastAsia="Arial" w:hAnsi="Arial"/>
                <w:sz w:val="14"/>
                <w:szCs w:val="14"/>
                <w:i w:val="1"/>
                <w:iCs w:val="1"/>
                <w:color w:val="auto"/>
              </w:rPr>
              <w:t>Identification Number)</w:t>
            </w:r>
          </w:p>
        </w:tc>
      </w:tr>
    </w:tbl>
    <w:p>
      <w:pPr>
        <w:spacing w:after="0" w:line="3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1170 Peachtree Street, N.E., Suite 1200, Atlanta, Georgia 30309</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(404) 853-1400</w:t>
      </w:r>
    </w:p>
    <w:p>
      <w:pPr>
        <w:spacing w:after="0" w:line="28" w:lineRule="exact"/>
        <w:rPr>
          <w:sz w:val="24"/>
          <w:szCs w:val="24"/>
          <w:color w:val="auto"/>
        </w:rPr>
      </w:pPr>
    </w:p>
    <w:p>
      <w:pPr>
        <w:ind w:left="39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Registrant’s telephone number, including area code</w:t>
      </w:r>
      <w:r>
        <w:rPr>
          <w:rFonts w:ascii="Arial" w:cs="Arial" w:eastAsia="Arial" w:hAnsi="Arial"/>
          <w:sz w:val="14"/>
          <w:szCs w:val="14"/>
          <w:color w:val="auto"/>
        </w:rPr>
        <w:t>)</w:t>
      </w:r>
    </w:p>
    <w:p>
      <w:pPr>
        <w:spacing w:after="0" w:line="64" w:lineRule="exact"/>
        <w:rPr>
          <w:sz w:val="24"/>
          <w:szCs w:val="24"/>
          <w:color w:val="auto"/>
        </w:rPr>
      </w:pPr>
    </w:p>
    <w:p>
      <w:pPr>
        <w:ind w:left="5440"/>
        <w:spacing w:after="0"/>
        <w:rPr>
          <w:sz w:val="20"/>
          <w:szCs w:val="20"/>
          <w:color w:val="auto"/>
        </w:rPr>
      </w:pPr>
      <w:r>
        <w:rPr>
          <w:rFonts w:ascii="Arial" w:cs="Arial" w:eastAsia="Arial" w:hAnsi="Arial"/>
          <w:sz w:val="14"/>
          <w:szCs w:val="14"/>
          <w:b w:val="1"/>
          <w:bCs w:val="1"/>
          <w:color w:val="auto"/>
        </w:rPr>
        <w:t>None</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45" w:lineRule="exact"/>
        <w:rPr>
          <w:sz w:val="24"/>
          <w:szCs w:val="24"/>
          <w:color w:val="auto"/>
        </w:rPr>
      </w:pPr>
    </w:p>
    <w:tbl>
      <w:tblPr>
        <w:tblLayout w:type="fixed"/>
        <w:tblInd w:w="20" w:type="dxa"/>
        <w:tblCellMar>
          <w:top w:w="0" w:type="dxa"/>
          <w:left w:w="0" w:type="dxa"/>
          <w:bottom w:w="0" w:type="dxa"/>
          <w:right w:w="0" w:type="dxa"/>
        </w:tblCellMar>
      </w:tblPr>
      <w:tr>
        <w:trPr>
          <w:trHeight w:val="201"/>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20" w:type="dxa"/>
            <w:vAlign w:val="bottom"/>
          </w:tcPr>
          <w:p>
            <w:pPr>
              <w:spacing w:after="0"/>
              <w:rPr>
                <w:sz w:val="17"/>
                <w:szCs w:val="17"/>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5"/>
        </w:trPr>
        <w:tc>
          <w:tcPr>
            <w:tcW w:w="4420" w:type="dxa"/>
            <w:vAlign w:val="bottom"/>
          </w:tcPr>
          <w:p>
            <w:pPr>
              <w:jc w:val="center"/>
              <w:spacing w:after="0"/>
              <w:rPr>
                <w:sz w:val="20"/>
                <w:szCs w:val="20"/>
                <w:color w:val="auto"/>
              </w:rPr>
            </w:pPr>
            <w:r>
              <w:rPr>
                <w:rFonts w:ascii="Arial" w:cs="Arial" w:eastAsia="Arial" w:hAnsi="Arial"/>
                <w:sz w:val="14"/>
                <w:szCs w:val="14"/>
                <w:color w:val="auto"/>
              </w:rPr>
              <w:t>Common stock, $0.01 par value per share</w:t>
            </w:r>
          </w:p>
        </w:tc>
        <w:tc>
          <w:tcPr>
            <w:tcW w:w="1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4"/>
                <w:szCs w:val="14"/>
                <w:color w:val="auto"/>
                <w:w w:val="97"/>
              </w:rPr>
              <w:t>AYI</w:t>
            </w:r>
          </w:p>
        </w:tc>
        <w:tc>
          <w:tcPr>
            <w:tcW w:w="120" w:type="dxa"/>
            <w:vAlign w:val="bottom"/>
          </w:tcPr>
          <w:p>
            <w:pPr>
              <w:spacing w:after="0"/>
              <w:rPr>
                <w:sz w:val="16"/>
                <w:szCs w:val="16"/>
                <w:color w:val="auto"/>
              </w:rPr>
            </w:pPr>
          </w:p>
        </w:tc>
        <w:tc>
          <w:tcPr>
            <w:tcW w:w="440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204" w:lineRule="exact"/>
        <w:rPr>
          <w:sz w:val="24"/>
          <w:szCs w:val="24"/>
          <w:color w:val="auto"/>
        </w:rPr>
      </w:pPr>
    </w:p>
    <w:p>
      <w:pPr>
        <w:jc w:val="both"/>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2" w:lineRule="exact"/>
        <w:rPr>
          <w:sz w:val="24"/>
          <w:szCs w:val="24"/>
          <w:color w:val="auto"/>
        </w:rPr>
      </w:pPr>
    </w:p>
    <w:p>
      <w:pPr>
        <w:jc w:val="both"/>
        <w:spacing w:after="0" w:line="20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9" w:lineRule="exact"/>
        <w:rPr>
          <w:sz w:val="24"/>
          <w:szCs w:val="24"/>
          <w:color w:val="auto"/>
        </w:rPr>
      </w:pPr>
    </w:p>
    <w:p>
      <w:pPr>
        <w:jc w:val="both"/>
        <w:spacing w:after="0" w:line="27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48" w:right="339" w:bottom="1440" w:gutter="0" w:footer="0" w:header="0"/>
        </w:sectPr>
      </w:pPr>
    </w:p>
    <w:p>
      <w:pPr>
        <w:spacing w:after="0" w:line="99" w:lineRule="exact"/>
        <w:rPr>
          <w:sz w:val="24"/>
          <w:szCs w:val="24"/>
          <w:color w:val="auto"/>
        </w:rPr>
      </w:pPr>
    </w:p>
    <w:p>
      <w:pPr>
        <w:ind w:left="20" w:right="860"/>
        <w:spacing w:after="0" w:line="333"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84" w:lineRule="exact"/>
        <w:rPr>
          <w:sz w:val="24"/>
          <w:szCs w:val="24"/>
          <w:color w:val="auto"/>
        </w:rPr>
      </w:pPr>
    </w:p>
    <w:p>
      <w:pPr>
        <w:sectPr>
          <w:pgSz w:w="11900" w:h="16838" w:orient="portrait"/>
          <w:cols w:equalWidth="0" w:num="6">
            <w:col w:w="2600" w:space="720"/>
            <w:col w:w="120" w:space="300"/>
            <w:col w:w="2560" w:space="720"/>
            <w:col w:w="120" w:space="340"/>
            <w:col w:w="2680" w:space="720"/>
            <w:col w:w="360"/>
          </w:cols>
          <w:pgMar w:left="320" w:top="248" w:right="339" w:bottom="1440" w:gutter="0" w:footer="0" w:header="0"/>
          <w:type w:val="continuous"/>
        </w:sectPr>
      </w:pPr>
    </w:p>
    <w:p>
      <w:pPr>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3" w:lineRule="exact"/>
        <w:rPr>
          <w:sz w:val="24"/>
          <w:szCs w:val="24"/>
          <w:color w:val="auto"/>
        </w:rPr>
      </w:pPr>
    </w:p>
    <w:p>
      <w:pPr>
        <w:ind w:right="1980"/>
        <w:spacing w:after="0" w:line="27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1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17"/>
          <w:szCs w:val="17"/>
          <w:color w:val="auto"/>
        </w:rPr>
        <w:t>—</w:t>
      </w:r>
      <w:r>
        <w:rPr>
          <w:rFonts w:ascii="Arial" w:cs="Arial" w:eastAsia="Arial" w:hAnsi="Arial"/>
          <w:sz w:val="16"/>
          <w:szCs w:val="16"/>
          <w:color w:val="auto"/>
        </w:rPr>
        <w:t xml:space="preserve"> $0.01 par value </w:t>
      </w:r>
      <w:r>
        <w:rPr>
          <w:rFonts w:ascii="Arial" w:cs="Arial" w:eastAsia="Arial" w:hAnsi="Arial"/>
          <w:sz w:val="17"/>
          <w:szCs w:val="17"/>
          <w:color w:val="auto"/>
        </w:rPr>
        <w:t>—</w:t>
      </w:r>
      <w:r>
        <w:rPr>
          <w:rFonts w:ascii="Arial" w:cs="Arial" w:eastAsia="Arial" w:hAnsi="Arial"/>
          <w:sz w:val="16"/>
          <w:szCs w:val="16"/>
          <w:color w:val="auto"/>
        </w:rPr>
        <w:t xml:space="preserve"> 31,192,406 shares as of June 26,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140970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158115</wp:posOffset>
            </wp:positionV>
            <wp:extent cx="711517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120" w:type="dxa"/>
            <w:vAlign w:val="bottom"/>
            <w:gridSpan w:val="6"/>
          </w:tcPr>
          <w:p>
            <w:pPr>
              <w:ind w:left="240"/>
              <w:spacing w:after="0"/>
              <w:rPr>
                <w:sz w:val="20"/>
                <w:szCs w:val="20"/>
                <w:color w:val="auto"/>
              </w:rPr>
            </w:pPr>
            <w:r>
              <w:rPr>
                <w:rFonts w:ascii="Arial" w:cs="Arial" w:eastAsia="Arial" w:hAnsi="Arial"/>
                <w:sz w:val="14"/>
                <w:szCs w:val="14"/>
                <w:b w:val="1"/>
                <w:bCs w:val="1"/>
                <w:color w:val="auto"/>
              </w:rPr>
              <w:t>Page No.</w:t>
            </w:r>
          </w:p>
        </w:tc>
      </w:tr>
      <w:tr>
        <w:trPr>
          <w:trHeight w:val="171"/>
        </w:trPr>
        <w:tc>
          <w:tcPr>
            <w:tcW w:w="20" w:type="dxa"/>
            <w:vAlign w:val="bottom"/>
          </w:tcPr>
          <w:p>
            <w:pPr>
              <w:spacing w:after="0"/>
              <w:rPr>
                <w:sz w:val="14"/>
                <w:szCs w:val="14"/>
                <w:color w:val="auto"/>
              </w:rPr>
            </w:pPr>
          </w:p>
        </w:tc>
        <w:tc>
          <w:tcPr>
            <w:tcW w:w="10100" w:type="dxa"/>
            <w:vAlign w:val="bottom"/>
            <w:gridSpan w:val="9"/>
          </w:tcPr>
          <w:p>
            <w:pPr>
              <w:spacing w:after="0" w:line="171" w:lineRule="exact"/>
              <w:rPr>
                <w:sz w:val="20"/>
                <w:szCs w:val="20"/>
                <w:color w:val="auto"/>
              </w:rPr>
            </w:pPr>
            <w:r>
              <w:rPr>
                <w:rFonts w:ascii="Arial" w:cs="Arial" w:eastAsia="Arial" w:hAnsi="Arial"/>
                <w:sz w:val="16"/>
                <w:szCs w:val="16"/>
                <w:b w:val="1"/>
                <w:bCs w:val="1"/>
                <w:color w:val="0000FF"/>
              </w:rPr>
              <w:t>Part I. FINANCIAL INFORMATION</w:t>
            </w:r>
          </w:p>
        </w:tc>
        <w:tc>
          <w:tcPr>
            <w:tcW w:w="8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spacing w:after="0"/>
              <w:rPr>
                <w:sz w:val="20"/>
                <w:szCs w:val="20"/>
                <w:color w:val="auto"/>
              </w:rPr>
            </w:pPr>
            <w:r>
              <w:rPr>
                <w:rFonts w:ascii="Arial" w:cs="Arial" w:eastAsia="Arial" w:hAnsi="Arial"/>
                <w:sz w:val="16"/>
                <w:szCs w:val="16"/>
                <w:color w:val="0000FF"/>
              </w:rPr>
              <w:t>Item 1.</w:t>
            </w:r>
          </w:p>
        </w:tc>
        <w:tc>
          <w:tcPr>
            <w:tcW w:w="9040" w:type="dxa"/>
            <w:vAlign w:val="bottom"/>
            <w:gridSpan w:val="5"/>
          </w:tcPr>
          <w:p>
            <w:pPr>
              <w:ind w:left="140"/>
              <w:spacing w:after="0"/>
              <w:rPr>
                <w:sz w:val="20"/>
                <w:szCs w:val="20"/>
                <w:color w:val="auto"/>
              </w:rPr>
            </w:pPr>
            <w:r>
              <w:rPr>
                <w:rFonts w:ascii="Arial" w:cs="Arial" w:eastAsia="Arial" w:hAnsi="Arial"/>
                <w:sz w:val="16"/>
                <w:szCs w:val="16"/>
                <w:color w:val="0000FF"/>
              </w:rPr>
              <w:t>Financial Statements</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40" w:type="dxa"/>
            <w:vAlign w:val="bottom"/>
            <w:gridSpan w:val="5"/>
          </w:tcPr>
          <w:p>
            <w:pPr>
              <w:ind w:left="140"/>
              <w:spacing w:after="0"/>
              <w:rPr>
                <w:sz w:val="20"/>
                <w:szCs w:val="20"/>
                <w:color w:val="auto"/>
              </w:rPr>
            </w:pPr>
            <w:r>
              <w:rPr>
                <w:rFonts w:ascii="Arial" w:cs="Arial" w:eastAsia="Arial" w:hAnsi="Arial"/>
                <w:sz w:val="16"/>
                <w:szCs w:val="16"/>
                <w:color w:val="0000FF"/>
              </w:rPr>
              <w:t>Consolidated Balance Sheets -- May 31, 2023 (Unaudited) and August 31, 2022</w:t>
            </w:r>
          </w:p>
        </w:tc>
        <w:tc>
          <w:tcPr>
            <w:tcW w:w="1060" w:type="dxa"/>
            <w:vAlign w:val="bottom"/>
            <w:gridSpan w:val="4"/>
          </w:tcPr>
          <w:p>
            <w:pPr>
              <w:jc w:val="right"/>
              <w:spacing w:after="0"/>
              <w:rPr>
                <w:sz w:val="20"/>
                <w:szCs w:val="20"/>
                <w:color w:val="auto"/>
              </w:rPr>
            </w:pPr>
            <w:r>
              <w:rPr>
                <w:rFonts w:ascii="Arial" w:cs="Arial" w:eastAsia="Arial" w:hAnsi="Arial"/>
                <w:sz w:val="16"/>
                <w:szCs w:val="16"/>
                <w:color w:val="0000FF"/>
              </w:rPr>
              <w:t>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40" w:type="dxa"/>
            <w:vAlign w:val="bottom"/>
            <w:gridSpan w:val="5"/>
          </w:tcPr>
          <w:p>
            <w:pPr>
              <w:ind w:left="140"/>
              <w:spacing w:after="0"/>
              <w:rPr>
                <w:sz w:val="20"/>
                <w:szCs w:val="20"/>
                <w:color w:val="auto"/>
              </w:rPr>
            </w:pPr>
            <w:r>
              <w:rPr>
                <w:rFonts w:ascii="Arial" w:cs="Arial" w:eastAsia="Arial" w:hAnsi="Arial"/>
                <w:sz w:val="16"/>
                <w:szCs w:val="16"/>
                <w:color w:val="0000FF"/>
              </w:rPr>
              <w:t>Consolidated Statements of Comprehensive Income (Unaudited) -- Three months and nine months ended May 31, 2023</w:t>
            </w:r>
          </w:p>
        </w:tc>
        <w:tc>
          <w:tcPr>
            <w:tcW w:w="1060" w:type="dxa"/>
            <w:vAlign w:val="bottom"/>
            <w:gridSpan w:val="4"/>
          </w:tcPr>
          <w:p>
            <w:pPr>
              <w:jc w:val="right"/>
              <w:spacing w:after="0"/>
              <w:rPr>
                <w:sz w:val="20"/>
                <w:szCs w:val="20"/>
                <w:color w:val="auto"/>
              </w:rPr>
            </w:pPr>
            <w:r>
              <w:rPr>
                <w:rFonts w:ascii="Arial" w:cs="Arial" w:eastAsia="Arial" w:hAnsi="Arial"/>
                <w:sz w:val="16"/>
                <w:szCs w:val="16"/>
                <w:color w:val="0000FF"/>
              </w:rPr>
              <w:t>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Arial" w:cs="Arial" w:eastAsia="Arial" w:hAnsi="Arial"/>
                <w:sz w:val="16"/>
                <w:szCs w:val="16"/>
                <w:color w:val="0000FF"/>
              </w:rPr>
              <w:t>and 2022</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40" w:type="dxa"/>
            <w:vAlign w:val="bottom"/>
            <w:gridSpan w:val="5"/>
          </w:tcPr>
          <w:p>
            <w:pPr>
              <w:ind w:left="140"/>
              <w:spacing w:after="0" w:line="172" w:lineRule="exact"/>
              <w:rPr>
                <w:sz w:val="20"/>
                <w:szCs w:val="20"/>
                <w:color w:val="auto"/>
              </w:rPr>
            </w:pPr>
            <w:r>
              <w:rPr>
                <w:rFonts w:ascii="Arial" w:cs="Arial" w:eastAsia="Arial" w:hAnsi="Arial"/>
                <w:sz w:val="16"/>
                <w:szCs w:val="16"/>
                <w:color w:val="0000FF"/>
              </w:rPr>
              <w:t>Consolidated Statements of Cash Flows (Unaudited) -- Nine months ended May 31, 2023 and 2022</w:t>
            </w:r>
          </w:p>
        </w:tc>
        <w:tc>
          <w:tcPr>
            <w:tcW w:w="1060" w:type="dxa"/>
            <w:vAlign w:val="bottom"/>
            <w:gridSpan w:val="4"/>
          </w:tcPr>
          <w:p>
            <w:pPr>
              <w:jc w:val="right"/>
              <w:spacing w:after="0" w:line="172" w:lineRule="exact"/>
              <w:rPr>
                <w:sz w:val="20"/>
                <w:szCs w:val="20"/>
                <w:color w:val="auto"/>
              </w:rPr>
            </w:pPr>
            <w:r>
              <w:rPr>
                <w:rFonts w:ascii="Arial" w:cs="Arial" w:eastAsia="Arial" w:hAnsi="Arial"/>
                <w:sz w:val="16"/>
                <w:szCs w:val="16"/>
                <w:color w:val="0000FF"/>
              </w:rPr>
              <w:t>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40" w:type="dxa"/>
            <w:vAlign w:val="bottom"/>
            <w:gridSpan w:val="5"/>
          </w:tcPr>
          <w:p>
            <w:pPr>
              <w:ind w:left="140"/>
              <w:spacing w:after="0"/>
              <w:rPr>
                <w:sz w:val="20"/>
                <w:szCs w:val="20"/>
                <w:color w:val="auto"/>
              </w:rPr>
            </w:pPr>
            <w:r>
              <w:rPr>
                <w:rFonts w:ascii="Arial" w:cs="Arial" w:eastAsia="Arial" w:hAnsi="Arial"/>
                <w:sz w:val="16"/>
                <w:szCs w:val="16"/>
                <w:color w:val="0000FF"/>
              </w:rPr>
              <w:t>Notes to Consolidated Financial Statements (Unaudited)</w:t>
            </w:r>
          </w:p>
        </w:tc>
        <w:tc>
          <w:tcPr>
            <w:tcW w:w="1060" w:type="dxa"/>
            <w:vAlign w:val="bottom"/>
            <w:gridSpan w:val="4"/>
          </w:tcPr>
          <w:p>
            <w:pPr>
              <w:jc w:val="right"/>
              <w:spacing w:after="0"/>
              <w:rPr>
                <w:sz w:val="20"/>
                <w:szCs w:val="20"/>
                <w:color w:val="auto"/>
              </w:rPr>
            </w:pPr>
            <w:r>
              <w:rPr>
                <w:rFonts w:ascii="Arial" w:cs="Arial" w:eastAsia="Arial" w:hAnsi="Arial"/>
                <w:sz w:val="16"/>
                <w:szCs w:val="16"/>
                <w:color w:val="0000FF"/>
              </w:rPr>
              <w:t>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ind w:left="360"/>
              <w:spacing w:after="0"/>
              <w:rPr>
                <w:sz w:val="20"/>
                <w:szCs w:val="20"/>
                <w:color w:val="auto"/>
              </w:rPr>
            </w:pPr>
            <w:r>
              <w:rPr>
                <w:rFonts w:ascii="Arial" w:cs="Arial" w:eastAsia="Arial" w:hAnsi="Arial"/>
                <w:sz w:val="16"/>
                <w:szCs w:val="16"/>
                <w:color w:val="0000FF"/>
              </w:rPr>
              <w:t>Note 1</w:t>
            </w:r>
          </w:p>
        </w:tc>
        <w:tc>
          <w:tcPr>
            <w:tcW w:w="8180" w:type="dxa"/>
            <w:vAlign w:val="bottom"/>
            <w:gridSpan w:val="3"/>
          </w:tcPr>
          <w:p>
            <w:pPr>
              <w:ind w:left="20"/>
              <w:spacing w:after="0"/>
              <w:rPr>
                <w:sz w:val="20"/>
                <w:szCs w:val="20"/>
                <w:color w:val="auto"/>
              </w:rPr>
            </w:pPr>
            <w:r>
              <w:rPr>
                <w:rFonts w:ascii="Arial" w:cs="Arial" w:eastAsia="Arial" w:hAnsi="Arial"/>
                <w:sz w:val="16"/>
                <w:szCs w:val="16"/>
                <w:color w:val="0000FF"/>
              </w:rPr>
              <w:t>— Description of Business and Basis of Presentation</w:t>
            </w:r>
          </w:p>
        </w:tc>
        <w:tc>
          <w:tcPr>
            <w:tcW w:w="1060" w:type="dxa"/>
            <w:vAlign w:val="bottom"/>
            <w:gridSpan w:val="4"/>
          </w:tcPr>
          <w:p>
            <w:pPr>
              <w:jc w:val="right"/>
              <w:spacing w:after="0"/>
              <w:rPr>
                <w:sz w:val="20"/>
                <w:szCs w:val="20"/>
                <w:color w:val="auto"/>
              </w:rPr>
            </w:pPr>
            <w:r>
              <w:rPr>
                <w:rFonts w:ascii="Arial" w:cs="Arial" w:eastAsia="Arial" w:hAnsi="Arial"/>
                <w:sz w:val="16"/>
                <w:szCs w:val="16"/>
                <w:color w:val="0000FF"/>
              </w:rPr>
              <w:t>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ind w:left="360"/>
              <w:spacing w:after="0"/>
              <w:rPr>
                <w:sz w:val="20"/>
                <w:szCs w:val="20"/>
                <w:color w:val="auto"/>
              </w:rPr>
            </w:pPr>
            <w:r>
              <w:rPr>
                <w:rFonts w:ascii="Arial" w:cs="Arial" w:eastAsia="Arial" w:hAnsi="Arial"/>
                <w:sz w:val="16"/>
                <w:szCs w:val="16"/>
                <w:color w:val="0000FF"/>
              </w:rPr>
              <w:t>Note 2</w:t>
            </w:r>
          </w:p>
        </w:tc>
        <w:tc>
          <w:tcPr>
            <w:tcW w:w="8180" w:type="dxa"/>
            <w:vAlign w:val="bottom"/>
            <w:gridSpan w:val="3"/>
          </w:tcPr>
          <w:p>
            <w:pPr>
              <w:ind w:left="20"/>
              <w:spacing w:after="0"/>
              <w:rPr>
                <w:sz w:val="20"/>
                <w:szCs w:val="20"/>
                <w:color w:val="auto"/>
              </w:rPr>
            </w:pPr>
            <w:r>
              <w:rPr>
                <w:rFonts w:ascii="Arial" w:cs="Arial" w:eastAsia="Arial" w:hAnsi="Arial"/>
                <w:sz w:val="16"/>
                <w:szCs w:val="16"/>
                <w:color w:val="0000FF"/>
              </w:rPr>
              <w:t>— Significant Accounting Policies</w:t>
            </w:r>
          </w:p>
        </w:tc>
        <w:tc>
          <w:tcPr>
            <w:tcW w:w="1060" w:type="dxa"/>
            <w:vAlign w:val="bottom"/>
            <w:gridSpan w:val="4"/>
          </w:tcPr>
          <w:p>
            <w:pPr>
              <w:jc w:val="right"/>
              <w:spacing w:after="0"/>
              <w:rPr>
                <w:sz w:val="20"/>
                <w:szCs w:val="20"/>
                <w:color w:val="auto"/>
              </w:rPr>
            </w:pPr>
            <w:r>
              <w:rPr>
                <w:rFonts w:ascii="Arial" w:cs="Arial" w:eastAsia="Arial" w:hAnsi="Arial"/>
                <w:sz w:val="16"/>
                <w:szCs w:val="16"/>
                <w:color w:val="0000FF"/>
              </w:rPr>
              <w:t>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ind w:left="360"/>
              <w:spacing w:after="0"/>
              <w:rPr>
                <w:sz w:val="20"/>
                <w:szCs w:val="20"/>
                <w:color w:val="auto"/>
              </w:rPr>
            </w:pPr>
            <w:r>
              <w:rPr>
                <w:rFonts w:ascii="Arial" w:cs="Arial" w:eastAsia="Arial" w:hAnsi="Arial"/>
                <w:sz w:val="16"/>
                <w:szCs w:val="16"/>
                <w:color w:val="0000FF"/>
              </w:rPr>
              <w:t>Note 3</w:t>
            </w:r>
          </w:p>
        </w:tc>
        <w:tc>
          <w:tcPr>
            <w:tcW w:w="8180" w:type="dxa"/>
            <w:vAlign w:val="bottom"/>
            <w:gridSpan w:val="3"/>
          </w:tcPr>
          <w:p>
            <w:pPr>
              <w:ind w:left="20"/>
              <w:spacing w:after="0"/>
              <w:rPr>
                <w:sz w:val="20"/>
                <w:szCs w:val="20"/>
                <w:color w:val="auto"/>
              </w:rPr>
            </w:pPr>
            <w:r>
              <w:rPr>
                <w:rFonts w:ascii="Arial" w:cs="Arial" w:eastAsia="Arial" w:hAnsi="Arial"/>
                <w:sz w:val="16"/>
                <w:szCs w:val="16"/>
                <w:color w:val="0000FF"/>
              </w:rPr>
              <w:t>— Acquisitions and Divestitures</w:t>
            </w:r>
          </w:p>
        </w:tc>
        <w:tc>
          <w:tcPr>
            <w:tcW w:w="1060" w:type="dxa"/>
            <w:vAlign w:val="bottom"/>
            <w:gridSpan w:val="4"/>
          </w:tcPr>
          <w:p>
            <w:pPr>
              <w:jc w:val="right"/>
              <w:spacing w:after="0"/>
              <w:rPr>
                <w:sz w:val="20"/>
                <w:szCs w:val="20"/>
                <w:color w:val="auto"/>
              </w:rPr>
            </w:pPr>
            <w:r>
              <w:rPr>
                <w:rFonts w:ascii="Arial" w:cs="Arial" w:eastAsia="Arial" w:hAnsi="Arial"/>
                <w:sz w:val="16"/>
                <w:szCs w:val="16"/>
                <w:color w:val="0000FF"/>
              </w:rPr>
              <w:t>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ind w:left="360"/>
              <w:spacing w:after="0"/>
              <w:rPr>
                <w:sz w:val="20"/>
                <w:szCs w:val="20"/>
                <w:color w:val="auto"/>
              </w:rPr>
            </w:pPr>
            <w:r>
              <w:rPr>
                <w:rFonts w:ascii="Arial" w:cs="Arial" w:eastAsia="Arial" w:hAnsi="Arial"/>
                <w:sz w:val="16"/>
                <w:szCs w:val="16"/>
                <w:color w:val="0000FF"/>
              </w:rPr>
              <w:t>Note 4</w:t>
            </w:r>
          </w:p>
        </w:tc>
        <w:tc>
          <w:tcPr>
            <w:tcW w:w="8180" w:type="dxa"/>
            <w:vAlign w:val="bottom"/>
            <w:gridSpan w:val="3"/>
          </w:tcPr>
          <w:p>
            <w:pPr>
              <w:ind w:left="20"/>
              <w:spacing w:after="0"/>
              <w:rPr>
                <w:sz w:val="20"/>
                <w:szCs w:val="20"/>
                <w:color w:val="auto"/>
              </w:rPr>
            </w:pPr>
            <w:r>
              <w:rPr>
                <w:rFonts w:ascii="Arial" w:cs="Arial" w:eastAsia="Arial" w:hAnsi="Arial"/>
                <w:sz w:val="16"/>
                <w:szCs w:val="16"/>
                <w:color w:val="0000FF"/>
              </w:rPr>
              <w:t>— New Accounting Pronouncements</w:t>
            </w:r>
          </w:p>
        </w:tc>
        <w:tc>
          <w:tcPr>
            <w:tcW w:w="1060" w:type="dxa"/>
            <w:vAlign w:val="bottom"/>
            <w:gridSpan w:val="4"/>
          </w:tcPr>
          <w:p>
            <w:pPr>
              <w:jc w:val="right"/>
              <w:spacing w:after="0"/>
              <w:rPr>
                <w:sz w:val="20"/>
                <w:szCs w:val="20"/>
                <w:color w:val="auto"/>
              </w:rPr>
            </w:pPr>
            <w:r>
              <w:rPr>
                <w:rFonts w:ascii="Arial" w:cs="Arial" w:eastAsia="Arial" w:hAnsi="Arial"/>
                <w:sz w:val="16"/>
                <w:szCs w:val="16"/>
                <w:color w:val="0000FF"/>
              </w:rPr>
              <w:t>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ind w:left="360"/>
              <w:spacing w:after="0"/>
              <w:rPr>
                <w:sz w:val="20"/>
                <w:szCs w:val="20"/>
                <w:color w:val="auto"/>
              </w:rPr>
            </w:pPr>
            <w:r>
              <w:rPr>
                <w:rFonts w:ascii="Arial" w:cs="Arial" w:eastAsia="Arial" w:hAnsi="Arial"/>
                <w:sz w:val="16"/>
                <w:szCs w:val="16"/>
                <w:color w:val="0000FF"/>
              </w:rPr>
              <w:t>Note 5</w:t>
            </w:r>
          </w:p>
        </w:tc>
        <w:tc>
          <w:tcPr>
            <w:tcW w:w="8180" w:type="dxa"/>
            <w:vAlign w:val="bottom"/>
            <w:gridSpan w:val="3"/>
          </w:tcPr>
          <w:p>
            <w:pPr>
              <w:ind w:left="20"/>
              <w:spacing w:after="0"/>
              <w:rPr>
                <w:sz w:val="20"/>
                <w:szCs w:val="20"/>
                <w:color w:val="auto"/>
              </w:rPr>
            </w:pPr>
            <w:r>
              <w:rPr>
                <w:rFonts w:ascii="Arial" w:cs="Arial" w:eastAsia="Arial" w:hAnsi="Arial"/>
                <w:sz w:val="16"/>
                <w:szCs w:val="16"/>
                <w:color w:val="0000FF"/>
              </w:rPr>
              <w:t>— Fair Value Measurements</w:t>
            </w:r>
          </w:p>
        </w:tc>
        <w:tc>
          <w:tcPr>
            <w:tcW w:w="1060" w:type="dxa"/>
            <w:vAlign w:val="bottom"/>
            <w:gridSpan w:val="4"/>
          </w:tcPr>
          <w:p>
            <w:pPr>
              <w:jc w:val="right"/>
              <w:spacing w:after="0"/>
              <w:rPr>
                <w:sz w:val="20"/>
                <w:szCs w:val="20"/>
                <w:color w:val="auto"/>
              </w:rPr>
            </w:pPr>
            <w:r>
              <w:rPr>
                <w:rFonts w:ascii="Arial" w:cs="Arial" w:eastAsia="Arial" w:hAnsi="Arial"/>
                <w:sz w:val="16"/>
                <w:szCs w:val="16"/>
                <w:color w:val="0000FF"/>
              </w:rPr>
              <w:t>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ind w:left="360"/>
              <w:spacing w:after="0"/>
              <w:rPr>
                <w:sz w:val="20"/>
                <w:szCs w:val="20"/>
                <w:color w:val="auto"/>
              </w:rPr>
            </w:pPr>
            <w:r>
              <w:rPr>
                <w:rFonts w:ascii="Arial" w:cs="Arial" w:eastAsia="Arial" w:hAnsi="Arial"/>
                <w:sz w:val="16"/>
                <w:szCs w:val="16"/>
                <w:color w:val="0000FF"/>
              </w:rPr>
              <w:t>Note 6</w:t>
            </w:r>
          </w:p>
        </w:tc>
        <w:tc>
          <w:tcPr>
            <w:tcW w:w="8180" w:type="dxa"/>
            <w:vAlign w:val="bottom"/>
            <w:gridSpan w:val="3"/>
          </w:tcPr>
          <w:p>
            <w:pPr>
              <w:ind w:left="20"/>
              <w:spacing w:after="0"/>
              <w:rPr>
                <w:sz w:val="20"/>
                <w:szCs w:val="20"/>
                <w:color w:val="auto"/>
              </w:rPr>
            </w:pPr>
            <w:r>
              <w:rPr>
                <w:rFonts w:ascii="Arial" w:cs="Arial" w:eastAsia="Arial" w:hAnsi="Arial"/>
                <w:sz w:val="16"/>
                <w:szCs w:val="16"/>
                <w:color w:val="0000FF"/>
              </w:rPr>
              <w:t>— Inventories</w:t>
            </w:r>
          </w:p>
        </w:tc>
        <w:tc>
          <w:tcPr>
            <w:tcW w:w="1060" w:type="dxa"/>
            <w:vAlign w:val="bottom"/>
            <w:gridSpan w:val="4"/>
          </w:tcPr>
          <w:p>
            <w:pPr>
              <w:jc w:val="right"/>
              <w:spacing w:after="0"/>
              <w:rPr>
                <w:sz w:val="20"/>
                <w:szCs w:val="20"/>
                <w:color w:val="auto"/>
              </w:rPr>
            </w:pPr>
            <w:r>
              <w:rPr>
                <w:rFonts w:ascii="Arial" w:cs="Arial" w:eastAsia="Arial" w:hAnsi="Arial"/>
                <w:sz w:val="16"/>
                <w:szCs w:val="16"/>
                <w:color w:val="0000FF"/>
              </w:rPr>
              <w:t>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ind w:left="360"/>
              <w:spacing w:after="0"/>
              <w:rPr>
                <w:sz w:val="20"/>
                <w:szCs w:val="20"/>
                <w:color w:val="auto"/>
              </w:rPr>
            </w:pPr>
            <w:r>
              <w:rPr>
                <w:rFonts w:ascii="Arial" w:cs="Arial" w:eastAsia="Arial" w:hAnsi="Arial"/>
                <w:sz w:val="16"/>
                <w:szCs w:val="16"/>
                <w:color w:val="0000FF"/>
              </w:rPr>
              <w:t>Note 7</w:t>
            </w:r>
          </w:p>
        </w:tc>
        <w:tc>
          <w:tcPr>
            <w:tcW w:w="8180" w:type="dxa"/>
            <w:vAlign w:val="bottom"/>
            <w:gridSpan w:val="3"/>
          </w:tcPr>
          <w:p>
            <w:pPr>
              <w:ind w:left="20"/>
              <w:spacing w:after="0"/>
              <w:rPr>
                <w:sz w:val="20"/>
                <w:szCs w:val="20"/>
                <w:color w:val="auto"/>
              </w:rPr>
            </w:pPr>
            <w:r>
              <w:rPr>
                <w:rFonts w:ascii="Arial" w:cs="Arial" w:eastAsia="Arial" w:hAnsi="Arial"/>
                <w:sz w:val="16"/>
                <w:szCs w:val="16"/>
                <w:color w:val="0000FF"/>
              </w:rPr>
              <w:t>— Property, Plant, and Equipment</w:t>
            </w:r>
          </w:p>
        </w:tc>
        <w:tc>
          <w:tcPr>
            <w:tcW w:w="1060" w:type="dxa"/>
            <w:vAlign w:val="bottom"/>
            <w:gridSpan w:val="4"/>
          </w:tcPr>
          <w:p>
            <w:pPr>
              <w:jc w:val="right"/>
              <w:spacing w:after="0"/>
              <w:rPr>
                <w:sz w:val="20"/>
                <w:szCs w:val="20"/>
                <w:color w:val="auto"/>
              </w:rPr>
            </w:pPr>
            <w:r>
              <w:rPr>
                <w:rFonts w:ascii="Arial" w:cs="Arial" w:eastAsia="Arial" w:hAnsi="Arial"/>
                <w:sz w:val="16"/>
                <w:szCs w:val="16"/>
                <w:color w:val="0000FF"/>
              </w:rPr>
              <w:t>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ind w:left="360"/>
              <w:spacing w:after="0"/>
              <w:rPr>
                <w:sz w:val="20"/>
                <w:szCs w:val="20"/>
                <w:color w:val="auto"/>
              </w:rPr>
            </w:pPr>
            <w:r>
              <w:rPr>
                <w:rFonts w:ascii="Arial" w:cs="Arial" w:eastAsia="Arial" w:hAnsi="Arial"/>
                <w:sz w:val="16"/>
                <w:szCs w:val="16"/>
                <w:color w:val="0000FF"/>
              </w:rPr>
              <w:t>Note 8</w:t>
            </w:r>
          </w:p>
        </w:tc>
        <w:tc>
          <w:tcPr>
            <w:tcW w:w="8180" w:type="dxa"/>
            <w:vAlign w:val="bottom"/>
            <w:gridSpan w:val="3"/>
          </w:tcPr>
          <w:p>
            <w:pPr>
              <w:ind w:left="20"/>
              <w:spacing w:after="0"/>
              <w:rPr>
                <w:sz w:val="20"/>
                <w:szCs w:val="20"/>
                <w:color w:val="auto"/>
              </w:rPr>
            </w:pPr>
            <w:r>
              <w:rPr>
                <w:rFonts w:ascii="Arial" w:cs="Arial" w:eastAsia="Arial" w:hAnsi="Arial"/>
                <w:sz w:val="16"/>
                <w:szCs w:val="16"/>
                <w:color w:val="0000FF"/>
              </w:rPr>
              <w:t>— Goodwill and Intangible Assets</w:t>
            </w:r>
          </w:p>
        </w:tc>
        <w:tc>
          <w:tcPr>
            <w:tcW w:w="1060" w:type="dxa"/>
            <w:vAlign w:val="bottom"/>
            <w:gridSpan w:val="4"/>
          </w:tcPr>
          <w:p>
            <w:pPr>
              <w:jc w:val="right"/>
              <w:spacing w:after="0"/>
              <w:rPr>
                <w:sz w:val="20"/>
                <w:szCs w:val="20"/>
                <w:color w:val="auto"/>
              </w:rPr>
            </w:pPr>
            <w:r>
              <w:rPr>
                <w:rFonts w:ascii="Arial" w:cs="Arial" w:eastAsia="Arial" w:hAnsi="Arial"/>
                <w:sz w:val="16"/>
                <w:szCs w:val="16"/>
                <w:color w:val="0000FF"/>
              </w:rPr>
              <w:t>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ind w:left="360"/>
              <w:spacing w:after="0"/>
              <w:rPr>
                <w:sz w:val="20"/>
                <w:szCs w:val="20"/>
                <w:color w:val="auto"/>
              </w:rPr>
            </w:pPr>
            <w:r>
              <w:rPr>
                <w:rFonts w:ascii="Arial" w:cs="Arial" w:eastAsia="Arial" w:hAnsi="Arial"/>
                <w:sz w:val="16"/>
                <w:szCs w:val="16"/>
                <w:color w:val="0000FF"/>
              </w:rPr>
              <w:t>Note 9</w:t>
            </w:r>
          </w:p>
        </w:tc>
        <w:tc>
          <w:tcPr>
            <w:tcW w:w="8180" w:type="dxa"/>
            <w:vAlign w:val="bottom"/>
            <w:gridSpan w:val="3"/>
          </w:tcPr>
          <w:p>
            <w:pPr>
              <w:ind w:left="20"/>
              <w:spacing w:after="0"/>
              <w:rPr>
                <w:sz w:val="20"/>
                <w:szCs w:val="20"/>
                <w:color w:val="auto"/>
              </w:rPr>
            </w:pPr>
            <w:r>
              <w:rPr>
                <w:rFonts w:ascii="Arial" w:cs="Arial" w:eastAsia="Arial" w:hAnsi="Arial"/>
                <w:sz w:val="16"/>
                <w:szCs w:val="16"/>
                <w:color w:val="0000FF"/>
              </w:rPr>
              <w:t>— Other Current Liabilities</w:t>
            </w:r>
          </w:p>
        </w:tc>
        <w:tc>
          <w:tcPr>
            <w:tcW w:w="1060" w:type="dxa"/>
            <w:vAlign w:val="bottom"/>
            <w:gridSpan w:val="4"/>
          </w:tcPr>
          <w:p>
            <w:pPr>
              <w:jc w:val="right"/>
              <w:spacing w:after="0"/>
              <w:rPr>
                <w:sz w:val="20"/>
                <w:szCs w:val="20"/>
                <w:color w:val="auto"/>
              </w:rPr>
            </w:pPr>
            <w:r>
              <w:rPr>
                <w:rFonts w:ascii="Arial" w:cs="Arial" w:eastAsia="Arial" w:hAnsi="Arial"/>
                <w:sz w:val="16"/>
                <w:szCs w:val="16"/>
                <w:color w:val="0000FF"/>
              </w:rPr>
              <w:t>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40" w:type="dxa"/>
            <w:vAlign w:val="bottom"/>
            <w:gridSpan w:val="5"/>
          </w:tcPr>
          <w:p>
            <w:pPr>
              <w:ind w:left="360"/>
              <w:spacing w:after="0"/>
              <w:rPr>
                <w:sz w:val="20"/>
                <w:szCs w:val="20"/>
                <w:color w:val="auto"/>
              </w:rPr>
            </w:pPr>
            <w:r>
              <w:rPr>
                <w:rFonts w:ascii="Arial" w:cs="Arial" w:eastAsia="Arial" w:hAnsi="Arial"/>
                <w:sz w:val="16"/>
                <w:szCs w:val="16"/>
                <w:color w:val="0000FF"/>
              </w:rPr>
              <w:t>Note 10 — Debt and Lines of Credit</w:t>
            </w:r>
          </w:p>
        </w:tc>
        <w:tc>
          <w:tcPr>
            <w:tcW w:w="1060" w:type="dxa"/>
            <w:vAlign w:val="bottom"/>
            <w:gridSpan w:val="4"/>
          </w:tcPr>
          <w:p>
            <w:pPr>
              <w:jc w:val="right"/>
              <w:spacing w:after="0"/>
              <w:rPr>
                <w:sz w:val="20"/>
                <w:szCs w:val="20"/>
                <w:color w:val="auto"/>
              </w:rPr>
            </w:pPr>
            <w:r>
              <w:rPr>
                <w:rFonts w:ascii="Arial" w:cs="Arial" w:eastAsia="Arial" w:hAnsi="Arial"/>
                <w:sz w:val="16"/>
                <w:szCs w:val="16"/>
                <w:color w:val="0000FF"/>
              </w:rPr>
              <w:t>10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40" w:type="dxa"/>
            <w:vAlign w:val="bottom"/>
            <w:gridSpan w:val="5"/>
          </w:tcPr>
          <w:p>
            <w:pPr>
              <w:ind w:left="360"/>
              <w:spacing w:after="0"/>
              <w:rPr>
                <w:sz w:val="20"/>
                <w:szCs w:val="20"/>
                <w:color w:val="auto"/>
              </w:rPr>
            </w:pPr>
            <w:r>
              <w:rPr>
                <w:rFonts w:ascii="Arial" w:cs="Arial" w:eastAsia="Arial" w:hAnsi="Arial"/>
                <w:sz w:val="16"/>
                <w:szCs w:val="16"/>
                <w:color w:val="0000FF"/>
              </w:rPr>
              <w:t>Note 11 — Commitments and Contingencies</w:t>
            </w:r>
          </w:p>
        </w:tc>
        <w:tc>
          <w:tcPr>
            <w:tcW w:w="900" w:type="dxa"/>
            <w:vAlign w:val="bottom"/>
            <w:gridSpan w:val="2"/>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11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40" w:type="dxa"/>
            <w:vAlign w:val="bottom"/>
            <w:gridSpan w:val="5"/>
          </w:tcPr>
          <w:p>
            <w:pPr>
              <w:ind w:left="360"/>
              <w:spacing w:after="0"/>
              <w:rPr>
                <w:sz w:val="20"/>
                <w:szCs w:val="20"/>
                <w:color w:val="auto"/>
              </w:rPr>
            </w:pPr>
            <w:r>
              <w:rPr>
                <w:rFonts w:ascii="Arial" w:cs="Arial" w:eastAsia="Arial" w:hAnsi="Arial"/>
                <w:sz w:val="16"/>
                <w:szCs w:val="16"/>
                <w:color w:val="0000FF"/>
              </w:rPr>
              <w:t>Note 12 — Changes in Stockholders' Equity</w:t>
            </w:r>
          </w:p>
        </w:tc>
        <w:tc>
          <w:tcPr>
            <w:tcW w:w="88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40" w:type="dxa"/>
            <w:vAlign w:val="bottom"/>
            <w:gridSpan w:val="5"/>
          </w:tcPr>
          <w:p>
            <w:pPr>
              <w:ind w:left="360"/>
              <w:spacing w:after="0"/>
              <w:rPr>
                <w:sz w:val="20"/>
                <w:szCs w:val="20"/>
                <w:color w:val="auto"/>
              </w:rPr>
            </w:pPr>
            <w:r>
              <w:rPr>
                <w:rFonts w:ascii="Arial" w:cs="Arial" w:eastAsia="Arial" w:hAnsi="Arial"/>
                <w:sz w:val="16"/>
                <w:szCs w:val="16"/>
                <w:color w:val="0000FF"/>
              </w:rPr>
              <w:t>Note 13 — Revenue Recognition</w:t>
            </w:r>
          </w:p>
        </w:tc>
        <w:tc>
          <w:tcPr>
            <w:tcW w:w="88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40" w:type="dxa"/>
            <w:vAlign w:val="bottom"/>
            <w:gridSpan w:val="5"/>
          </w:tcPr>
          <w:p>
            <w:pPr>
              <w:ind w:left="360"/>
              <w:spacing w:after="0"/>
              <w:rPr>
                <w:sz w:val="20"/>
                <w:szCs w:val="20"/>
                <w:color w:val="auto"/>
              </w:rPr>
            </w:pPr>
            <w:r>
              <w:rPr>
                <w:rFonts w:ascii="Arial" w:cs="Arial" w:eastAsia="Arial" w:hAnsi="Arial"/>
                <w:sz w:val="16"/>
                <w:szCs w:val="16"/>
                <w:color w:val="0000FF"/>
              </w:rPr>
              <w:t>Note 14 — Share-based Payments</w:t>
            </w:r>
          </w:p>
        </w:tc>
        <w:tc>
          <w:tcPr>
            <w:tcW w:w="88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40" w:type="dxa"/>
            <w:vAlign w:val="bottom"/>
            <w:gridSpan w:val="5"/>
          </w:tcPr>
          <w:p>
            <w:pPr>
              <w:ind w:left="360"/>
              <w:spacing w:after="0"/>
              <w:rPr>
                <w:sz w:val="20"/>
                <w:szCs w:val="20"/>
                <w:color w:val="auto"/>
              </w:rPr>
            </w:pPr>
            <w:r>
              <w:rPr>
                <w:rFonts w:ascii="Arial" w:cs="Arial" w:eastAsia="Arial" w:hAnsi="Arial"/>
                <w:sz w:val="16"/>
                <w:szCs w:val="16"/>
                <w:color w:val="0000FF"/>
              </w:rPr>
              <w:t>Note 15 — Pension Plans</w:t>
            </w:r>
          </w:p>
        </w:tc>
        <w:tc>
          <w:tcPr>
            <w:tcW w:w="88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40" w:type="dxa"/>
            <w:vAlign w:val="bottom"/>
            <w:gridSpan w:val="5"/>
          </w:tcPr>
          <w:p>
            <w:pPr>
              <w:ind w:left="360"/>
              <w:spacing w:after="0"/>
              <w:rPr>
                <w:sz w:val="20"/>
                <w:szCs w:val="20"/>
                <w:color w:val="auto"/>
              </w:rPr>
            </w:pPr>
            <w:r>
              <w:rPr>
                <w:rFonts w:ascii="Arial" w:cs="Arial" w:eastAsia="Arial" w:hAnsi="Arial"/>
                <w:sz w:val="16"/>
                <w:szCs w:val="16"/>
                <w:color w:val="0000FF"/>
              </w:rPr>
              <w:t>Note 16 — Special Charges</w:t>
            </w:r>
          </w:p>
        </w:tc>
        <w:tc>
          <w:tcPr>
            <w:tcW w:w="88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40" w:type="dxa"/>
            <w:vAlign w:val="bottom"/>
            <w:gridSpan w:val="5"/>
          </w:tcPr>
          <w:p>
            <w:pPr>
              <w:ind w:left="360"/>
              <w:spacing w:after="0"/>
              <w:rPr>
                <w:sz w:val="20"/>
                <w:szCs w:val="20"/>
                <w:color w:val="auto"/>
              </w:rPr>
            </w:pPr>
            <w:r>
              <w:rPr>
                <w:rFonts w:ascii="Arial" w:cs="Arial" w:eastAsia="Arial" w:hAnsi="Arial"/>
                <w:sz w:val="16"/>
                <w:szCs w:val="16"/>
                <w:color w:val="0000FF"/>
              </w:rPr>
              <w:t>Note 17 — Earnings Per Share</w:t>
            </w:r>
          </w:p>
        </w:tc>
        <w:tc>
          <w:tcPr>
            <w:tcW w:w="88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40" w:type="dxa"/>
            <w:vAlign w:val="bottom"/>
            <w:gridSpan w:val="5"/>
          </w:tcPr>
          <w:p>
            <w:pPr>
              <w:ind w:left="360"/>
              <w:spacing w:after="0"/>
              <w:rPr>
                <w:sz w:val="20"/>
                <w:szCs w:val="20"/>
                <w:color w:val="auto"/>
              </w:rPr>
            </w:pPr>
            <w:r>
              <w:rPr>
                <w:rFonts w:ascii="Arial" w:cs="Arial" w:eastAsia="Arial" w:hAnsi="Arial"/>
                <w:sz w:val="16"/>
                <w:szCs w:val="16"/>
                <w:color w:val="0000FF"/>
              </w:rPr>
              <w:t>Note 18 — Comprehensive Income</w:t>
            </w:r>
          </w:p>
        </w:tc>
        <w:tc>
          <w:tcPr>
            <w:tcW w:w="88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40" w:type="dxa"/>
            <w:vAlign w:val="bottom"/>
            <w:gridSpan w:val="5"/>
          </w:tcPr>
          <w:p>
            <w:pPr>
              <w:ind w:left="360"/>
              <w:spacing w:after="0"/>
              <w:rPr>
                <w:sz w:val="20"/>
                <w:szCs w:val="20"/>
                <w:color w:val="auto"/>
              </w:rPr>
            </w:pPr>
            <w:r>
              <w:rPr>
                <w:rFonts w:ascii="Arial" w:cs="Arial" w:eastAsia="Arial" w:hAnsi="Arial"/>
                <w:sz w:val="16"/>
                <w:szCs w:val="16"/>
                <w:color w:val="0000FF"/>
              </w:rPr>
              <w:t>Note 19 — Segment Information</w:t>
            </w:r>
          </w:p>
        </w:tc>
        <w:tc>
          <w:tcPr>
            <w:tcW w:w="88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spacing w:after="0"/>
              <w:rPr>
                <w:sz w:val="20"/>
                <w:szCs w:val="20"/>
                <w:color w:val="auto"/>
              </w:rPr>
            </w:pPr>
            <w:r>
              <w:rPr>
                <w:rFonts w:ascii="Arial" w:cs="Arial" w:eastAsia="Arial" w:hAnsi="Arial"/>
                <w:sz w:val="16"/>
                <w:szCs w:val="16"/>
                <w:color w:val="0000FF"/>
              </w:rPr>
              <w:t>Item 2.</w:t>
            </w:r>
          </w:p>
        </w:tc>
        <w:tc>
          <w:tcPr>
            <w:tcW w:w="9040" w:type="dxa"/>
            <w:vAlign w:val="bottom"/>
            <w:gridSpan w:val="5"/>
          </w:tcPr>
          <w:p>
            <w:pPr>
              <w:ind w:left="14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060" w:type="dxa"/>
            <w:vAlign w:val="bottom"/>
            <w:gridSpan w:val="4"/>
          </w:tcPr>
          <w:p>
            <w:pPr>
              <w:jc w:val="right"/>
              <w:spacing w:after="0"/>
              <w:rPr>
                <w:sz w:val="20"/>
                <w:szCs w:val="20"/>
                <w:color w:val="auto"/>
              </w:rPr>
            </w:pPr>
            <w:r>
              <w:rPr>
                <w:rFonts w:ascii="Arial" w:cs="Arial" w:eastAsia="Arial" w:hAnsi="Arial"/>
                <w:sz w:val="16"/>
                <w:szCs w:val="16"/>
                <w:color w:val="0000FF"/>
              </w:rPr>
              <w:t>20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spacing w:after="0"/>
              <w:rPr>
                <w:sz w:val="20"/>
                <w:szCs w:val="20"/>
                <w:color w:val="auto"/>
              </w:rPr>
            </w:pPr>
            <w:r>
              <w:rPr>
                <w:rFonts w:ascii="Arial" w:cs="Arial" w:eastAsia="Arial" w:hAnsi="Arial"/>
                <w:sz w:val="16"/>
                <w:szCs w:val="16"/>
                <w:color w:val="0000FF"/>
              </w:rPr>
              <w:t>Item 3.</w:t>
            </w:r>
          </w:p>
        </w:tc>
        <w:tc>
          <w:tcPr>
            <w:tcW w:w="9040" w:type="dxa"/>
            <w:vAlign w:val="bottom"/>
            <w:gridSpan w:val="5"/>
          </w:tcPr>
          <w:p>
            <w:pPr>
              <w:ind w:left="140"/>
              <w:spacing w:after="0"/>
              <w:rPr>
                <w:sz w:val="20"/>
                <w:szCs w:val="20"/>
                <w:color w:val="auto"/>
              </w:rPr>
            </w:pPr>
            <w:r>
              <w:rPr>
                <w:rFonts w:ascii="Arial" w:cs="Arial" w:eastAsia="Arial" w:hAnsi="Arial"/>
                <w:sz w:val="16"/>
                <w:szCs w:val="16"/>
                <w:color w:val="0000FF"/>
              </w:rPr>
              <w:t>Quantitative and Qualitative Disclosures about Market Risk</w:t>
            </w:r>
          </w:p>
        </w:tc>
        <w:tc>
          <w:tcPr>
            <w:tcW w:w="1060" w:type="dxa"/>
            <w:vAlign w:val="bottom"/>
            <w:gridSpan w:val="4"/>
          </w:tcPr>
          <w:p>
            <w:pPr>
              <w:jc w:val="right"/>
              <w:spacing w:after="0"/>
              <w:rPr>
                <w:sz w:val="20"/>
                <w:szCs w:val="20"/>
                <w:color w:val="auto"/>
              </w:rPr>
            </w:pPr>
            <w:r>
              <w:rPr>
                <w:rFonts w:ascii="Arial" w:cs="Arial" w:eastAsia="Arial" w:hAnsi="Arial"/>
                <w:sz w:val="16"/>
                <w:szCs w:val="16"/>
                <w:color w:val="0000FF"/>
              </w:rPr>
              <w:t>27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spacing w:after="0"/>
              <w:rPr>
                <w:sz w:val="20"/>
                <w:szCs w:val="20"/>
                <w:color w:val="auto"/>
              </w:rPr>
            </w:pPr>
            <w:r>
              <w:rPr>
                <w:rFonts w:ascii="Arial" w:cs="Arial" w:eastAsia="Arial" w:hAnsi="Arial"/>
                <w:sz w:val="16"/>
                <w:szCs w:val="16"/>
                <w:color w:val="0000FF"/>
              </w:rPr>
              <w:t>Item 4.</w:t>
            </w:r>
          </w:p>
        </w:tc>
        <w:tc>
          <w:tcPr>
            <w:tcW w:w="9040" w:type="dxa"/>
            <w:vAlign w:val="bottom"/>
            <w:gridSpan w:val="5"/>
          </w:tcPr>
          <w:p>
            <w:pPr>
              <w:ind w:left="140"/>
              <w:spacing w:after="0"/>
              <w:rPr>
                <w:sz w:val="20"/>
                <w:szCs w:val="20"/>
                <w:color w:val="auto"/>
              </w:rPr>
            </w:pPr>
            <w:r>
              <w:rPr>
                <w:rFonts w:ascii="Arial" w:cs="Arial" w:eastAsia="Arial" w:hAnsi="Arial"/>
                <w:sz w:val="16"/>
                <w:szCs w:val="16"/>
                <w:color w:val="0000FF"/>
              </w:rPr>
              <w:t>Controls and Procedures</w:t>
            </w:r>
          </w:p>
        </w:tc>
        <w:tc>
          <w:tcPr>
            <w:tcW w:w="1060" w:type="dxa"/>
            <w:vAlign w:val="bottom"/>
            <w:gridSpan w:val="4"/>
          </w:tcPr>
          <w:p>
            <w:pPr>
              <w:jc w:val="right"/>
              <w:spacing w:after="0"/>
              <w:rPr>
                <w:sz w:val="20"/>
                <w:szCs w:val="20"/>
                <w:color w:val="auto"/>
              </w:rPr>
            </w:pPr>
            <w:r>
              <w:rPr>
                <w:rFonts w:ascii="Arial" w:cs="Arial" w:eastAsia="Arial" w:hAnsi="Arial"/>
                <w:sz w:val="16"/>
                <w:szCs w:val="16"/>
                <w:color w:val="0000FF"/>
              </w:rPr>
              <w:t>28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100" w:type="dxa"/>
            <w:vAlign w:val="bottom"/>
            <w:gridSpan w:val="9"/>
          </w:tcPr>
          <w:p>
            <w:pPr>
              <w:spacing w:after="0"/>
              <w:rPr>
                <w:sz w:val="20"/>
                <w:szCs w:val="20"/>
                <w:color w:val="auto"/>
              </w:rPr>
            </w:pPr>
            <w:r>
              <w:rPr>
                <w:rFonts w:ascii="Arial" w:cs="Arial" w:eastAsia="Arial" w:hAnsi="Arial"/>
                <w:sz w:val="16"/>
                <w:szCs w:val="16"/>
                <w:b w:val="1"/>
                <w:bCs w:val="1"/>
                <w:color w:val="0000FF"/>
              </w:rPr>
              <w:t>Part II. OTHER INFORMATION</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spacing w:after="0"/>
              <w:rPr>
                <w:sz w:val="20"/>
                <w:szCs w:val="20"/>
                <w:color w:val="auto"/>
              </w:rPr>
            </w:pPr>
            <w:r>
              <w:rPr>
                <w:rFonts w:ascii="Arial" w:cs="Arial" w:eastAsia="Arial" w:hAnsi="Arial"/>
                <w:sz w:val="16"/>
                <w:szCs w:val="16"/>
                <w:color w:val="0000FF"/>
              </w:rPr>
              <w:t>Item 1.</w:t>
            </w:r>
          </w:p>
        </w:tc>
        <w:tc>
          <w:tcPr>
            <w:tcW w:w="9040" w:type="dxa"/>
            <w:vAlign w:val="bottom"/>
            <w:gridSpan w:val="5"/>
          </w:tcPr>
          <w:p>
            <w:pPr>
              <w:ind w:left="140"/>
              <w:spacing w:after="0"/>
              <w:rPr>
                <w:sz w:val="20"/>
                <w:szCs w:val="20"/>
                <w:color w:val="auto"/>
              </w:rPr>
            </w:pPr>
            <w:r>
              <w:rPr>
                <w:rFonts w:ascii="Arial" w:cs="Arial" w:eastAsia="Arial" w:hAnsi="Arial"/>
                <w:sz w:val="16"/>
                <w:szCs w:val="16"/>
                <w:color w:val="0000FF"/>
              </w:rPr>
              <w:t>Legal Proceedings</w:t>
            </w:r>
          </w:p>
        </w:tc>
        <w:tc>
          <w:tcPr>
            <w:tcW w:w="1060" w:type="dxa"/>
            <w:vAlign w:val="bottom"/>
            <w:gridSpan w:val="4"/>
          </w:tcPr>
          <w:p>
            <w:pPr>
              <w:jc w:val="right"/>
              <w:spacing w:after="0"/>
              <w:rPr>
                <w:sz w:val="20"/>
                <w:szCs w:val="20"/>
                <w:color w:val="auto"/>
              </w:rPr>
            </w:pPr>
            <w:r>
              <w:rPr>
                <w:rFonts w:ascii="Arial" w:cs="Arial" w:eastAsia="Arial" w:hAnsi="Arial"/>
                <w:sz w:val="16"/>
                <w:szCs w:val="16"/>
                <w:color w:val="0000FF"/>
              </w:rPr>
              <w:t>29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54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rPr>
              <w:t>Item 1a.</w:t>
            </w:r>
          </w:p>
        </w:tc>
        <w:tc>
          <w:tcPr>
            <w:tcW w:w="260" w:type="dxa"/>
            <w:vAlign w:val="bottom"/>
          </w:tcPr>
          <w:p>
            <w:pPr>
              <w:spacing w:after="0"/>
              <w:rPr>
                <w:sz w:val="17"/>
                <w:szCs w:val="17"/>
                <w:color w:val="auto"/>
              </w:rPr>
            </w:pPr>
          </w:p>
        </w:tc>
        <w:tc>
          <w:tcPr>
            <w:tcW w:w="9040" w:type="dxa"/>
            <w:vAlign w:val="bottom"/>
            <w:gridSpan w:val="5"/>
          </w:tcPr>
          <w:p>
            <w:pPr>
              <w:ind w:left="140"/>
              <w:spacing w:after="0"/>
              <w:rPr>
                <w:sz w:val="20"/>
                <w:szCs w:val="20"/>
                <w:color w:val="auto"/>
              </w:rPr>
            </w:pPr>
            <w:r>
              <w:rPr>
                <w:rFonts w:ascii="Arial" w:cs="Arial" w:eastAsia="Arial" w:hAnsi="Arial"/>
                <w:sz w:val="16"/>
                <w:szCs w:val="16"/>
                <w:color w:val="0000FF"/>
              </w:rPr>
              <w:t>Risk Factors</w:t>
            </w:r>
          </w:p>
        </w:tc>
        <w:tc>
          <w:tcPr>
            <w:tcW w:w="1060" w:type="dxa"/>
            <w:vAlign w:val="bottom"/>
            <w:gridSpan w:val="4"/>
          </w:tcPr>
          <w:p>
            <w:pPr>
              <w:jc w:val="right"/>
              <w:spacing w:after="0"/>
              <w:rPr>
                <w:sz w:val="20"/>
                <w:szCs w:val="20"/>
                <w:color w:val="auto"/>
              </w:rPr>
            </w:pPr>
            <w:r>
              <w:rPr>
                <w:rFonts w:ascii="Arial" w:cs="Arial" w:eastAsia="Arial" w:hAnsi="Arial"/>
                <w:sz w:val="16"/>
                <w:szCs w:val="16"/>
                <w:color w:val="0000FF"/>
              </w:rPr>
              <w:t>29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54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260" w:type="dxa"/>
            <w:vAlign w:val="bottom"/>
          </w:tcPr>
          <w:p>
            <w:pPr>
              <w:spacing w:after="0"/>
              <w:rPr>
                <w:sz w:val="17"/>
                <w:szCs w:val="17"/>
                <w:color w:val="auto"/>
              </w:rPr>
            </w:pPr>
          </w:p>
        </w:tc>
        <w:tc>
          <w:tcPr>
            <w:tcW w:w="9040" w:type="dxa"/>
            <w:vAlign w:val="bottom"/>
            <w:gridSpan w:val="5"/>
          </w:tcPr>
          <w:p>
            <w:pPr>
              <w:ind w:left="140"/>
              <w:spacing w:after="0"/>
              <w:rPr>
                <w:sz w:val="20"/>
                <w:szCs w:val="20"/>
                <w:color w:val="auto"/>
              </w:rPr>
            </w:pPr>
            <w:r>
              <w:rPr>
                <w:rFonts w:ascii="Arial" w:cs="Arial" w:eastAsia="Arial" w:hAnsi="Arial"/>
                <w:sz w:val="16"/>
                <w:szCs w:val="16"/>
                <w:color w:val="0000FF"/>
              </w:rPr>
              <w:t>Unregistered Sales of Equity Securities and Use of Proceeds</w:t>
            </w:r>
          </w:p>
        </w:tc>
        <w:tc>
          <w:tcPr>
            <w:tcW w:w="1060" w:type="dxa"/>
            <w:vAlign w:val="bottom"/>
            <w:gridSpan w:val="4"/>
          </w:tcPr>
          <w:p>
            <w:pPr>
              <w:jc w:val="right"/>
              <w:spacing w:after="0"/>
              <w:rPr>
                <w:sz w:val="20"/>
                <w:szCs w:val="20"/>
                <w:color w:val="auto"/>
              </w:rPr>
            </w:pPr>
            <w:r>
              <w:rPr>
                <w:rFonts w:ascii="Arial" w:cs="Arial" w:eastAsia="Arial" w:hAnsi="Arial"/>
                <w:sz w:val="16"/>
                <w:szCs w:val="16"/>
                <w:color w:val="0000FF"/>
              </w:rPr>
              <w:t>29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54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spacing w:after="0"/>
              <w:rPr>
                <w:sz w:val="20"/>
                <w:szCs w:val="20"/>
                <w:color w:val="auto"/>
              </w:rPr>
            </w:pPr>
            <w:r>
              <w:rPr>
                <w:rFonts w:ascii="Arial" w:cs="Arial" w:eastAsia="Arial" w:hAnsi="Arial"/>
                <w:sz w:val="16"/>
                <w:szCs w:val="16"/>
                <w:color w:val="0000FF"/>
              </w:rPr>
              <w:t>Item 5.</w:t>
            </w:r>
          </w:p>
        </w:tc>
        <w:tc>
          <w:tcPr>
            <w:tcW w:w="9040" w:type="dxa"/>
            <w:vAlign w:val="bottom"/>
            <w:gridSpan w:val="5"/>
          </w:tcPr>
          <w:p>
            <w:pPr>
              <w:ind w:left="140"/>
              <w:spacing w:after="0"/>
              <w:rPr>
                <w:sz w:val="20"/>
                <w:szCs w:val="20"/>
                <w:color w:val="auto"/>
              </w:rPr>
            </w:pPr>
            <w:r>
              <w:rPr>
                <w:rFonts w:ascii="Arial" w:cs="Arial" w:eastAsia="Arial" w:hAnsi="Arial"/>
                <w:sz w:val="16"/>
                <w:szCs w:val="16"/>
                <w:color w:val="0000FF"/>
              </w:rPr>
              <w:t>Other Information</w:t>
            </w:r>
          </w:p>
        </w:tc>
        <w:tc>
          <w:tcPr>
            <w:tcW w:w="1060" w:type="dxa"/>
            <w:vAlign w:val="bottom"/>
            <w:gridSpan w:val="4"/>
          </w:tcPr>
          <w:p>
            <w:pPr>
              <w:jc w:val="right"/>
              <w:spacing w:after="0"/>
              <w:rPr>
                <w:sz w:val="20"/>
                <w:szCs w:val="20"/>
                <w:color w:val="auto"/>
              </w:rPr>
            </w:pPr>
            <w:r>
              <w:rPr>
                <w:rFonts w:ascii="Arial" w:cs="Arial" w:eastAsia="Arial" w:hAnsi="Arial"/>
                <w:sz w:val="16"/>
                <w:szCs w:val="16"/>
                <w:color w:val="0000FF"/>
              </w:rPr>
              <w:t>29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spacing w:after="0"/>
              <w:rPr>
                <w:sz w:val="20"/>
                <w:szCs w:val="20"/>
                <w:color w:val="auto"/>
              </w:rPr>
            </w:pPr>
            <w:r>
              <w:rPr>
                <w:rFonts w:ascii="Arial" w:cs="Arial" w:eastAsia="Arial" w:hAnsi="Arial"/>
                <w:sz w:val="16"/>
                <w:szCs w:val="16"/>
                <w:color w:val="0000FF"/>
              </w:rPr>
              <w:t>Item 6.</w:t>
            </w:r>
          </w:p>
        </w:tc>
        <w:tc>
          <w:tcPr>
            <w:tcW w:w="860" w:type="dxa"/>
            <w:vAlign w:val="bottom"/>
            <w:gridSpan w:val="2"/>
          </w:tcPr>
          <w:p>
            <w:pPr>
              <w:ind w:left="140"/>
              <w:spacing w:after="0"/>
              <w:rPr>
                <w:sz w:val="20"/>
                <w:szCs w:val="20"/>
                <w:color w:val="auto"/>
              </w:rPr>
            </w:pPr>
            <w:r>
              <w:rPr>
                <w:rFonts w:ascii="Arial" w:cs="Arial" w:eastAsia="Arial" w:hAnsi="Arial"/>
                <w:sz w:val="16"/>
                <w:szCs w:val="16"/>
                <w:color w:val="0000FF"/>
              </w:rPr>
              <w:t>Exhibits</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060" w:type="dxa"/>
            <w:vAlign w:val="bottom"/>
            <w:gridSpan w:val="4"/>
          </w:tcPr>
          <w:p>
            <w:pPr>
              <w:jc w:val="right"/>
              <w:spacing w:after="0"/>
              <w:rPr>
                <w:sz w:val="20"/>
                <w:szCs w:val="20"/>
                <w:color w:val="auto"/>
              </w:rPr>
            </w:pPr>
            <w:r>
              <w:rPr>
                <w:rFonts w:ascii="Arial" w:cs="Arial" w:eastAsia="Arial" w:hAnsi="Arial"/>
                <w:sz w:val="16"/>
                <w:szCs w:val="16"/>
                <w:color w:val="0000FF"/>
              </w:rPr>
              <w:t>30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920" w:type="dxa"/>
            <w:vAlign w:val="bottom"/>
            <w:gridSpan w:val="6"/>
          </w:tcPr>
          <w:p>
            <w:pPr>
              <w:spacing w:after="0"/>
              <w:rPr>
                <w:sz w:val="20"/>
                <w:szCs w:val="20"/>
                <w:color w:val="auto"/>
              </w:rPr>
            </w:pPr>
            <w:r>
              <w:rPr>
                <w:rFonts w:ascii="Arial" w:cs="Arial" w:eastAsia="Arial" w:hAnsi="Arial"/>
                <w:sz w:val="16"/>
                <w:szCs w:val="16"/>
                <w:b w:val="1"/>
                <w:bCs w:val="1"/>
                <w:color w:val="0000FF"/>
              </w:rPr>
              <w:t>INDEX TO EXHIBITS</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060" w:type="dxa"/>
            <w:vAlign w:val="bottom"/>
            <w:gridSpan w:val="4"/>
          </w:tcPr>
          <w:p>
            <w:pPr>
              <w:jc w:val="right"/>
              <w:spacing w:after="0"/>
              <w:rPr>
                <w:sz w:val="20"/>
                <w:szCs w:val="20"/>
                <w:color w:val="auto"/>
              </w:rPr>
            </w:pPr>
            <w:r>
              <w:rPr>
                <w:rFonts w:ascii="Arial" w:cs="Arial" w:eastAsia="Arial" w:hAnsi="Arial"/>
                <w:sz w:val="16"/>
                <w:szCs w:val="16"/>
                <w:color w:val="0000FF"/>
              </w:rPr>
              <w:t>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6"/>
                <w:szCs w:val="16"/>
                <w:b w:val="1"/>
                <w:bCs w:val="1"/>
                <w:color w:val="0000FF"/>
                <w:w w:val="99"/>
              </w:rPr>
              <w:t>SIGNATURES</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060" w:type="dxa"/>
            <w:vAlign w:val="bottom"/>
            <w:gridSpan w:val="4"/>
          </w:tcPr>
          <w:p>
            <w:pPr>
              <w:jc w:val="right"/>
              <w:spacing w:after="0"/>
              <w:rPr>
                <w:sz w:val="20"/>
                <w:szCs w:val="20"/>
                <w:color w:val="auto"/>
              </w:rPr>
            </w:pPr>
            <w:r>
              <w:rPr>
                <w:rFonts w:ascii="Arial" w:cs="Arial" w:eastAsia="Arial" w:hAnsi="Arial"/>
                <w:sz w:val="16"/>
                <w:szCs w:val="16"/>
                <w:color w:val="0000FF"/>
              </w:rPr>
              <w:t>32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May 31, 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August 31, 2022</w:t>
            </w:r>
          </w:p>
        </w:tc>
        <w:tc>
          <w:tcPr>
            <w:tcW w:w="0" w:type="dxa"/>
            <w:vAlign w:val="bottom"/>
          </w:tcPr>
          <w:p>
            <w:pPr>
              <w:spacing w:after="0"/>
              <w:rPr>
                <w:sz w:val="1"/>
                <w:szCs w:val="1"/>
                <w:color w:val="auto"/>
              </w:rPr>
            </w:pPr>
          </w:p>
        </w:tc>
      </w:tr>
      <w:tr>
        <w:trPr>
          <w:trHeight w:val="195"/>
        </w:trPr>
        <w:tc>
          <w:tcPr>
            <w:tcW w:w="7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jc w:val="right"/>
              <w:ind w:right="488"/>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2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w:t>
            </w:r>
          </w:p>
        </w:tc>
        <w:tc>
          <w:tcPr>
            <w:tcW w:w="0" w:type="dxa"/>
            <w:vAlign w:val="bottom"/>
          </w:tcPr>
          <w:p>
            <w:pPr>
              <w:spacing w:after="0"/>
              <w:rPr>
                <w:sz w:val="1"/>
                <w:szCs w:val="1"/>
                <w:color w:val="auto"/>
              </w:rPr>
            </w:pPr>
          </w:p>
        </w:tc>
      </w:tr>
      <w:tr>
        <w:trPr>
          <w:trHeight w:val="196"/>
        </w:trPr>
        <w:tc>
          <w:tcPr>
            <w:tcW w:w="7280" w:type="dxa"/>
            <w:vAlign w:val="bottom"/>
          </w:tcPr>
          <w:p>
            <w:pPr>
              <w:ind w:left="140"/>
              <w:spacing w:after="0"/>
              <w:rPr>
                <w:sz w:val="20"/>
                <w:szCs w:val="20"/>
                <w:color w:val="auto"/>
              </w:rPr>
            </w:pPr>
            <w:r>
              <w:rPr>
                <w:rFonts w:ascii="Arial" w:cs="Arial" w:eastAsia="Arial" w:hAnsi="Arial"/>
                <w:sz w:val="14"/>
                <w:szCs w:val="14"/>
                <w:color w:val="auto"/>
              </w:rPr>
              <w:t>Accounts receivable, less reserve for doubtful accounts of $1.3 and $1.2, respectively</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545.0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665.9</w:t>
            </w:r>
          </w:p>
        </w:tc>
        <w:tc>
          <w:tcPr>
            <w:tcW w:w="0" w:type="dxa"/>
            <w:vAlign w:val="bottom"/>
          </w:tcPr>
          <w:p>
            <w:pPr>
              <w:spacing w:after="0"/>
              <w:rPr>
                <w:sz w:val="1"/>
                <w:szCs w:val="1"/>
                <w:color w:val="auto"/>
              </w:rPr>
            </w:pPr>
          </w:p>
        </w:tc>
      </w:tr>
      <w:tr>
        <w:trPr>
          <w:trHeight w:val="195"/>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485.7</w:t>
            </w:r>
          </w:p>
        </w:tc>
        <w:tc>
          <w:tcPr>
            <w:tcW w:w="0" w:type="dxa"/>
            <w:vAlign w:val="bottom"/>
          </w:tcPr>
          <w:p>
            <w:pPr>
              <w:spacing w:after="0"/>
              <w:rPr>
                <w:sz w:val="1"/>
                <w:szCs w:val="1"/>
                <w:color w:val="auto"/>
              </w:rPr>
            </w:pPr>
          </w:p>
        </w:tc>
      </w:tr>
      <w:tr>
        <w:trPr>
          <w:trHeight w:val="203"/>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Prepayments and other current assets</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196"/>
        </w:trPr>
        <w:tc>
          <w:tcPr>
            <w:tcW w:w="7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1,408.4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1,466.0</w:t>
            </w:r>
          </w:p>
        </w:tc>
        <w:tc>
          <w:tcPr>
            <w:tcW w:w="0" w:type="dxa"/>
            <w:vAlign w:val="bottom"/>
          </w:tcPr>
          <w:p>
            <w:pPr>
              <w:spacing w:after="0"/>
              <w:rPr>
                <w:sz w:val="1"/>
                <w:szCs w:val="1"/>
                <w:color w:val="auto"/>
              </w:rPr>
            </w:pPr>
          </w:p>
        </w:tc>
      </w:tr>
      <w:tr>
        <w:trPr>
          <w:trHeight w:val="189"/>
        </w:trPr>
        <w:tc>
          <w:tcPr>
            <w:tcW w:w="72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3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290.4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276.5</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197"/>
        </w:trPr>
        <w:tc>
          <w:tcPr>
            <w:tcW w:w="7280" w:type="dxa"/>
            <w:vAlign w:val="bottom"/>
          </w:tcPr>
          <w:p>
            <w:pPr>
              <w:ind w:left="20"/>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1,096.7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1,084.3</w:t>
            </w:r>
          </w:p>
        </w:tc>
        <w:tc>
          <w:tcPr>
            <w:tcW w:w="0" w:type="dxa"/>
            <w:vAlign w:val="bottom"/>
          </w:tcPr>
          <w:p>
            <w:pPr>
              <w:spacing w:after="0"/>
              <w:rPr>
                <w:sz w:val="1"/>
                <w:szCs w:val="1"/>
                <w:color w:val="auto"/>
              </w:rPr>
            </w:pPr>
          </w:p>
        </w:tc>
      </w:tr>
      <w:tr>
        <w:trPr>
          <w:trHeight w:val="195"/>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3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529.2</w:t>
            </w:r>
          </w:p>
        </w:tc>
        <w:tc>
          <w:tcPr>
            <w:tcW w:w="0" w:type="dxa"/>
            <w:vAlign w:val="bottom"/>
          </w:tcPr>
          <w:p>
            <w:pPr>
              <w:spacing w:after="0"/>
              <w:rPr>
                <w:sz w:val="1"/>
                <w:szCs w:val="1"/>
                <w:color w:val="auto"/>
              </w:rPr>
            </w:pPr>
          </w:p>
        </w:tc>
      </w:tr>
      <w:tr>
        <w:trPr>
          <w:trHeight w:val="197"/>
        </w:trPr>
        <w:tc>
          <w:tcPr>
            <w:tcW w:w="7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3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88"/>
        </w:trPr>
        <w:tc>
          <w:tcPr>
            <w:tcW w:w="728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3,438.9</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3,480.2</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397.8</w:t>
            </w:r>
          </w:p>
        </w:tc>
        <w:tc>
          <w:tcPr>
            <w:tcW w:w="0" w:type="dxa"/>
            <w:vAlign w:val="bottom"/>
          </w:tcPr>
          <w:p>
            <w:pPr>
              <w:spacing w:after="0"/>
              <w:rPr>
                <w:sz w:val="1"/>
                <w:szCs w:val="1"/>
                <w:color w:val="auto"/>
              </w:rPr>
            </w:pPr>
          </w:p>
        </w:tc>
      </w:tr>
      <w:tr>
        <w:trPr>
          <w:trHeight w:val="197"/>
        </w:trPr>
        <w:tc>
          <w:tcPr>
            <w:tcW w:w="7280" w:type="dxa"/>
            <w:vAlign w:val="bottom"/>
          </w:tcPr>
          <w:p>
            <w:pPr>
              <w:ind w:left="140"/>
              <w:spacing w:after="0"/>
              <w:rPr>
                <w:sz w:val="20"/>
                <w:szCs w:val="20"/>
                <w:color w:val="auto"/>
              </w:rPr>
            </w:pPr>
            <w:r>
              <w:rPr>
                <w:rFonts w:ascii="Arial" w:cs="Arial" w:eastAsia="Arial" w:hAnsi="Arial"/>
                <w:sz w:val="14"/>
                <w:szCs w:val="14"/>
                <w:color w:val="auto"/>
              </w:rPr>
              <w:t>Current maturities of debt</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95"/>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operating lease liabilities</w:t>
            </w:r>
          </w:p>
        </w:tc>
        <w:tc>
          <w:tcPr>
            <w:tcW w:w="3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96"/>
        </w:trPr>
        <w:tc>
          <w:tcPr>
            <w:tcW w:w="7280" w:type="dxa"/>
            <w:vAlign w:val="bottom"/>
          </w:tcPr>
          <w:p>
            <w:pPr>
              <w:ind w:left="140"/>
              <w:spacing w:after="0"/>
              <w:rPr>
                <w:sz w:val="20"/>
                <w:szCs w:val="20"/>
                <w:color w:val="auto"/>
              </w:rPr>
            </w:pPr>
            <w:r>
              <w:rPr>
                <w:rFonts w:ascii="Arial" w:cs="Arial" w:eastAsia="Arial" w:hAnsi="Arial"/>
                <w:sz w:val="14"/>
                <w:szCs w:val="14"/>
                <w:color w:val="auto"/>
              </w:rPr>
              <w:t>Accrued compensation</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83.1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current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214.1</w:t>
            </w:r>
          </w:p>
        </w:tc>
        <w:tc>
          <w:tcPr>
            <w:tcW w:w="0" w:type="dxa"/>
            <w:vAlign w:val="bottom"/>
          </w:tcPr>
          <w:p>
            <w:pPr>
              <w:spacing w:after="0"/>
              <w:rPr>
                <w:sz w:val="1"/>
                <w:szCs w:val="1"/>
                <w:color w:val="auto"/>
              </w:rPr>
            </w:pPr>
          </w:p>
        </w:tc>
      </w:tr>
      <w:tr>
        <w:trPr>
          <w:trHeight w:val="183"/>
        </w:trPr>
        <w:tc>
          <w:tcPr>
            <w:tcW w:w="7280" w:type="dxa"/>
            <w:vAlign w:val="bottom"/>
          </w:tcPr>
          <w:p>
            <w:pPr>
              <w:ind w:left="220"/>
              <w:spacing w:after="0"/>
              <w:rPr>
                <w:sz w:val="20"/>
                <w:szCs w:val="20"/>
                <w:color w:val="auto"/>
              </w:rPr>
            </w:pPr>
            <w:r>
              <w:rPr>
                <w:rFonts w:ascii="Arial" w:cs="Arial" w:eastAsia="Arial" w:hAnsi="Arial"/>
                <w:sz w:val="14"/>
                <w:szCs w:val="14"/>
                <w:color w:val="auto"/>
              </w:rPr>
              <w:t>Total current liabilities</w:t>
            </w:r>
          </w:p>
        </w:tc>
        <w:tc>
          <w:tcPr>
            <w:tcW w:w="3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624.2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733.6</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495.0</w:t>
            </w:r>
          </w:p>
        </w:tc>
        <w:tc>
          <w:tcPr>
            <w:tcW w:w="0" w:type="dxa"/>
            <w:vAlign w:val="bottom"/>
          </w:tcPr>
          <w:p>
            <w:pPr>
              <w:spacing w:after="0"/>
              <w:rPr>
                <w:sz w:val="1"/>
                <w:szCs w:val="1"/>
                <w:color w:val="auto"/>
              </w:rPr>
            </w:pPr>
          </w:p>
        </w:tc>
      </w:tr>
      <w:tr>
        <w:trPr>
          <w:trHeight w:val="196"/>
        </w:trPr>
        <w:tc>
          <w:tcPr>
            <w:tcW w:w="7280" w:type="dxa"/>
            <w:vAlign w:val="bottom"/>
          </w:tcPr>
          <w:p>
            <w:pPr>
              <w:ind w:left="20"/>
              <w:spacing w:after="0"/>
              <w:rPr>
                <w:sz w:val="20"/>
                <w:szCs w:val="20"/>
                <w:color w:val="auto"/>
              </w:rPr>
            </w:pPr>
            <w:r>
              <w:rPr>
                <w:rFonts w:ascii="Arial" w:cs="Arial" w:eastAsia="Arial" w:hAnsi="Arial"/>
                <w:sz w:val="14"/>
                <w:szCs w:val="14"/>
                <w:color w:val="auto"/>
              </w:rPr>
              <w:t>Long-term operating lease liabilities</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195"/>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pension liabilities</w:t>
            </w:r>
          </w:p>
        </w:tc>
        <w:tc>
          <w:tcPr>
            <w:tcW w:w="3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97"/>
        </w:trPr>
        <w:tc>
          <w:tcPr>
            <w:tcW w:w="7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103.2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102.1</w:t>
            </w:r>
          </w:p>
        </w:tc>
        <w:tc>
          <w:tcPr>
            <w:tcW w:w="0" w:type="dxa"/>
            <w:vAlign w:val="bottom"/>
          </w:tcPr>
          <w:p>
            <w:pPr>
              <w:spacing w:after="0"/>
              <w:rPr>
                <w:sz w:val="1"/>
                <w:szCs w:val="1"/>
                <w:color w:val="auto"/>
              </w:rPr>
            </w:pPr>
          </w:p>
        </w:tc>
      </w:tr>
      <w:tr>
        <w:trPr>
          <w:trHeight w:val="208"/>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128.9</w:t>
            </w:r>
          </w:p>
        </w:tc>
        <w:tc>
          <w:tcPr>
            <w:tcW w:w="0" w:type="dxa"/>
            <w:vAlign w:val="bottom"/>
          </w:tcPr>
          <w:p>
            <w:pPr>
              <w:spacing w:after="0"/>
              <w:rPr>
                <w:sz w:val="1"/>
                <w:szCs w:val="1"/>
                <w:color w:val="auto"/>
              </w:rPr>
            </w:pPr>
          </w:p>
        </w:tc>
      </w:tr>
      <w:tr>
        <w:trPr>
          <w:trHeight w:val="183"/>
        </w:trPr>
        <w:tc>
          <w:tcPr>
            <w:tcW w:w="7280" w:type="dxa"/>
            <w:vAlign w:val="bottom"/>
          </w:tcPr>
          <w:p>
            <w:pPr>
              <w:ind w:left="360"/>
              <w:spacing w:after="0"/>
              <w:rPr>
                <w:sz w:val="20"/>
                <w:szCs w:val="20"/>
                <w:color w:val="auto"/>
              </w:rPr>
            </w:pPr>
            <w:r>
              <w:rPr>
                <w:rFonts w:ascii="Arial" w:cs="Arial" w:eastAsia="Arial" w:hAnsi="Arial"/>
                <w:sz w:val="14"/>
                <w:szCs w:val="14"/>
                <w:color w:val="auto"/>
              </w:rPr>
              <w:t>Total liabilities</w:t>
            </w:r>
          </w:p>
        </w:tc>
        <w:tc>
          <w:tcPr>
            <w:tcW w:w="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1,469.1</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1,568.4</w:t>
            </w:r>
          </w:p>
        </w:tc>
        <w:tc>
          <w:tcPr>
            <w:tcW w:w="0" w:type="dxa"/>
            <w:vAlign w:val="bottom"/>
          </w:tcPr>
          <w:p>
            <w:pPr>
              <w:spacing w:after="0"/>
              <w:rPr>
                <w:sz w:val="1"/>
                <w:szCs w:val="1"/>
                <w:color w:val="auto"/>
              </w:rPr>
            </w:pPr>
          </w:p>
        </w:tc>
      </w:tr>
      <w:tr>
        <w:trPr>
          <w:trHeight w:val="19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2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$0.01 par value; 50,000,000 shares authorized; none issued</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280" w:type="dxa"/>
            <w:vAlign w:val="bottom"/>
          </w:tcPr>
          <w:p>
            <w:pPr>
              <w:ind w:left="140"/>
              <w:spacing w:after="0" w:line="149" w:lineRule="exact"/>
              <w:rPr>
                <w:sz w:val="20"/>
                <w:szCs w:val="20"/>
                <w:color w:val="auto"/>
              </w:rPr>
            </w:pPr>
            <w:r>
              <w:rPr>
                <w:rFonts w:ascii="Arial" w:cs="Arial" w:eastAsia="Arial" w:hAnsi="Arial"/>
                <w:sz w:val="14"/>
                <w:szCs w:val="14"/>
                <w:color w:val="auto"/>
              </w:rPr>
              <w:t>Common stock, $0.01 par value; 500,000,000 shares authorized; 54,400,920 and 54,241,069 issued,</w:t>
            </w:r>
          </w:p>
        </w:tc>
        <w:tc>
          <w:tcPr>
            <w:tcW w:w="300" w:type="dxa"/>
            <w:vAlign w:val="bottom"/>
          </w:tcPr>
          <w:p>
            <w:pPr>
              <w:spacing w:after="0"/>
              <w:rPr>
                <w:sz w:val="12"/>
                <w:szCs w:val="12"/>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6"/>
        </w:trPr>
        <w:tc>
          <w:tcPr>
            <w:tcW w:w="7280" w:type="dxa"/>
            <w:vAlign w:val="bottom"/>
          </w:tcPr>
          <w:p>
            <w:pPr>
              <w:ind w:left="140"/>
              <w:spacing w:after="0"/>
              <w:rPr>
                <w:sz w:val="20"/>
                <w:szCs w:val="20"/>
                <w:color w:val="auto"/>
              </w:rPr>
            </w:pPr>
            <w:r>
              <w:rPr>
                <w:rFonts w:ascii="Arial" w:cs="Arial" w:eastAsia="Arial" w:hAnsi="Arial"/>
                <w:sz w:val="14"/>
                <w:szCs w:val="14"/>
                <w:color w:val="auto"/>
              </w:rPr>
              <w:t>respectively</w:t>
            </w:r>
          </w:p>
        </w:tc>
        <w:tc>
          <w:tcPr>
            <w:tcW w:w="3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Paid-in capital</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1,036.3</w:t>
            </w:r>
          </w:p>
        </w:tc>
        <w:tc>
          <w:tcPr>
            <w:tcW w:w="0" w:type="dxa"/>
            <w:vAlign w:val="bottom"/>
          </w:tcPr>
          <w:p>
            <w:pPr>
              <w:spacing w:after="0"/>
              <w:rPr>
                <w:sz w:val="1"/>
                <w:szCs w:val="1"/>
                <w:color w:val="auto"/>
              </w:rPr>
            </w:pPr>
          </w:p>
        </w:tc>
      </w:tr>
      <w:tr>
        <w:trPr>
          <w:trHeight w:val="189"/>
        </w:trPr>
        <w:tc>
          <w:tcPr>
            <w:tcW w:w="728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3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3,426.6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3,176.2</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w:t>
            </w:r>
          </w:p>
        </w:tc>
        <w:tc>
          <w:tcPr>
            <w:tcW w:w="0" w:type="dxa"/>
            <w:vAlign w:val="bottom"/>
          </w:tcPr>
          <w:p>
            <w:pPr>
              <w:spacing w:after="0"/>
              <w:rPr>
                <w:sz w:val="1"/>
                <w:szCs w:val="1"/>
                <w:color w:val="auto"/>
              </w:rPr>
            </w:pPr>
          </w:p>
        </w:tc>
      </w:tr>
      <w:tr>
        <w:trPr>
          <w:trHeight w:val="203"/>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Treasury stock, at cost, of 23,055,460 and 21,753,820 shares, respectively</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(2,394.2)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(2,175.4)</w:t>
            </w:r>
          </w:p>
        </w:tc>
        <w:tc>
          <w:tcPr>
            <w:tcW w:w="0" w:type="dxa"/>
            <w:vAlign w:val="bottom"/>
          </w:tcPr>
          <w:p>
            <w:pPr>
              <w:spacing w:after="0"/>
              <w:rPr>
                <w:sz w:val="1"/>
                <w:szCs w:val="1"/>
                <w:color w:val="auto"/>
              </w:rPr>
            </w:pPr>
          </w:p>
        </w:tc>
      </w:tr>
      <w:tr>
        <w:trPr>
          <w:trHeight w:val="183"/>
        </w:trPr>
        <w:tc>
          <w:tcPr>
            <w:tcW w:w="7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1,969.8</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1,911.8</w:t>
            </w:r>
          </w:p>
        </w:tc>
        <w:tc>
          <w:tcPr>
            <w:tcW w:w="0" w:type="dxa"/>
            <w:vAlign w:val="bottom"/>
          </w:tcPr>
          <w:p>
            <w:pPr>
              <w:spacing w:after="0"/>
              <w:rPr>
                <w:sz w:val="1"/>
                <w:szCs w:val="1"/>
                <w:color w:val="auto"/>
              </w:rPr>
            </w:pPr>
          </w:p>
        </w:tc>
      </w:tr>
      <w:tr>
        <w:trPr>
          <w:trHeight w:val="196"/>
        </w:trPr>
        <w:tc>
          <w:tcPr>
            <w:tcW w:w="7280" w:type="dxa"/>
            <w:vAlign w:val="bottom"/>
          </w:tcPr>
          <w:p>
            <w:pPr>
              <w:ind w:left="48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3,438.9</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3,480.2</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 except per-share data)</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5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55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May 31, 2023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May 31, 2022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May 31, 2023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May 31, 2022</w:t>
            </w:r>
          </w:p>
        </w:tc>
      </w:tr>
      <w:tr>
        <w:trPr>
          <w:trHeight w:val="20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2,895.8</w:t>
            </w:r>
          </w:p>
        </w:tc>
      </w:tr>
      <w:tr>
        <w:trPr>
          <w:trHeight w:val="21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1,671.3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1,685.6</w:t>
            </w:r>
          </w:p>
        </w:tc>
      </w:tr>
      <w:tr>
        <w:trPr>
          <w:trHeight w:val="212"/>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1,210.2</w:t>
            </w: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850.1</w:t>
            </w: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 charges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56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363.7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360.1</w:t>
            </w: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556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19"/>
        </w:trPr>
        <w:tc>
          <w:tcPr>
            <w:tcW w:w="5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Miscellaneous expense (income), net</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7"/>
        </w:trPr>
        <w:tc>
          <w:tcPr>
            <w:tcW w:w="55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expense</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r>
      <w:tr>
        <w:trPr>
          <w:trHeight w:val="213"/>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345.1</w:t>
            </w:r>
          </w:p>
        </w:tc>
      </w:tr>
      <w:tr>
        <w:trPr>
          <w:trHeight w:val="21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r>
      <w:tr>
        <w:trPr>
          <w:trHeight w:val="233"/>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6"/>
        </w:trPr>
        <w:tc>
          <w:tcPr>
            <w:tcW w:w="55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Earnings per share</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5560" w:type="dxa"/>
            <w:vAlign w:val="bottom"/>
          </w:tcPr>
          <w:p>
            <w:pPr>
              <w:ind w:left="140"/>
              <w:spacing w:after="0"/>
              <w:rPr>
                <w:sz w:val="20"/>
                <w:szCs w:val="20"/>
                <w:color w:val="auto"/>
              </w:rPr>
            </w:pPr>
            <w:r>
              <w:rPr>
                <w:rFonts w:ascii="Arial" w:cs="Arial" w:eastAsia="Arial" w:hAnsi="Arial"/>
                <w:sz w:val="16"/>
                <w:szCs w:val="16"/>
                <w:color w:val="auto"/>
              </w:rPr>
              <w:t>Basic earnings per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3.31</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3.10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8.22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7.75</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35"/>
        </w:trPr>
        <w:tc>
          <w:tcPr>
            <w:tcW w:w="5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weighted average number of shares outstanding</w:t>
            </w: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34.659</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560" w:type="dxa"/>
            <w:vAlign w:val="bottom"/>
          </w:tcPr>
          <w:p>
            <w:pPr>
              <w:ind w:left="140"/>
              <w:spacing w:after="0"/>
              <w:rPr>
                <w:sz w:val="20"/>
                <w:szCs w:val="20"/>
                <w:color w:val="auto"/>
              </w:rPr>
            </w:pPr>
            <w:r>
              <w:rPr>
                <w:rFonts w:ascii="Arial" w:cs="Arial" w:eastAsia="Arial" w:hAnsi="Arial"/>
                <w:sz w:val="16"/>
                <w:szCs w:val="16"/>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3.28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3.07</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8.13</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7.66</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35"/>
        </w:trPr>
        <w:tc>
          <w:tcPr>
            <w:tcW w:w="5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weighted average number of shares outstanding</w:t>
            </w: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32.360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35.067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560" w:type="dxa"/>
            <w:vAlign w:val="bottom"/>
          </w:tcPr>
          <w:p>
            <w:pPr>
              <w:ind w:left="20"/>
              <w:spacing w:after="0"/>
              <w:rPr>
                <w:sz w:val="20"/>
                <w:szCs w:val="20"/>
                <w:color w:val="auto"/>
              </w:rPr>
            </w:pPr>
            <w:r>
              <w:rPr>
                <w:rFonts w:ascii="Arial" w:cs="Arial" w:eastAsia="Arial" w:hAnsi="Arial"/>
                <w:sz w:val="16"/>
                <w:szCs w:val="16"/>
                <w:color w:val="auto"/>
              </w:rPr>
              <w:t>Dividends declared per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0.13</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0.13</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0.39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0.39</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w:t>
            </w: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Other comprehensive income (loss) items: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5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3"/>
        </w:trPr>
        <w:tc>
          <w:tcPr>
            <w:tcW w:w="5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Defined benefit plans, net of tax</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09"/>
        </w:trPr>
        <w:tc>
          <w:tcPr>
            <w:tcW w:w="5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 (loss) items, net of tax</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111.3</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105.1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268.9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263.3</w:t>
            </w:r>
          </w:p>
        </w:tc>
      </w:tr>
      <w:tr>
        <w:trPr>
          <w:trHeight w:val="20"/>
        </w:trPr>
        <w:tc>
          <w:tcPr>
            <w:tcW w:w="5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w:t>
      </w:r>
    </w:p>
    <w:p>
      <w:pPr>
        <w:spacing w:after="0" w:line="65" w:lineRule="exact"/>
        <w:rPr>
          <w:sz w:val="20"/>
          <w:szCs w:val="20"/>
          <w:color w:val="auto"/>
        </w:rPr>
      </w:pPr>
    </w:p>
    <w:p>
      <w:pPr>
        <w:ind w:left="160" w:hanging="152"/>
        <w:spacing w:after="0"/>
        <w:tabs>
          <w:tab w:leader="none" w:pos="160" w:val="left"/>
        </w:tabs>
        <w:numPr>
          <w:ilvl w:val="0"/>
          <w:numId w:val="3"/>
        </w:numPr>
        <w:rPr>
          <w:rFonts w:ascii="Arial" w:cs="Arial" w:eastAsia="Arial" w:hAnsi="Arial"/>
          <w:sz w:val="9"/>
          <w:szCs w:val="9"/>
          <w:color w:val="auto"/>
        </w:rPr>
      </w:pPr>
      <w:r>
        <w:rPr>
          <w:rFonts w:ascii="Arial" w:cs="Arial" w:eastAsia="Arial" w:hAnsi="Arial"/>
          <w:sz w:val="14"/>
          <w:szCs w:val="14"/>
          <w:color w:val="auto"/>
        </w:rPr>
        <w:t>Earnings per share is calculated using unrounded numbers. Amounts in the table may not recalculate exactly due to rounding.</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4"/>
          </w:tcPr>
          <w:p>
            <w:pPr>
              <w:jc w:val="right"/>
              <w:ind w:right="113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7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May 31, 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May 31, 2022</w:t>
            </w:r>
          </w:p>
        </w:tc>
      </w:tr>
      <w:tr>
        <w:trPr>
          <w:trHeight w:val="196"/>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263.1</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268.6</w:t>
            </w:r>
          </w:p>
        </w:tc>
      </w:tr>
      <w:tr>
        <w:trPr>
          <w:trHeight w:val="219"/>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3"/>
        </w:trPr>
        <w:tc>
          <w:tcPr>
            <w:tcW w:w="72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71.4</w:t>
            </w:r>
          </w:p>
        </w:tc>
      </w:tr>
      <w:tr>
        <w:trPr>
          <w:trHeight w:val="219"/>
        </w:trPr>
        <w:tc>
          <w:tcPr>
            <w:tcW w:w="7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payment expense</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r>
      <w:tr>
        <w:trPr>
          <w:trHeight w:val="213"/>
        </w:trPr>
        <w:tc>
          <w:tcPr>
            <w:tcW w:w="7280" w:type="dxa"/>
            <w:vAlign w:val="bottom"/>
          </w:tcPr>
          <w:p>
            <w:pPr>
              <w:ind w:left="220"/>
              <w:spacing w:after="0"/>
              <w:rPr>
                <w:sz w:val="20"/>
                <w:szCs w:val="20"/>
                <w:color w:val="auto"/>
              </w:rPr>
            </w:pPr>
            <w:r>
              <w:rPr>
                <w:rFonts w:ascii="Arial" w:cs="Arial" w:eastAsia="Arial" w:hAnsi="Arial"/>
                <w:sz w:val="16"/>
                <w:szCs w:val="16"/>
                <w:color w:val="auto"/>
              </w:rPr>
              <w:t>Gain on sale of property, plant, and equipment</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7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 impairment</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7280" w:type="dxa"/>
            <w:vAlign w:val="bottom"/>
          </w:tcPr>
          <w:p>
            <w:pPr>
              <w:ind w:left="220"/>
              <w:spacing w:after="0"/>
              <w:rPr>
                <w:sz w:val="20"/>
                <w:szCs w:val="20"/>
                <w:color w:val="auto"/>
              </w:rPr>
            </w:pPr>
            <w:r>
              <w:rPr>
                <w:rFonts w:ascii="Arial" w:cs="Arial" w:eastAsia="Arial" w:hAnsi="Arial"/>
                <w:sz w:val="16"/>
                <w:szCs w:val="16"/>
                <w:color w:val="auto"/>
              </w:rPr>
              <w:t>Loss on sale of a business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 net of acquisitions and divestitures: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3"/>
        </w:trPr>
        <w:tc>
          <w:tcPr>
            <w:tcW w:w="728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(27.2)</w:t>
            </w:r>
          </w:p>
        </w:tc>
      </w:tr>
      <w:tr>
        <w:trPr>
          <w:trHeight w:val="219"/>
        </w:trPr>
        <w:tc>
          <w:tcPr>
            <w:tcW w:w="7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w:t>
            </w:r>
          </w:p>
        </w:tc>
      </w:tr>
      <w:tr>
        <w:trPr>
          <w:trHeight w:val="213"/>
        </w:trPr>
        <w:tc>
          <w:tcPr>
            <w:tcW w:w="7280" w:type="dxa"/>
            <w:vAlign w:val="bottom"/>
          </w:tcPr>
          <w:p>
            <w:pPr>
              <w:ind w:left="220"/>
              <w:spacing w:after="0"/>
              <w:rPr>
                <w:sz w:val="20"/>
                <w:szCs w:val="20"/>
                <w:color w:val="auto"/>
              </w:rPr>
            </w:pPr>
            <w:r>
              <w:rPr>
                <w:rFonts w:ascii="Arial" w:cs="Arial" w:eastAsia="Arial" w:hAnsi="Arial"/>
                <w:sz w:val="16"/>
                <w:szCs w:val="16"/>
                <w:color w:val="auto"/>
              </w:rPr>
              <w:t>Prepayments and other current assets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219"/>
        </w:trPr>
        <w:tc>
          <w:tcPr>
            <w:tcW w:w="7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r>
      <w:tr>
        <w:trPr>
          <w:trHeight w:val="216"/>
        </w:trPr>
        <w:tc>
          <w:tcPr>
            <w:tcW w:w="7280" w:type="dxa"/>
            <w:vAlign w:val="bottom"/>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r>
      <w:tr>
        <w:trPr>
          <w:trHeight w:val="209"/>
        </w:trPr>
        <w:tc>
          <w:tcPr>
            <w:tcW w:w="7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165.7</w:t>
            </w:r>
          </w:p>
        </w:tc>
      </w:tr>
      <w:tr>
        <w:trPr>
          <w:trHeight w:val="207"/>
        </w:trPr>
        <w:tc>
          <w:tcPr>
            <w:tcW w:w="728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9"/>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Proceeds from sale of property, plant, and equipment</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9"/>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businesses, net of cash acquired</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16"/>
        </w:trPr>
        <w:tc>
          <w:tcPr>
            <w:tcW w:w="7280" w:type="dxa"/>
            <w:vAlign w:val="bottom"/>
          </w:tcPr>
          <w:p>
            <w:pPr>
              <w:ind w:left="140"/>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09"/>
        </w:trPr>
        <w:tc>
          <w:tcPr>
            <w:tcW w:w="7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Net cash used for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w:t>
            </w:r>
          </w:p>
        </w:tc>
      </w:tr>
      <w:tr>
        <w:trPr>
          <w:trHeight w:val="207"/>
        </w:trPr>
        <w:tc>
          <w:tcPr>
            <w:tcW w:w="728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9"/>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on credit facility, net of borrowings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w:t>
            </w: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(216.2)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(403.5)</w:t>
            </w:r>
          </w:p>
        </w:tc>
      </w:tr>
      <w:tr>
        <w:trPr>
          <w:trHeight w:val="219"/>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stock option exercises and other</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Payments of taxes withheld on net settlement of equity awards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9"/>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07"/>
        </w:trPr>
        <w:tc>
          <w:tcPr>
            <w:tcW w:w="72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for financing activities</w:t>
            </w: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(292.6)</w:t>
            </w:r>
          </w:p>
        </w:tc>
      </w:tr>
      <w:tr>
        <w:trPr>
          <w:trHeight w:val="213"/>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07"/>
        </w:trPr>
        <w:tc>
          <w:tcPr>
            <w:tcW w:w="728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(173.1)</w:t>
            </w: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491.3</w:t>
            </w: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359.3</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318.2</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Income taxes paid during the period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83.8</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80.8</w:t>
            </w:r>
          </w:p>
        </w:tc>
      </w:tr>
      <w:tr>
        <w:trPr>
          <w:trHeight w:val="219"/>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paid during the period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Acuity Brands, Inc. (referred to herein as “we,” “our,” “us,” the “Company,” or similar references) is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a valuable difference in people's lives. We achieve growth through the development of innovative new products and services, including lighting, lighting controls, building management solutions, and location-aware applications.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Segment</w:t>
      </w:r>
    </w:p>
    <w:p>
      <w:pPr>
        <w:spacing w:after="0" w:line="14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ABL's portfolio of lighting solutions includes commercial, architectural, and specialty lighting in addition to lighting controls and components that can be combined to create integrated lighting controls systems. We offer devices such as luminaires that predominantly utilize light emitting diode (“LED”) technology designed to optimize energy efficiency and comfort for various indoor and outdoor applications. ABL's portfolio of products includes but is not limited to the following brands: A-Light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Aculux </w:t>
      </w:r>
      <w:r>
        <w:rPr>
          <w:rFonts w:ascii="Arial" w:cs="Arial" w:eastAsia="Arial" w:hAnsi="Arial"/>
          <w:sz w:val="23"/>
          <w:szCs w:val="23"/>
          <w:color w:val="auto"/>
          <w:vertAlign w:val="superscript"/>
        </w:rPr>
        <w:t>TM</w:t>
      </w:r>
      <w:r>
        <w:rPr>
          <w:rFonts w:ascii="Arial" w:cs="Arial" w:eastAsia="Arial" w:hAnsi="Arial"/>
          <w:sz w:val="18"/>
          <w:szCs w:val="18"/>
          <w:color w:val="auto"/>
        </w:rPr>
        <w:t>, American Electric Lighting</w:t>
      </w:r>
      <w:r>
        <w:rPr>
          <w:rFonts w:ascii="Arial" w:cs="Arial" w:eastAsia="Arial" w:hAnsi="Arial"/>
          <w:sz w:val="23"/>
          <w:szCs w:val="23"/>
          <w:color w:val="auto"/>
          <w:vertAlign w:val="superscript"/>
        </w:rPr>
        <w:t>®</w:t>
      </w:r>
      <w:r>
        <w:rPr>
          <w:rFonts w:ascii="Arial" w:cs="Arial" w:eastAsia="Arial" w:hAnsi="Arial"/>
          <w:sz w:val="18"/>
          <w:szCs w:val="18"/>
          <w:color w:val="auto"/>
        </w:rPr>
        <w:t>, Cyclone</w:t>
      </w:r>
      <w:r>
        <w:rPr>
          <w:rFonts w:ascii="Arial" w:cs="Arial" w:eastAsia="Arial" w:hAnsi="Arial"/>
          <w:sz w:val="23"/>
          <w:szCs w:val="23"/>
          <w:color w:val="auto"/>
          <w:vertAlign w:val="superscript"/>
        </w:rPr>
        <w:t>TM</w:t>
      </w:r>
      <w:r>
        <w:rPr>
          <w:rFonts w:ascii="Arial" w:cs="Arial" w:eastAsia="Arial" w:hAnsi="Arial"/>
          <w:sz w:val="18"/>
          <w:szCs w:val="18"/>
          <w:color w:val="auto"/>
        </w:rPr>
        <w:t>, Dark to Light</w:t>
      </w:r>
      <w:r>
        <w:rPr>
          <w:rFonts w:ascii="Arial" w:cs="Arial" w:eastAsia="Arial" w:hAnsi="Arial"/>
          <w:sz w:val="23"/>
          <w:szCs w:val="23"/>
          <w:color w:val="auto"/>
          <w:vertAlign w:val="superscript"/>
        </w:rPr>
        <w:t>®</w:t>
      </w:r>
      <w:r>
        <w:rPr>
          <w:rFonts w:ascii="Arial" w:cs="Arial" w:eastAsia="Arial" w:hAnsi="Arial"/>
          <w:sz w:val="18"/>
          <w:szCs w:val="18"/>
          <w:color w:val="auto"/>
        </w:rPr>
        <w:t>, eldoLED</w:t>
      </w:r>
      <w:r>
        <w:rPr>
          <w:rFonts w:ascii="Arial" w:cs="Arial" w:eastAsia="Arial" w:hAnsi="Arial"/>
          <w:sz w:val="23"/>
          <w:szCs w:val="23"/>
          <w:color w:val="auto"/>
          <w:vertAlign w:val="superscript"/>
        </w:rPr>
        <w:t>®</w:t>
      </w:r>
      <w:r>
        <w:rPr>
          <w:rFonts w:ascii="Arial" w:cs="Arial" w:eastAsia="Arial" w:hAnsi="Arial"/>
          <w:sz w:val="18"/>
          <w:szCs w:val="18"/>
          <w:color w:val="auto"/>
        </w:rPr>
        <w:t>, Eureka</w:t>
      </w:r>
      <w:r>
        <w:rPr>
          <w:rFonts w:ascii="Arial" w:cs="Arial" w:eastAsia="Arial" w:hAnsi="Arial"/>
          <w:sz w:val="23"/>
          <w:szCs w:val="23"/>
          <w:color w:val="auto"/>
          <w:vertAlign w:val="superscript"/>
        </w:rPr>
        <w:t>®</w:t>
      </w:r>
      <w:r>
        <w:rPr>
          <w:rFonts w:ascii="Arial" w:cs="Arial" w:eastAsia="Arial" w:hAnsi="Arial"/>
          <w:sz w:val="18"/>
          <w:szCs w:val="18"/>
          <w:color w:val="auto"/>
        </w:rPr>
        <w:t>, Gotham</w:t>
      </w:r>
      <w:r>
        <w:rPr>
          <w:rFonts w:ascii="Arial" w:cs="Arial" w:eastAsia="Arial" w:hAnsi="Arial"/>
          <w:sz w:val="23"/>
          <w:szCs w:val="23"/>
          <w:color w:val="auto"/>
          <w:vertAlign w:val="superscript"/>
        </w:rPr>
        <w:t>®</w:t>
      </w:r>
      <w:r>
        <w:rPr>
          <w:rFonts w:ascii="Arial" w:cs="Arial" w:eastAsia="Arial" w:hAnsi="Arial"/>
          <w:sz w:val="18"/>
          <w:szCs w:val="18"/>
          <w:color w:val="auto"/>
        </w:rPr>
        <w:t>, Healthcare Lighting</w:t>
      </w:r>
      <w:r>
        <w:rPr>
          <w:rFonts w:ascii="Arial" w:cs="Arial" w:eastAsia="Arial" w:hAnsi="Arial"/>
          <w:sz w:val="23"/>
          <w:szCs w:val="23"/>
          <w:color w:val="auto"/>
          <w:vertAlign w:val="superscript"/>
        </w:rPr>
        <w:t>®</w:t>
      </w:r>
      <w:r>
        <w:rPr>
          <w:rFonts w:ascii="Arial" w:cs="Arial" w:eastAsia="Arial" w:hAnsi="Arial"/>
          <w:sz w:val="18"/>
          <w:szCs w:val="18"/>
          <w:color w:val="auto"/>
        </w:rPr>
        <w:t>, Holophane</w:t>
      </w:r>
      <w:r>
        <w:rPr>
          <w:rFonts w:ascii="Arial" w:cs="Arial" w:eastAsia="Arial" w:hAnsi="Arial"/>
          <w:sz w:val="23"/>
          <w:szCs w:val="23"/>
          <w:color w:val="auto"/>
          <w:vertAlign w:val="superscript"/>
        </w:rPr>
        <w:t>®</w:t>
      </w:r>
      <w:r>
        <w:rPr>
          <w:rFonts w:ascii="Arial" w:cs="Arial" w:eastAsia="Arial" w:hAnsi="Arial"/>
          <w:sz w:val="18"/>
          <w:szCs w:val="18"/>
          <w:color w:val="auto"/>
        </w:rPr>
        <w:t>, Hydrel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Indy </w:t>
      </w:r>
      <w:r>
        <w:rPr>
          <w:rFonts w:ascii="Arial" w:cs="Arial" w:eastAsia="Arial" w:hAnsi="Arial"/>
          <w:sz w:val="23"/>
          <w:szCs w:val="23"/>
          <w:color w:val="auto"/>
          <w:vertAlign w:val="superscript"/>
        </w:rPr>
        <w:t>TM</w:t>
      </w:r>
      <w:r>
        <w:rPr>
          <w:rFonts w:ascii="Arial" w:cs="Arial" w:eastAsia="Arial" w:hAnsi="Arial"/>
          <w:sz w:val="18"/>
          <w:szCs w:val="18"/>
          <w:color w:val="auto"/>
        </w:rPr>
        <w:t>, IOTA</w:t>
      </w:r>
      <w:r>
        <w:rPr>
          <w:rFonts w:ascii="Arial" w:cs="Arial" w:eastAsia="Arial" w:hAnsi="Arial"/>
          <w:sz w:val="23"/>
          <w:szCs w:val="23"/>
          <w:color w:val="auto"/>
          <w:vertAlign w:val="superscript"/>
        </w:rPr>
        <w:t>®</w:t>
      </w:r>
      <w:r>
        <w:rPr>
          <w:rFonts w:ascii="Arial" w:cs="Arial" w:eastAsia="Arial" w:hAnsi="Arial"/>
          <w:sz w:val="18"/>
          <w:szCs w:val="18"/>
          <w:color w:val="auto"/>
        </w:rPr>
        <w:t>, Juno</w:t>
      </w:r>
      <w:r>
        <w:rPr>
          <w:rFonts w:ascii="Arial" w:cs="Arial" w:eastAsia="Arial" w:hAnsi="Arial"/>
          <w:sz w:val="23"/>
          <w:szCs w:val="23"/>
          <w:color w:val="auto"/>
          <w:vertAlign w:val="superscript"/>
        </w:rPr>
        <w:t>®</w:t>
      </w:r>
      <w:r>
        <w:rPr>
          <w:rFonts w:ascii="Arial" w:cs="Arial" w:eastAsia="Arial" w:hAnsi="Arial"/>
          <w:sz w:val="18"/>
          <w:szCs w:val="18"/>
          <w:color w:val="auto"/>
        </w:rPr>
        <w:t>, Lithonia Lighting</w:t>
      </w:r>
      <w:r>
        <w:rPr>
          <w:rFonts w:ascii="Arial" w:cs="Arial" w:eastAsia="Arial" w:hAnsi="Arial"/>
          <w:sz w:val="23"/>
          <w:szCs w:val="23"/>
          <w:color w:val="auto"/>
          <w:vertAlign w:val="superscript"/>
        </w:rPr>
        <w:t>®</w:t>
      </w:r>
      <w:r>
        <w:rPr>
          <w:rFonts w:ascii="Arial" w:cs="Arial" w:eastAsia="Arial" w:hAnsi="Arial"/>
          <w:sz w:val="18"/>
          <w:szCs w:val="18"/>
          <w:color w:val="auto"/>
        </w:rPr>
        <w:t>, Luminaire LED</w:t>
      </w:r>
      <w:r>
        <w:rPr>
          <w:rFonts w:ascii="Arial" w:cs="Arial" w:eastAsia="Arial" w:hAnsi="Arial"/>
          <w:sz w:val="23"/>
          <w:szCs w:val="23"/>
          <w:color w:val="auto"/>
          <w:vertAlign w:val="superscript"/>
        </w:rPr>
        <w:t>TM</w:t>
      </w:r>
      <w:r>
        <w:rPr>
          <w:rFonts w:ascii="Arial" w:cs="Arial" w:eastAsia="Arial" w:hAnsi="Arial"/>
          <w:sz w:val="18"/>
          <w:szCs w:val="18"/>
          <w:color w:val="auto"/>
        </w:rPr>
        <w:t>, Luminis</w:t>
      </w:r>
      <w:r>
        <w:rPr>
          <w:rFonts w:ascii="Arial" w:cs="Arial" w:eastAsia="Arial" w:hAnsi="Arial"/>
          <w:sz w:val="23"/>
          <w:szCs w:val="23"/>
          <w:color w:val="auto"/>
          <w:vertAlign w:val="superscript"/>
        </w:rPr>
        <w:t>®</w:t>
      </w:r>
      <w:r>
        <w:rPr>
          <w:rFonts w:ascii="Arial" w:cs="Arial" w:eastAsia="Arial" w:hAnsi="Arial"/>
          <w:sz w:val="18"/>
          <w:szCs w:val="18"/>
          <w:color w:val="auto"/>
        </w:rPr>
        <w:t>, Mark Architectural Lighting</w:t>
      </w:r>
      <w:r>
        <w:rPr>
          <w:rFonts w:ascii="Arial" w:cs="Arial" w:eastAsia="Arial" w:hAnsi="Arial"/>
          <w:sz w:val="23"/>
          <w:szCs w:val="23"/>
          <w:color w:val="auto"/>
          <w:vertAlign w:val="superscript"/>
        </w:rPr>
        <w:t>TM</w:t>
      </w:r>
      <w:r>
        <w:rPr>
          <w:rFonts w:ascii="Arial" w:cs="Arial" w:eastAsia="Arial" w:hAnsi="Arial"/>
          <w:sz w:val="18"/>
          <w:szCs w:val="18"/>
          <w:color w:val="auto"/>
        </w:rPr>
        <w:t>, nLight</w:t>
      </w:r>
      <w:r>
        <w:rPr>
          <w:rFonts w:ascii="Arial" w:cs="Arial" w:eastAsia="Arial" w:hAnsi="Arial"/>
          <w:sz w:val="23"/>
          <w:szCs w:val="23"/>
          <w:color w:val="auto"/>
          <w:vertAlign w:val="superscript"/>
        </w:rPr>
        <w:t>®</w:t>
      </w:r>
      <w:r>
        <w:rPr>
          <w:rFonts w:ascii="Arial" w:cs="Arial" w:eastAsia="Arial" w:hAnsi="Arial"/>
          <w:sz w:val="18"/>
          <w:szCs w:val="18"/>
          <w:color w:val="auto"/>
        </w:rPr>
        <w:t>, OPTOTRONIC</w:t>
      </w:r>
      <w:r>
        <w:rPr>
          <w:rFonts w:ascii="Arial" w:cs="Arial" w:eastAsia="Arial" w:hAnsi="Arial"/>
          <w:sz w:val="23"/>
          <w:szCs w:val="23"/>
          <w:color w:val="auto"/>
          <w:vertAlign w:val="superscript"/>
        </w:rPr>
        <w:t>®</w:t>
      </w:r>
      <w:r>
        <w:rPr>
          <w:rFonts w:ascii="Arial" w:cs="Arial" w:eastAsia="Arial" w:hAnsi="Arial"/>
          <w:sz w:val="18"/>
          <w:szCs w:val="18"/>
          <w:color w:val="auto"/>
        </w:rPr>
        <w:t>, Peerless</w:t>
      </w:r>
      <w:r>
        <w:rPr>
          <w:rFonts w:ascii="Arial" w:cs="Arial" w:eastAsia="Arial" w:hAnsi="Arial"/>
          <w:sz w:val="23"/>
          <w:szCs w:val="23"/>
          <w:color w:val="auto"/>
          <w:vertAlign w:val="superscript"/>
        </w:rPr>
        <w:t>®</w:t>
      </w:r>
      <w:r>
        <w:rPr>
          <w:rFonts w:ascii="Arial" w:cs="Arial" w:eastAsia="Arial" w:hAnsi="Arial"/>
          <w:sz w:val="18"/>
          <w:szCs w:val="18"/>
          <w:color w:val="auto"/>
        </w:rPr>
        <w:t>, RELOC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Wiring Solutions, and Sensor Switch</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Principal customers of ABL include electrical distributors, retail home improvement centers, electric utilities, national accounts, original equipment manufacturer (“OEM”) customers, digital retailers, lighting showrooms, and energy service companies. Our customers are located in North America and select international markets that serve new construction, renovation and retrofit, and maintenance and repair applications. ABL's lighting and lighting controls solutions are sold primarily through a network of independent sales agencies that cover specific geographic areas and market channels, by internal sales representatives, through consumer retail channels, directly to large corporate accounts, and directly to OEM customers. Products are delivered directly from our manufacturing facilities or through a network of distribution centers, regional warehouses, and commercial warehouses using both common carriers and a company-managed truck fleet. To serve international customers, our sales forces utilize a variety of distribution methods to meet specific individual customer or country requirements.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ISG Segment</w:t>
      </w:r>
    </w:p>
    <w:p>
      <w:pPr>
        <w:spacing w:after="0" w:line="14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ISG delivers products and services that make spaces smarter, safer, and greener. ISG offers a building management platform and location-aware applications. Our building management solutions include products for controlling heating, ventilation, air conditioning (“HVAC”), lighting, shades, refrigeration, and building access that deliver end-to-end optimization of those building systems. Our Atrius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intelligent building software enhances the occupant experience, improves building system management, and automates labor intensive tasks while delivering operational energy efficiency and cost reductions. Through a connected and converged building system architecture, our Atrius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software delivers different applications, allows clients to upgrade over time with natural refresh cycles, and deploys new capabilities through both software and hardware updates. Customers of ISG primarily include system integrators as well as retail stores, airports, and enterprise campuses throughout North America and select international locations. ISG products and solutions are marketed under multiple brand names, including but not limited to Atrius</w:t>
      </w:r>
      <w:r>
        <w:rPr>
          <w:rFonts w:ascii="Arial" w:cs="Arial" w:eastAsia="Arial" w:hAnsi="Arial"/>
          <w:sz w:val="23"/>
          <w:szCs w:val="23"/>
          <w:color w:val="auto"/>
          <w:vertAlign w:val="superscript"/>
        </w:rPr>
        <w:t>®</w:t>
      </w:r>
      <w:r>
        <w:rPr>
          <w:rFonts w:ascii="Arial" w:cs="Arial" w:eastAsia="Arial" w:hAnsi="Arial"/>
          <w:sz w:val="18"/>
          <w:szCs w:val="18"/>
          <w:color w:val="auto"/>
        </w:rPr>
        <w:t>, Distech Controls</w:t>
      </w:r>
      <w:r>
        <w:rPr>
          <w:rFonts w:ascii="Arial" w:cs="Arial" w:eastAsia="Arial" w:hAnsi="Arial"/>
          <w:sz w:val="23"/>
          <w:szCs w:val="23"/>
          <w:color w:val="auto"/>
          <w:vertAlign w:val="superscript"/>
        </w:rPr>
        <w:t>®</w:t>
      </w:r>
      <w:r>
        <w:rPr>
          <w:rFonts w:ascii="Arial" w:cs="Arial" w:eastAsia="Arial" w:hAnsi="Arial"/>
          <w:sz w:val="18"/>
          <w:szCs w:val="18"/>
          <w:color w:val="auto"/>
        </w:rPr>
        <w:t>, and KE2 Therm Solutions</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We have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Brands, Inc. and its wholly-owned subsidiaries.</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unaudited interim consolidated financial statements reflect all normal and recurring adjustments that are, in the opinion of management, necessary to present fairly our consolidated financial position as of May 31, 2023, our consolidated comprehensive income for the three and nine months ended May 31, 2023 and 2022, and our consolidated cash flows for the nine months ended May 31, 2023 and 2022. Certain information and footnote disclosures normally included in our annual financial statements prepared in accordance with U.S. GAAP have been condensed or omitted. However, we believe that the disclosures included herein are adequate to make the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presented not misleading. These financial statements should be read in conjunction with the audited consolidated financial statements as of and for the three years in the period ended August 31, 2022 and notes thereto included in our Annual Report on Form 10-K filed with the Securities and Exchange Commission (the “SEC”) on October 26, 2022 (File No. 001-16583) (“Form 10-K”).</w:t>
      </w:r>
    </w:p>
    <w:p>
      <w:pPr>
        <w:spacing w:after="0" w:line="1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business exhibits some seasonality, with net sales being affected by weather and seasonal demand on construction and installation programs, particularly during the winter months, as well as the annual budget cycles of major customers. Historically, with certain exceptions, we have experienced our highest sales in the last two quarters of each fiscal year due to these factors. We do not expect the remainder of fiscal 2023 to follow this historical trend.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may reclassify certain prior period amounts to conform to the current year presentation. No material reclassifications occurred during the current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 and Divestitures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May 15, 2023, using cash on hand, we acquired all of the equity interests of KE2 Therm Solutions, Inc. ("KE2 Therm"). KE2 Therm develops and provides intelligent refrigeration control solutions that deliver the precision of digital controls to promote safety, efficiency, and reliability, while delivering cost savings to the customer. This acquisition is intended to expand ISG's technology and controls product portfolio and reach new customers.</w:t>
      </w:r>
    </w:p>
    <w:p>
      <w:pPr>
        <w:spacing w:after="0" w:line="1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There were no acquisitions during fiscal 2022. The $12.2 million of cash outflows reflected in the fiscal 2022 Consolidated Statements of Cash Flows relate to fiscal 2021 acquisitions primarily for working capital settlements.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Acquisitions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accounted for the acquisition of KE2 Therm in accordance with </w:t>
      </w:r>
      <w:r>
        <w:rPr>
          <w:rFonts w:ascii="Arial" w:cs="Arial" w:eastAsia="Arial" w:hAnsi="Arial"/>
          <w:sz w:val="18"/>
          <w:szCs w:val="18"/>
          <w:i w:val="1"/>
          <w:iCs w:val="1"/>
          <w:color w:val="auto"/>
        </w:rPr>
        <w:t>Accounting Standards Codification (“ASC”) Topic 805,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(“ASC 805”). Acquired assets and liabilities were recorded at their estimated acquisition-date fair values, and acquisition-related costs were expensed as incurred. The aggregate purchase price of these acquisitions reflects preliminary goodwill within the ISG segment of $15.2 million, which is not expected to be deductible for tax purposes. The goodwill is primarily comprised of expected benefits related to expanding ISG's technology and controls product portfolio as well as the trained workforce acquired with these businesses and expected synergies from combining the operations of KE2 Therm with our operations.</w:t>
      </w:r>
    </w:p>
    <w:p>
      <w:pPr>
        <w:spacing w:after="0" w:line="1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additionally recorded preliminary intangible assets of $18.0 million, which reflect estimates for definite-lived intangibles with a preliminary estimated weighted average useful life of approximately 15 years. Amounts recorded for acquired assets and liabilities are deemed to be provisional until disclosed otherwise as we continue to gather information related to the identification and valuation of acquired assets and liabilities including, but not limited to, intangible assets, tax-related items, and final net working capital adjustments, if any.</w:t>
      </w:r>
    </w:p>
    <w:p>
      <w:pPr>
        <w:spacing w:after="0" w:line="9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operating results of KE2 Therm have been included in our financial statements since the date of acquisition and are not material to our financial condition, results of operations, or cash flows.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sold our Sunoptics prismatic skylights business in November 2022. We transferred assets with a total carrying value of $15.1 million, which primarily consisted of intangibles with definite lives, inventories, and allocated goodwill from the ABL segment. We recognized a pre-tax loss on the sale of $11.2 million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Additionally, we recorded impairment charges for certain retained assets as well as associate severance and other costs related to the sale. These items are included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See the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New Accounting Pronouncements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 in Fiscal 2023</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Accounting Standards Update (“ASU”) 2021-08, Business Combinations (Topic 805): Accounting for Contract Assets and Contract Liabilities from Contracts with Customers </w:t>
      </w:r>
      <w:r>
        <w:rPr>
          <w:rFonts w:ascii="Arial" w:cs="Arial" w:eastAsia="Arial" w:hAnsi="Arial"/>
          <w:sz w:val="18"/>
          <w:szCs w:val="18"/>
          <w:color w:val="auto"/>
        </w:rPr>
        <w:t>(“ASU 2021-08”)</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2021, the Financial Accounting Standards Board (the “FASB”) issued ASU 2021-08, which requires companies to recognize and measure contract assets and contract liabilities acquired in a business combination as if the acquiring company originated the related revenue contracts. ASU 2021-08 is effective for fiscal years beginning after December 15, 2022, or our fiscal 2024, with early adoption permitted, including in an interim period. We early adopted ASU 2021-08 as of May 15, 2023 on a prospective basis as permitted by the standard and applied its provisions to the acquisition of KE2 Therm. This standard did not have a material effect on the KE2 Therm acquisition or our financial condition, results of operations, or cash flows.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ASU 2023-02, Investments—Equity Method and Joint Ventures (Topic 323): Accounting for Investments in Tax Credit Structures Using the Proportional Amortization Method </w:t>
      </w:r>
      <w:r>
        <w:rPr>
          <w:rFonts w:ascii="Arial" w:cs="Arial" w:eastAsia="Arial" w:hAnsi="Arial"/>
          <w:sz w:val="18"/>
          <w:szCs w:val="18"/>
          <w:color w:val="auto"/>
        </w:rPr>
        <w:t>(“ASU 2023-02”)</w:t>
      </w:r>
    </w:p>
    <w:p>
      <w:pPr>
        <w:spacing w:after="0" w:line="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March 2023, the FASB issued ASU 2023-02, which expands the permitted use of the proportional amortization method of accounting for certain tax-related investments if certain conditions are met. ASU 2023-02 is effective for fiscal years beginning after December 15, 2023, or our fiscal 2025, with early adoption permitted, including in an interim period. As of May 15, 2023, we do not hold any qualifying investments. Therefore, we do not expect ASU 2023-02 to have a material impact on our financial condition, results of operations, or cash flows.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Accounting Standards Codification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establishes a three-level hierarchy that distinguishes between market participant assumptions based on (i) unadjusted quoted prices for identical assets or liabilities in an active market (Level 1),</w:t>
      </w:r>
    </w:p>
    <w:p>
      <w:pPr>
        <w:jc w:val="both"/>
        <w:ind w:firstLine="8"/>
        <w:spacing w:after="0" w:line="256" w:lineRule="auto"/>
        <w:tabs>
          <w:tab w:leader="none" w:pos="264"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 No transfers between the levels of the fair value hierarchy occurred during the current fiscal period. In the event of a transfer in or out of a level within the fair value hierarchy, the transfers would be recognized on the date of occurrence.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Recorded at Fair Value</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used quoted market prices to determine the fair value of Level 1 assets and liabilities. Our cash and cash equivalents (Level 1), which are required to be carried at fair value and measured on a recurring basis, were $359.3 million and $223.2 million as of May 31, 2023 and August 31, 2022, respectively.</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hold a small number of strategic investments totaling $9.5 million and $11.9 million as of May 31, 2023 and August 31, 2022, respectively. These investments are primarily equity instruments in privately-held entities over which we do not exercise significant influence or control. We generally account for these investments at fair value on a recurring basis; however, most of these investments do not have readily determinable fair value. We have elected the practical expedient in ASC Topic 321, </w:t>
      </w:r>
      <w:r>
        <w:rPr>
          <w:rFonts w:ascii="Arial" w:cs="Arial" w:eastAsia="Arial" w:hAnsi="Arial"/>
          <w:sz w:val="18"/>
          <w:szCs w:val="18"/>
          <w:i w:val="1"/>
          <w:iCs w:val="1"/>
          <w:color w:val="auto"/>
        </w:rPr>
        <w:t>Investments—Equity Securities</w:t>
      </w:r>
      <w:r>
        <w:rPr>
          <w:rFonts w:ascii="Arial" w:cs="Arial" w:eastAsia="Arial" w:hAnsi="Arial"/>
          <w:sz w:val="18"/>
          <w:szCs w:val="18"/>
          <w:color w:val="auto"/>
        </w:rPr>
        <w:t>, to measure such investments at cost less any impairment adjusted for observable price changes, if any. As such, these investments are excluded from the fair value hierarchy.</w:t>
      </w:r>
    </w:p>
    <w:p>
      <w:pPr>
        <w:spacing w:after="0" w:line="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During the second quarter of fiscal 2023, we received cash for the cancellation of one of these strategic investments, whose underlying company was acquired by a third party. We also received preferred equity in the third party that is carried at fair value on a recurring basis and is accounted for under ASC 320, </w:t>
      </w:r>
      <w:r>
        <w:rPr>
          <w:rFonts w:ascii="Arial" w:cs="Arial" w:eastAsia="Arial" w:hAnsi="Arial"/>
          <w:sz w:val="18"/>
          <w:szCs w:val="18"/>
          <w:i w:val="1"/>
          <w:iCs w:val="1"/>
          <w:color w:val="auto"/>
        </w:rPr>
        <w:t>Investments—Debt Securities</w:t>
      </w:r>
      <w:r>
        <w:rPr>
          <w:rFonts w:ascii="Arial" w:cs="Arial" w:eastAsia="Arial" w:hAnsi="Arial"/>
          <w:sz w:val="18"/>
          <w:szCs w:val="18"/>
          <w:color w:val="auto"/>
        </w:rPr>
        <w:t xml:space="preserve"> using discounted cash flows based on rates of similar instruments (Level 2)</w:t>
      </w:r>
      <w:r>
        <w:rPr>
          <w:rFonts w:ascii="Arial" w:cs="Arial" w:eastAsia="Arial" w:hAnsi="Arial"/>
          <w:sz w:val="18"/>
          <w:szCs w:val="18"/>
          <w:i w:val="1"/>
          <w:iCs w:val="1"/>
          <w:color w:val="auto"/>
        </w:rPr>
        <w:t>.</w:t>
      </w:r>
    </w:p>
    <w:p>
      <w:pPr>
        <w:spacing w:after="0" w:line="1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Changes in the fair values of these financial instruments during the three and nine months ended May 31, 2023 and 2022 were not material to our financial condition,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Disclosures of fair value information about financial instruments, for which it is practicable to estimate that value, are required each reporting period in addition to any financial instruments carried at fair value on a recurring basis as prescribed by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Fair value for our outstanding debt obligations is estimated based on discounted future cash flows using rates currently available for debt of similar terms and maturity (Level 2). Our senior unsecured public notes are carried at the outstanding balance, net of unamortized bond discount and deferred costs, as of the end of the reporting period. The estimated fair value of our senior unsecured public notes was $401.4 million and $399.2 million as of May 31, 2023 and August 31, 2022, respectively. We had no short-term borrowings and $18.0 million of short-term borrowings outstanding under our revolving credit facility as of May 31, 2023 and August 31, 2022, respectively. These borrowings are variable-rate instruments that reset on a frequent short-term basis; therefore, we estimate that any outstanding carrying values, which are equal to the face amounts, of these instruments approximate their fair values.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for further details on our outstanding borrowings.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2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Inventories include materials, direct labor, inbound freight, customs, duties, tariffs, and related manufacturing overhead. Inventories are stated on a first-in, first-out basis at the lower of cost and net realizable value and consist of the following as of the dates presented (in millions):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7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May 31, 2023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August 31, 2022</w:t>
            </w:r>
          </w:p>
        </w:tc>
      </w:tr>
      <w:tr>
        <w:trPr>
          <w:trHeight w:val="209"/>
        </w:trPr>
        <w:tc>
          <w:tcPr>
            <w:tcW w:w="724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Raw materials, supplies, and work in process </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252.6</w:t>
            </w:r>
          </w:p>
        </w:tc>
      </w:tr>
      <w:tr>
        <w:trPr>
          <w:trHeight w:val="213"/>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Finished goods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w:t>
            </w:r>
          </w:p>
        </w:tc>
      </w:tr>
      <w:tr>
        <w:trPr>
          <w:trHeight w:val="213"/>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 excluding reserves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516.6</w:t>
            </w:r>
          </w:p>
        </w:tc>
      </w:tr>
      <w:tr>
        <w:trPr>
          <w:trHeight w:val="213"/>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Reserves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r>
      <w:tr>
        <w:trPr>
          <w:trHeight w:val="232"/>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485.7</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9" w:lineRule="exact"/>
        <w:rPr>
          <w:sz w:val="20"/>
          <w:szCs w:val="20"/>
          <w:color w:val="auto"/>
        </w:rPr>
      </w:pPr>
    </w:p>
    <w:p>
      <w:pPr>
        <w:ind w:firstLine="8"/>
        <w:spacing w:after="0" w:line="302"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review inventory quantities on hand and record a provision for excess or obsolete inventory primarily based on estimated future demand and current market conditions. A significant change in customer demand or market conditions could render certain inventory obsolete and could have a material adverse impact on our operating results in the period the change occurs.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Plant, and Equipment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 as of the dates presented (in millions):</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7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May 31, 2023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August 31, 2022</w:t>
            </w: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Buildings and leasehold improvements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207.6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202.3</w:t>
            </w:r>
          </w:p>
        </w:tc>
      </w:tr>
      <w:tr>
        <w:trPr>
          <w:trHeight w:val="219"/>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667.6</w:t>
            </w:r>
          </w:p>
        </w:tc>
      </w:tr>
      <w:tr>
        <w:trPr>
          <w:trHeight w:val="206"/>
        </w:trPr>
        <w:tc>
          <w:tcPr>
            <w:tcW w:w="7240" w:type="dxa"/>
            <w:vAlign w:val="bottom"/>
          </w:tcPr>
          <w:p>
            <w:pPr>
              <w:ind w:left="20"/>
              <w:spacing w:after="0"/>
              <w:rPr>
                <w:sz w:val="20"/>
                <w:szCs w:val="20"/>
                <w:color w:val="auto"/>
              </w:rPr>
            </w:pPr>
            <w:r>
              <w:rPr>
                <w:rFonts w:ascii="Arial" w:cs="Arial" w:eastAsia="Arial" w:hAnsi="Arial"/>
                <w:sz w:val="16"/>
                <w:szCs w:val="16"/>
                <w:color w:val="auto"/>
              </w:rPr>
              <w:t>Total property, plant, and equipment, at cost</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940.5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891.9</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(615.4)</w:t>
            </w: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290.4</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276.5</w:t>
            </w:r>
          </w:p>
        </w:tc>
      </w:tr>
      <w:tr>
        <w:trPr>
          <w:trHeight w:val="20"/>
        </w:trPr>
        <w:tc>
          <w:tcPr>
            <w:tcW w:w="7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2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 multiple acquisitions, we acquired definite-lived intangible assets consisting primarily of customer relationships, patented technology, distribution networks, and trademarks and trade names associated with specific products, which are amortized over their estimated useful lives. Indefinite-lived intangible assets consist of trade names that are expected to generate cash flows indefinitely.</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amortization expense for definite-lived intangible assets of $9.2 million and $10.2 million during the three months ended May 31, 2023 and 2022, respectively, and $32.1 million and $30.8 million during the nine months ended May 31, 2023 and 2022, respectively. Amortization expense is generally recorded on a straight-line basis.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expected amortization expense for the next five fiscal years as of the date presented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May 31, 2023</w:t>
            </w:r>
          </w:p>
        </w:tc>
      </w:tr>
      <w:tr>
        <w:trPr>
          <w:trHeight w:val="209"/>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r>
      <w:tr>
        <w:trPr>
          <w:trHeight w:val="213"/>
        </w:trPr>
        <w:tc>
          <w:tcPr>
            <w:tcW w:w="9340" w:type="dxa"/>
            <w:vAlign w:val="bottom"/>
          </w:tcPr>
          <w:p>
            <w:pPr>
              <w:ind w:left="20"/>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38.1</w:t>
            </w:r>
          </w:p>
        </w:tc>
      </w:tr>
      <w:tr>
        <w:trPr>
          <w:trHeight w:val="219"/>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r>
      <w:tr>
        <w:trPr>
          <w:trHeight w:val="213"/>
        </w:trPr>
        <w:tc>
          <w:tcPr>
            <w:tcW w:w="9340" w:type="dxa"/>
            <w:vAlign w:val="bottom"/>
          </w:tcPr>
          <w:p>
            <w:pPr>
              <w:ind w:left="20"/>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27.9</w:t>
            </w:r>
          </w:p>
        </w:tc>
      </w:tr>
      <w:tr>
        <w:trPr>
          <w:trHeight w:val="219"/>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by segment during the periods presented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3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ABL</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ISG</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August 31, 2022</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1,014.2</w:t>
            </w:r>
          </w:p>
        </w:tc>
        <w:tc>
          <w:tcPr>
            <w:tcW w:w="1160" w:type="dxa"/>
            <w:vAlign w:val="bottom"/>
            <w:gridSpan w:val="2"/>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1,084.3</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Provisional amounts from acquired businesses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Derecognitions for divestitures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32"/>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May 31, 2023</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1,013.3</w:t>
            </w:r>
          </w:p>
        </w:tc>
        <w:tc>
          <w:tcPr>
            <w:tcW w:w="1160" w:type="dxa"/>
            <w:vAlign w:val="bottom"/>
            <w:gridSpan w:val="2"/>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3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ABL</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ISG</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0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August 31, 2021</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1,022.2</w:t>
            </w:r>
          </w:p>
        </w:tc>
        <w:tc>
          <w:tcPr>
            <w:tcW w:w="1160" w:type="dxa"/>
            <w:vAlign w:val="bottom"/>
            <w:gridSpan w:val="2"/>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1,094.7</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Adjustments to provisional amounts from acquired businesses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Balance as of May 31, 2022</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7"/>
              </w:rPr>
              <w:t>1,018.5</w:t>
            </w:r>
          </w:p>
        </w:tc>
        <w:tc>
          <w:tcPr>
            <w:tcW w:w="1160" w:type="dxa"/>
            <w:vAlign w:val="bottom"/>
            <w:gridSpan w:val="2"/>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72.4</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1,090.9</w:t>
            </w:r>
          </w:p>
        </w:tc>
      </w:tr>
      <w:tr>
        <w:trPr>
          <w:trHeight w:val="21"/>
        </w:trPr>
        <w:tc>
          <w:tcPr>
            <w:tcW w:w="6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discussion of goodwill and other intangible assets is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Current Liabilities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 as of the dates presented (in millions):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5"/>
          <w:szCs w:val="15"/>
          <w:color w:val="auto"/>
        </w:rPr>
        <w:t>Customer incentive programs</w:t>
      </w:r>
      <w:r>
        <w:rPr>
          <w:rFonts w:ascii="Arial" w:cs="Arial" w:eastAsia="Arial" w:hAnsi="Arial"/>
          <w:sz w:val="20"/>
          <w:szCs w:val="20"/>
          <w:color w:val="auto"/>
          <w:vertAlign w:val="superscript"/>
        </w:rPr>
        <w:t>(1)</w:t>
      </w:r>
    </w:p>
    <w:p>
      <w:pPr>
        <w:ind w:left="20"/>
        <w:spacing w:after="0" w:line="222" w:lineRule="auto"/>
        <w:rPr>
          <w:sz w:val="20"/>
          <w:szCs w:val="20"/>
          <w:color w:val="auto"/>
        </w:rPr>
      </w:pPr>
      <w:r>
        <w:rPr>
          <w:rFonts w:ascii="Arial" w:cs="Arial" w:eastAsia="Arial" w:hAnsi="Arial"/>
          <w:sz w:val="16"/>
          <w:szCs w:val="16"/>
          <w:color w:val="auto"/>
        </w:rPr>
        <w:t>Refunds to customers</w:t>
      </w:r>
      <w:r>
        <w:rPr>
          <w:rFonts w:ascii="Arial" w:cs="Arial" w:eastAsia="Arial" w:hAnsi="Arial"/>
          <w:sz w:val="21"/>
          <w:szCs w:val="21"/>
          <w:color w:val="auto"/>
          <w:vertAlign w:val="superscript"/>
        </w:rPr>
        <w:t>(1)</w:t>
      </w:r>
    </w:p>
    <w:p>
      <w:pPr>
        <w:ind w:left="20"/>
        <w:spacing w:after="0" w:line="215" w:lineRule="auto"/>
        <w:rPr>
          <w:sz w:val="20"/>
          <w:szCs w:val="20"/>
          <w:color w:val="auto"/>
        </w:rPr>
      </w:pPr>
      <w:r>
        <w:rPr>
          <w:rFonts w:ascii="Arial" w:cs="Arial" w:eastAsia="Arial" w:hAnsi="Arial"/>
          <w:sz w:val="16"/>
          <w:szCs w:val="16"/>
          <w:color w:val="auto"/>
        </w:rPr>
        <w:t>Current deferred revenues</w:t>
      </w:r>
      <w:r>
        <w:rPr>
          <w:rFonts w:ascii="Arial" w:cs="Arial" w:eastAsia="Arial" w:hAnsi="Arial"/>
          <w:sz w:val="21"/>
          <w:szCs w:val="21"/>
          <w:color w:val="auto"/>
          <w:vertAlign w:val="superscript"/>
        </w:rPr>
        <w:t>(1)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Sales commissions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Freight costs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Warranty and recall costs</w:t>
      </w:r>
      <w:r>
        <w:rPr>
          <w:rFonts w:ascii="Arial" w:cs="Arial" w:eastAsia="Arial" w:hAnsi="Arial"/>
          <w:sz w:val="21"/>
          <w:szCs w:val="21"/>
          <w:color w:val="auto"/>
          <w:vertAlign w:val="superscript"/>
        </w:rPr>
        <w:t>(2)</w:t>
      </w:r>
    </w:p>
    <w:p>
      <w:pPr>
        <w:ind w:left="20"/>
        <w:spacing w:after="0" w:line="214" w:lineRule="auto"/>
        <w:rPr>
          <w:sz w:val="20"/>
          <w:szCs w:val="20"/>
          <w:color w:val="auto"/>
        </w:rPr>
      </w:pPr>
      <w:r>
        <w:rPr>
          <w:rFonts w:ascii="Arial" w:cs="Arial" w:eastAsia="Arial" w:hAnsi="Arial"/>
          <w:sz w:val="16"/>
          <w:szCs w:val="16"/>
          <w:color w:val="auto"/>
        </w:rPr>
        <w:t>Tax-related items</w:t>
      </w:r>
      <w:r>
        <w:rPr>
          <w:rFonts w:ascii="Arial" w:cs="Arial" w:eastAsia="Arial" w:hAnsi="Arial"/>
          <w:sz w:val="21"/>
          <w:szCs w:val="21"/>
          <w:color w:val="auto"/>
          <w:vertAlign w:val="superscript"/>
        </w:rPr>
        <w:t>(3)</w:t>
      </w:r>
    </w:p>
    <w:p>
      <w:pPr>
        <w:ind w:left="20"/>
        <w:spacing w:after="0" w:line="215" w:lineRule="auto"/>
        <w:rPr>
          <w:sz w:val="20"/>
          <w:szCs w:val="20"/>
          <w:color w:val="auto"/>
        </w:rPr>
      </w:pPr>
      <w:r>
        <w:rPr>
          <w:rFonts w:ascii="Arial" w:cs="Arial" w:eastAsia="Arial" w:hAnsi="Arial"/>
          <w:sz w:val="16"/>
          <w:szCs w:val="16"/>
          <w:color w:val="auto"/>
        </w:rPr>
        <w:t>Interest on long-term debt</w:t>
      </w:r>
      <w:r>
        <w:rPr>
          <w:rFonts w:ascii="Arial" w:cs="Arial" w:eastAsia="Arial" w:hAnsi="Arial"/>
          <w:sz w:val="21"/>
          <w:szCs w:val="21"/>
          <w:color w:val="auto"/>
          <w:vertAlign w:val="superscript"/>
        </w:rPr>
        <w:t>(4)</w:t>
      </w:r>
    </w:p>
    <w:p>
      <w:pPr>
        <w:ind w:left="20"/>
        <w:spacing w:after="0"/>
        <w:rPr>
          <w:sz w:val="20"/>
          <w:szCs w:val="20"/>
          <w:color w:val="auto"/>
        </w:rPr>
      </w:pPr>
      <w:r>
        <w:rPr>
          <w:rFonts w:ascii="Arial" w:cs="Arial" w:eastAsia="Arial" w:hAnsi="Arial"/>
          <w:sz w:val="16"/>
          <w:szCs w:val="16"/>
          <w:color w:val="auto"/>
        </w:rPr>
        <w:t>Other</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other current liabilities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May 31, 2023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August 31, 2022</w:t>
            </w:r>
          </w:p>
        </w:tc>
      </w:tr>
      <w:tr>
        <w:trPr>
          <w:trHeight w:val="204"/>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23.8</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40.7</w:t>
            </w:r>
          </w:p>
        </w:tc>
      </w:tr>
      <w:tr>
        <w:trPr>
          <w:trHeight w:val="216"/>
        </w:trPr>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16"/>
        </w:trPr>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6"/>
        </w:trPr>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41.9</w:t>
            </w:r>
          </w:p>
        </w:tc>
      </w:tr>
      <w:tr>
        <w:trPr>
          <w:trHeight w:val="216"/>
        </w:trPr>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16"/>
        </w:trPr>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16"/>
        </w:trPr>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16"/>
        </w:trPr>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r>
      <w:tr>
        <w:trPr>
          <w:trHeight w:val="210"/>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177.6</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214.1</w:t>
            </w:r>
          </w:p>
        </w:tc>
      </w:tr>
      <w:tr>
        <w:trPr>
          <w:trHeight w:val="23"/>
        </w:trPr>
        <w:tc>
          <w:tcPr>
            <w:tcW w:w="300" w:type="dxa"/>
            <w:vAlign w:val="bottom"/>
            <w:tcBorders>
              <w:top w:val="single" w:sz="8" w:color="auto"/>
              <w:bottom w:val="single" w:sz="8" w:color="auto"/>
            </w:tcBorders>
          </w:tcPr>
          <w:p>
            <w:pPr>
              <w:spacing w:after="0"/>
              <w:rPr>
                <w:sz w:val="2"/>
                <w:szCs w:val="2"/>
                <w:color w:val="auto"/>
              </w:rPr>
            </w:pPr>
          </w:p>
        </w:tc>
        <w:tc>
          <w:tcPr>
            <w:tcW w:w="16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74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-1422400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-1139190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-865505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-591185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-316865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6460" w:space="720"/>
            <w:col w:w="4060"/>
          </w:cols>
          <w:pgMar w:left="320" w:top="126"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____________________________________</w:t>
      </w:r>
    </w:p>
    <w:p>
      <w:pPr>
        <w:spacing w:after="0" w:line="3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Revenue Recognition</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within our Form 10-K for additional information.</w:t>
      </w:r>
    </w:p>
    <w:p>
      <w:pPr>
        <w:spacing w:after="0" w:line="3" w:lineRule="exact"/>
        <w:rPr>
          <w:rFonts w:ascii="Arial" w:cs="Arial" w:eastAsia="Arial" w:hAnsi="Arial"/>
          <w:sz w:val="19"/>
          <w:szCs w:val="19"/>
          <w:color w:val="auto"/>
          <w:vertAlign w:val="superscript"/>
        </w:rPr>
      </w:pPr>
    </w:p>
    <w:p>
      <w:pPr>
        <w:ind w:left="660" w:hanging="328"/>
        <w:spacing w:after="0" w:line="189" w:lineRule="auto"/>
        <w:tabs>
          <w:tab w:leader="none" w:pos="66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3" w:lineRule="exact"/>
        <w:rPr>
          <w:rFonts w:ascii="Arial" w:cs="Arial" w:eastAsia="Arial" w:hAnsi="Arial"/>
          <w:sz w:val="19"/>
          <w:szCs w:val="19"/>
          <w:color w:val="auto"/>
          <w:vertAlign w:val="superscript"/>
        </w:rPr>
      </w:pPr>
    </w:p>
    <w:p>
      <w:pPr>
        <w:ind w:left="660" w:hanging="328"/>
        <w:spacing w:after="0" w:line="187" w:lineRule="auto"/>
        <w:tabs>
          <w:tab w:leader="none" w:pos="6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accruals for income, sales and use, and value added taxes.</w:t>
      </w:r>
    </w:p>
    <w:p>
      <w:pPr>
        <w:ind w:left="660" w:hanging="328"/>
        <w:spacing w:after="0"/>
        <w:tabs>
          <w:tab w:leader="none" w:pos="660" w:val="left"/>
        </w:tabs>
        <w:numPr>
          <w:ilvl w:val="0"/>
          <w:numId w:val="6"/>
        </w:numPr>
        <w:rPr>
          <w:rFonts w:ascii="Arial" w:cs="Arial" w:eastAsia="Arial" w:hAnsi="Arial"/>
          <w:sz w:val="9"/>
          <w:szCs w:val="9"/>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Debt and Lines of Credit</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 and Lines of Credit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10, 2020, Acuity Brands Lighting, Inc. issued $500.0 million aggregate principal amount of 2.150% senior unsecured notes due December 15, 2030 (the “Unsecured Notes”) at a price equal to 99.737% of their face value. Interest on the Unsecured Notes is paid semi-annually in arrears on June 15 and December 15 of each year. We recorded $4.8 million of deferred issuance costs related to the Unsecured Notes as a direct deduction from the face amount of the Unsecured Notes. These issuance costs are amortized over the 10-year term of the Unsecured Notes.</w:t>
      </w:r>
    </w:p>
    <w:p>
      <w:pPr>
        <w:spacing w:after="0" w:line="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Unsecured Notes are fully and unconditionally guaranteed on a senior unsecured basis by Acuity Brands, Inc. and ABL IP Holding LLC, a wholly-owned subsidiary of Acuity Brands, Inc.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June 30, 2022, we entered into a credit agreement (the “Credit Agreement”) with a syndicate of banks that provides us with a $600.0 million five-year unsecured revolving credit facility (the “Revolving Credit Facility”) with the ability to request an additional $400.0 million of borrowing capacity. We had no short-term borrowings at May 31, 2023 and $18.0 million in short-term borrowings at August 31, 2022 outstanding under the Revolving Credit Facility.</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Revolving Credit Facility uses the Secured Overnight Financing Rate (“SOFR”) as the applicable benchmark for U.S. Dollar borrowings and an applicable benchmark rate for non-U.S. Dollar borrowings as defined in the Credit Agreement. The applicable margin pricing grid mechanics are based on the better of our public credit ratings or our net leverage ratio and range from 0.80% to 1.20% for base rate borrowings and from 0.00% to 0.20% for floating rate advances. We are also required to pay certain fees in connection with the Credit Agreement, including administrative service fees and annual facility fees, which range from 0.075% to 0.175% of the aggregate $600.0 million remaining commitment of the lenders under the Credit Agreement.</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Credit Agreement contains a leverage ratio covenant (“Maximum Leverage Ratio”) of total indebtedness to earnings before interest, tax, depreciation, and amortization (“EBITDA”), as such terms are defined in the Credit Agreement. This ratio is computed at the end of each fiscal quarter for the most recent 12-month period. The Credit Agreement generally allows for a Maximum Leverage Ratio of 3.75 (subject to a temporary increase to 4.25 in the event of a significant acquisition) and allows netting of all unrestricted cash and cash equivalents against debt.</w:t>
      </w:r>
    </w:p>
    <w:p>
      <w:pPr>
        <w:spacing w:after="0" w:line="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were in compliance with all covenants under the Credit Agreement as of May 31, 2023. At May 31, 2023, we had additional borrowing capacity under the Credit Agreement of $596.2 million under the most restrictive covenant in effect at the time, which represents the full amount of the Revolving Credit Facility less outstanding letters of credit of $3.8 million issued under the Revolving Credit Facility, primarily for securing collateral requirements under our casualty insurance programs.</w:t>
      </w:r>
    </w:p>
    <w:p>
      <w:pPr>
        <w:spacing w:after="0" w:line="9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Borrowings and repayments on our Revolving Credit Facility with terms of three months or less are reported on a net basis on our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is comprised primarily of interest expense on long-term debt, line of credit borrowings, and loans that are secured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presented net of company-owned life insurance policies on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Interest expense is partially offset by interest income earned on cash and cash equivalents.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interest expense, net for the periods presented (in millions):</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3120" w:type="dxa"/>
            <w:vAlign w:val="bottom"/>
          </w:tcPr>
          <w:p>
            <w:pPr>
              <w:spacing w:after="0"/>
              <w:rPr>
                <w:sz w:val="19"/>
                <w:szCs w:val="19"/>
                <w:color w:val="auto"/>
              </w:rPr>
            </w:pPr>
          </w:p>
        </w:tc>
        <w:tc>
          <w:tcPr>
            <w:tcW w:w="362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2023</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2022</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May 31, 2023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May 31, 2022</w:t>
            </w:r>
          </w:p>
        </w:tc>
      </w:tr>
      <w:tr>
        <w:trPr>
          <w:trHeight w:val="209"/>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540" w:type="dxa"/>
            <w:vAlign w:val="bottom"/>
            <w:shd w:val="clear" w:color="auto" w:fill="CCEEFF"/>
          </w:tcPr>
          <w:p>
            <w:pPr>
              <w:jc w:val="right"/>
              <w:ind w:right="135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6.3</w:t>
            </w:r>
          </w:p>
        </w:tc>
        <w:tc>
          <w:tcPr>
            <w:tcW w:w="1640" w:type="dxa"/>
            <w:vAlign w:val="bottom"/>
            <w:gridSpan w:val="2"/>
            <w:shd w:val="clear" w:color="auto" w:fill="CCEEFF"/>
          </w:tcPr>
          <w:p>
            <w:pPr>
              <w:jc w:val="right"/>
              <w:ind w:right="135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6.6</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r>
      <w:tr>
        <w:trPr>
          <w:trHeight w:val="216"/>
        </w:trPr>
        <w:tc>
          <w:tcPr>
            <w:tcW w:w="31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5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540" w:type="dxa"/>
            <w:vAlign w:val="bottom"/>
            <w:shd w:val="clear" w:color="auto" w:fill="CCEEFF"/>
          </w:tcPr>
          <w:p>
            <w:pPr>
              <w:jc w:val="right"/>
              <w:ind w:right="135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3.9</w:t>
            </w:r>
          </w:p>
        </w:tc>
        <w:tc>
          <w:tcPr>
            <w:tcW w:w="1640" w:type="dxa"/>
            <w:vAlign w:val="bottom"/>
            <w:gridSpan w:val="2"/>
            <w:shd w:val="clear" w:color="auto" w:fill="CCEEFF"/>
          </w:tcPr>
          <w:p>
            <w:pPr>
              <w:jc w:val="right"/>
              <w:ind w:right="135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6.2</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the normal course of business, we are subject to the effects of certain contractual stipulations, events, transactions, and laws and regulations that may, at times, require the recognition of liabilities, such as those related to self-insurance estimated liabilities and claims, legal and contractual issues, environmental laws and regulations, guarantees, and indemnities. We establish estimated liabilities when the associated costs related to uncertainties or guarantees become probable and can be reasonably estimated. For the period ended May 31, 2023, no material changes have occurred in our estimated liabilities for self-insurance, litigation, environmental matters, guarantees and indemnities, or relevant events and circumstances, from those disclosed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 other than the items discussed below as well as the dismissal of the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complaint as previously disclosed.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products generally have a standard warranty term of five years that assures our products comply with agreed upon specifications. We record an accrual for the estimated amount of future warranty costs when the related revenue is recognized. Estimated future warranty and recall costs are primarily based on historical experience of identified warranty and recall claims. Estimated costs related to product warranty and recall costs outside of our historical experience, which could include significant product recalls or formal campaigns soliciting repair or return of a product, are accrued when they are deemed to be probable and can be reasonably estimated. Any estimated or actual loss recoveries that offset our costs and payments are reflected as assets and included within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assets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based on the expected timing of receipt of recovery.</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can be no assurance future warranty and recall costs will not exceed historical amounts, new technology products may not generate unexpected costs, and/or loss recoveries will not be fully collectible. If actual future warranty or recall costs exceed historical amounts, additional increases in the accrual may be required, which could have a material adverse impact on our results of operations and cash flows.</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Estimated liabilities for product warranty and recall costs are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 xml:space="preserve">Consolidated Balance Sheets </w:t>
      </w:r>
      <w:r>
        <w:rPr>
          <w:rFonts w:ascii="Arial" w:cs="Arial" w:eastAsia="Arial" w:hAnsi="Arial"/>
          <w:sz w:val="18"/>
          <w:szCs w:val="18"/>
          <w:color w:val="auto"/>
        </w:rPr>
        <w:t>based upon when we expect to settle the incurred warranty. The following table summarizes changes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liabilities for product warranty and recall costs during the periods presented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100" w:type="dxa"/>
            <w:vAlign w:val="bottom"/>
          </w:tcPr>
          <w:p>
            <w:pPr>
              <w:spacing w:after="0"/>
              <w:rPr>
                <w:sz w:val="19"/>
                <w:szCs w:val="19"/>
                <w:color w:val="auto"/>
              </w:rPr>
            </w:pPr>
          </w:p>
        </w:tc>
        <w:tc>
          <w:tcPr>
            <w:tcW w:w="364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c>
          <w:tcPr>
            <w:tcW w:w="480" w:type="dxa"/>
            <w:vAlign w:val="bottom"/>
            <w:tcBorders>
              <w:bottom w:val="single" w:sz="8" w:color="auto"/>
            </w:tcBorders>
          </w:tcPr>
          <w:p>
            <w:pPr>
              <w:spacing w:after="0"/>
              <w:rPr>
                <w:sz w:val="19"/>
                <w:szCs w:val="19"/>
                <w:color w:val="auto"/>
              </w:rPr>
            </w:pPr>
          </w:p>
        </w:tc>
      </w:tr>
      <w:tr>
        <w:trPr>
          <w:trHeight w:val="210"/>
        </w:trPr>
        <w:tc>
          <w:tcPr>
            <w:tcW w:w="7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2023</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2022</w:t>
            </w:r>
          </w:p>
        </w:tc>
        <w:tc>
          <w:tcPr>
            <w:tcW w:w="480" w:type="dxa"/>
            <w:vAlign w:val="bottom"/>
            <w:tcBorders>
              <w:bottom w:val="single" w:sz="8" w:color="auto"/>
            </w:tcBorders>
          </w:tcPr>
          <w:p>
            <w:pPr>
              <w:spacing w:after="0"/>
              <w:rPr>
                <w:sz w:val="18"/>
                <w:szCs w:val="18"/>
                <w:color w:val="auto"/>
              </w:rPr>
            </w:pPr>
          </w:p>
        </w:tc>
      </w:tr>
      <w:tr>
        <w:trPr>
          <w:trHeight w:val="20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520" w:type="dxa"/>
            <w:vAlign w:val="bottom"/>
            <w:shd w:val="clear" w:color="auto" w:fill="CCEEFF"/>
          </w:tcPr>
          <w:p>
            <w:pPr>
              <w:jc w:val="right"/>
              <w:ind w:right="13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27.3</w:t>
            </w:r>
          </w:p>
        </w:tc>
        <w:tc>
          <w:tcPr>
            <w:tcW w:w="1640" w:type="dxa"/>
            <w:vAlign w:val="bottom"/>
            <w:gridSpan w:val="2"/>
            <w:shd w:val="clear" w:color="auto" w:fill="CCEEFF"/>
          </w:tcPr>
          <w:p>
            <w:pPr>
              <w:jc w:val="right"/>
              <w:ind w:right="13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20.3</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Warranty and recall costs</w:t>
            </w:r>
          </w:p>
        </w:tc>
        <w:tc>
          <w:tcPr>
            <w:tcW w:w="15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rPr>
              <w:t>21.4</w:t>
            </w:r>
          </w:p>
        </w:tc>
      </w:tr>
      <w:tr>
        <w:trPr>
          <w:trHeight w:val="205"/>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Payments and other deductions</w:t>
            </w:r>
          </w:p>
        </w:tc>
        <w:tc>
          <w:tcPr>
            <w:tcW w:w="15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(21.3)</w:t>
            </w:r>
          </w:p>
        </w:tc>
      </w:tr>
      <w:tr>
        <w:trPr>
          <w:trHeight w:val="210"/>
        </w:trPr>
        <w:tc>
          <w:tcPr>
            <w:tcW w:w="710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1520" w:type="dxa"/>
            <w:vAlign w:val="bottom"/>
          </w:tcPr>
          <w:p>
            <w:pPr>
              <w:jc w:val="right"/>
              <w:ind w:right="1319"/>
              <w:spacing w:after="0"/>
              <w:rPr>
                <w:sz w:val="20"/>
                <w:szCs w:val="20"/>
                <w:color w:val="auto"/>
              </w:rPr>
            </w:pPr>
            <w:r>
              <w:rPr>
                <w:rFonts w:ascii="Arial" w:cs="Arial" w:eastAsia="Arial" w:hAnsi="Arial"/>
                <w:sz w:val="16"/>
                <w:szCs w:val="16"/>
                <w:color w:val="auto"/>
              </w:rPr>
              <w:t>$</w:t>
            </w:r>
          </w:p>
        </w:tc>
        <w:tc>
          <w:tcPr>
            <w:tcW w:w="480" w:type="dxa"/>
            <w:vAlign w:val="bottom"/>
          </w:tcPr>
          <w:p>
            <w:pPr>
              <w:jc w:val="center"/>
              <w:spacing w:after="0"/>
              <w:rPr>
                <w:sz w:val="20"/>
                <w:szCs w:val="20"/>
                <w:color w:val="auto"/>
              </w:rPr>
            </w:pPr>
            <w:r>
              <w:rPr>
                <w:rFonts w:ascii="Arial" w:cs="Arial" w:eastAsia="Arial" w:hAnsi="Arial"/>
                <w:sz w:val="16"/>
                <w:szCs w:val="16"/>
                <w:color w:val="auto"/>
              </w:rPr>
              <w:t>31.2</w:t>
            </w:r>
          </w:p>
        </w:tc>
        <w:tc>
          <w:tcPr>
            <w:tcW w:w="1640" w:type="dxa"/>
            <w:vAlign w:val="bottom"/>
            <w:gridSpan w:val="2"/>
          </w:tcPr>
          <w:p>
            <w:pPr>
              <w:jc w:val="right"/>
              <w:ind w:right="1339"/>
              <w:spacing w:after="0"/>
              <w:rPr>
                <w:sz w:val="20"/>
                <w:szCs w:val="20"/>
                <w:color w:val="auto"/>
              </w:rPr>
            </w:pPr>
            <w:r>
              <w:rPr>
                <w:rFonts w:ascii="Arial" w:cs="Arial" w:eastAsia="Arial" w:hAnsi="Arial"/>
                <w:sz w:val="16"/>
                <w:szCs w:val="16"/>
                <w:color w:val="auto"/>
              </w:rPr>
              <w:t>$</w:t>
            </w:r>
          </w:p>
        </w:tc>
        <w:tc>
          <w:tcPr>
            <w:tcW w:w="480" w:type="dxa"/>
            <w:vAlign w:val="bottom"/>
          </w:tcPr>
          <w:p>
            <w:pPr>
              <w:jc w:val="center"/>
              <w:spacing w:after="0"/>
              <w:rPr>
                <w:sz w:val="20"/>
                <w:szCs w:val="20"/>
                <w:color w:val="auto"/>
              </w:rPr>
            </w:pPr>
            <w:r>
              <w:rPr>
                <w:rFonts w:ascii="Arial" w:cs="Arial" w:eastAsia="Arial" w:hAnsi="Arial"/>
                <w:sz w:val="16"/>
                <w:szCs w:val="16"/>
                <w:color w:val="auto"/>
              </w:rPr>
              <w:t>20.4</w:t>
            </w:r>
          </w:p>
        </w:tc>
      </w:tr>
      <w:tr>
        <w:trPr>
          <w:trHeight w:val="20"/>
        </w:trPr>
        <w:tc>
          <w:tcPr>
            <w:tcW w:w="7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Security Incidents</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December 14, 2022, a former associate filed a putative class action complaint against the Company in the United States District Court for the Northern District of Georgia on behalf of all persons whose personal information was compromised as a result of data security incidents we experienced in October 2020 and/or December 2021. On January 25, 2023, a second putative class action complaint was filed in the same venue by two other former associates.</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Both complaints contain similar allegations and claim that the Company failed to exercise reasonable caution in securing and safeguarding associate information. On that basis, the complaints assert claims for negligence, breach of contract, breach of implied contract, unjust enrichment, breach of fiduciary duty, invasion of privacy, and breach of confidence. The plaintiffs seek class certification, monetary damages, certain injunctive relief regarding our data-security measures, additional credit-monitoring services, other equitable relief (including disgorgement), attorneys’ fees, costs, and pre- and post-judgment interest.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Plaintiffs recently filed a notice of voluntary dismissal without prejudice, and we continue to prepare our response strategy to any forthcoming claims.</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Estimating an amount or range of possible losses resulting from litigation proceedings is inherently difficult, particularly where the matters involve indeterminate claims for monetary damages and are in the early stages of the proceedings where key evidential and legal issues have not been resolved. In addition, we have received inquiries from, and it is also possible that investigations or other actions are taken by, state and/or federal agencies regarding the data security incidents and related data privacy matters. For these reasons, we are currently unable to predict the ultimate timing or outcome of or reasonably estimate the possible losses or a range of possible losses resulting from the matters described above. We have insurance, subject to certain terms and conditions, for these types of matters.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Changes in Stockholders' Equity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changes in the components of stockholders' equity for the periods presented (in millions):</w:t>
      </w:r>
    </w:p>
    <w:p>
      <w:pPr>
        <w:spacing w:after="0" w:line="244" w:lineRule="exact"/>
        <w:rPr>
          <w:sz w:val="20"/>
          <w:szCs w:val="20"/>
          <w:color w:val="auto"/>
        </w:rPr>
      </w:pPr>
    </w:p>
    <w:p>
      <w:pPr>
        <w:jc w:val="center"/>
        <w:ind w:right="480"/>
        <w:spacing w:after="0"/>
        <w:rPr>
          <w:sz w:val="20"/>
          <w:szCs w:val="20"/>
          <w:color w:val="auto"/>
        </w:rPr>
      </w:pPr>
      <w:r>
        <w:rPr>
          <w:rFonts w:ascii="Arial" w:cs="Arial" w:eastAsia="Arial" w:hAnsi="Arial"/>
          <w:sz w:val="13"/>
          <w:szCs w:val="13"/>
          <w:b w:val="1"/>
          <w:bCs w:val="1"/>
          <w:color w:val="auto"/>
        </w:rPr>
        <w:t>Common Stock</w:t>
      </w:r>
    </w:p>
    <w:p>
      <w:pPr>
        <w:jc w:val="center"/>
        <w:ind w:right="480"/>
        <w:spacing w:after="0"/>
        <w:rPr>
          <w:sz w:val="20"/>
          <w:szCs w:val="20"/>
          <w:color w:val="auto"/>
        </w:rPr>
      </w:pPr>
      <w:r>
        <w:rPr>
          <w:rFonts w:ascii="Arial" w:cs="Arial" w:eastAsia="Arial" w:hAnsi="Arial"/>
          <w:sz w:val="13"/>
          <w:szCs w:val="13"/>
          <w:b w:val="1"/>
          <w:bCs w:val="1"/>
          <w:color w:val="auto"/>
        </w:rPr>
        <w:t>Outstanding</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6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98"/>
              </w:rPr>
              <w:t>Retained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jc w:val="center"/>
              <w:ind w:right="37"/>
              <w:spacing w:after="0" w:line="123" w:lineRule="exact"/>
              <w:rPr>
                <w:sz w:val="20"/>
                <w:szCs w:val="20"/>
                <w:color w:val="auto"/>
              </w:rPr>
            </w:pPr>
            <w:r>
              <w:rPr>
                <w:rFonts w:ascii="Arial" w:cs="Arial" w:eastAsia="Arial" w:hAnsi="Arial"/>
                <w:sz w:val="13"/>
                <w:szCs w:val="13"/>
                <w:b w:val="1"/>
                <w:bCs w:val="1"/>
                <w:color w:val="auto"/>
                <w:w w:val="96"/>
              </w:rPr>
              <w:t>Accumulated Other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57"/>
              <w:spacing w:after="0" w:line="123" w:lineRule="exact"/>
              <w:rPr>
                <w:sz w:val="20"/>
                <w:szCs w:val="20"/>
                <w:color w:val="auto"/>
              </w:rPr>
            </w:pPr>
            <w:r>
              <w:rPr>
                <w:rFonts w:ascii="Arial" w:cs="Arial" w:eastAsia="Arial" w:hAnsi="Arial"/>
                <w:sz w:val="13"/>
                <w:szCs w:val="13"/>
                <w:b w:val="1"/>
                <w:bCs w:val="1"/>
                <w:color w:val="auto"/>
                <w:w w:val="98"/>
              </w:rPr>
              <w:t>Treasury</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600" w:type="dxa"/>
            <w:vAlign w:val="bottom"/>
          </w:tcPr>
          <w:p>
            <w:pPr>
              <w:spacing w:after="0"/>
              <w:rPr>
                <w:sz w:val="10"/>
                <w:szCs w:val="10"/>
                <w:color w:val="auto"/>
              </w:rPr>
            </w:pP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9"/>
              </w:rPr>
              <w:t>Stock, at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3"/>
        </w:trPr>
        <w:tc>
          <w:tcPr>
            <w:tcW w:w="46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Earnings</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8"/>
              </w:rPr>
              <w:t>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cost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August 31, 2022</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1,036.3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3,176.2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(2,175.4)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1,911.8</w:t>
            </w:r>
          </w:p>
        </w:tc>
        <w:tc>
          <w:tcPr>
            <w:tcW w:w="0" w:type="dxa"/>
            <w:vAlign w:val="bottom"/>
          </w:tcPr>
          <w:p>
            <w:pPr>
              <w:spacing w:after="0"/>
              <w:rPr>
                <w:sz w:val="1"/>
                <w:szCs w:val="1"/>
                <w:color w:val="auto"/>
              </w:rPr>
            </w:pPr>
          </w:p>
        </w:tc>
      </w:tr>
      <w:tr>
        <w:trPr>
          <w:trHeight w:val="168"/>
        </w:trPr>
        <w:tc>
          <w:tcPr>
            <w:tcW w:w="46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74.9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74.9</w:t>
            </w:r>
          </w:p>
        </w:tc>
        <w:tc>
          <w:tcPr>
            <w:tcW w:w="0" w:type="dxa"/>
            <w:vAlign w:val="bottom"/>
          </w:tcPr>
          <w:p>
            <w:pPr>
              <w:spacing w:after="0"/>
              <w:rPr>
                <w:sz w:val="1"/>
                <w:szCs w:val="1"/>
                <w:color w:val="auto"/>
              </w:rPr>
            </w:pPr>
          </w:p>
        </w:tc>
      </w:tr>
      <w:tr>
        <w:trPr>
          <w:trHeight w:val="177"/>
        </w:trPr>
        <w:tc>
          <w:tcPr>
            <w:tcW w:w="4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68"/>
        </w:trPr>
        <w:tc>
          <w:tcPr>
            <w:tcW w:w="460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0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3"/>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60"/>
        </w:trPr>
        <w:tc>
          <w:tcPr>
            <w:tcW w:w="460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4"/>
        </w:trPr>
        <w:tc>
          <w:tcPr>
            <w:tcW w:w="460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(77.6)</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(77.6)</w:t>
            </w:r>
          </w:p>
        </w:tc>
        <w:tc>
          <w:tcPr>
            <w:tcW w:w="0" w:type="dxa"/>
            <w:vAlign w:val="bottom"/>
          </w:tcPr>
          <w:p>
            <w:pPr>
              <w:spacing w:after="0"/>
              <w:rPr>
                <w:sz w:val="1"/>
                <w:szCs w:val="1"/>
                <w:color w:val="auto"/>
              </w:rPr>
            </w:pPr>
          </w:p>
        </w:tc>
      </w:tr>
      <w:tr>
        <w:trPr>
          <w:trHeight w:val="16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2022</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1,035.4</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3,246.8</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(126.2)</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(2,253.0)</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1,903.5</w:t>
            </w:r>
          </w:p>
        </w:tc>
        <w:tc>
          <w:tcPr>
            <w:tcW w:w="0" w:type="dxa"/>
            <w:vAlign w:val="bottom"/>
          </w:tcPr>
          <w:p>
            <w:pPr>
              <w:spacing w:after="0"/>
              <w:rPr>
                <w:sz w:val="1"/>
                <w:szCs w:val="1"/>
                <w:color w:val="auto"/>
              </w:rPr>
            </w:pPr>
          </w:p>
        </w:tc>
      </w:tr>
      <w:tr>
        <w:trPr>
          <w:trHeight w:val="168"/>
        </w:trPr>
        <w:tc>
          <w:tcPr>
            <w:tcW w:w="46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83.2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83.2</w:t>
            </w:r>
          </w:p>
        </w:tc>
        <w:tc>
          <w:tcPr>
            <w:tcW w:w="0" w:type="dxa"/>
            <w:vAlign w:val="bottom"/>
          </w:tcPr>
          <w:p>
            <w:pPr>
              <w:spacing w:after="0"/>
              <w:rPr>
                <w:sz w:val="1"/>
                <w:szCs w:val="1"/>
                <w:color w:val="auto"/>
              </w:rPr>
            </w:pPr>
          </w:p>
        </w:tc>
      </w:tr>
      <w:tr>
        <w:trPr>
          <w:trHeight w:val="183"/>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0"/>
        </w:trPr>
        <w:tc>
          <w:tcPr>
            <w:tcW w:w="460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68"/>
        </w:trPr>
        <w:tc>
          <w:tcPr>
            <w:tcW w:w="460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77"/>
        </w:trPr>
        <w:tc>
          <w:tcPr>
            <w:tcW w:w="4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69"/>
        </w:trPr>
        <w:tc>
          <w:tcPr>
            <w:tcW w:w="460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(46.5)</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(46.5)</w:t>
            </w:r>
          </w:p>
        </w:tc>
        <w:tc>
          <w:tcPr>
            <w:tcW w:w="0" w:type="dxa"/>
            <w:vAlign w:val="bottom"/>
          </w:tcPr>
          <w:p>
            <w:pPr>
              <w:spacing w:after="0"/>
              <w:rPr>
                <w:sz w:val="1"/>
                <w:szCs w:val="1"/>
                <w:color w:val="auto"/>
              </w:rPr>
            </w:pPr>
          </w:p>
        </w:tc>
      </w:tr>
      <w:tr>
        <w:trPr>
          <w:trHeight w:val="175"/>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February 28, 2023</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1,047.1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3,325.8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(2,299.5)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1,947.6</w:t>
            </w:r>
          </w:p>
        </w:tc>
        <w:tc>
          <w:tcPr>
            <w:tcW w:w="0" w:type="dxa"/>
            <w:vAlign w:val="bottom"/>
          </w:tcPr>
          <w:p>
            <w:pPr>
              <w:spacing w:after="0"/>
              <w:rPr>
                <w:sz w:val="1"/>
                <w:szCs w:val="1"/>
                <w:color w:val="auto"/>
              </w:rPr>
            </w:pPr>
          </w:p>
        </w:tc>
      </w:tr>
      <w:tr>
        <w:trPr>
          <w:trHeight w:val="160"/>
        </w:trPr>
        <w:tc>
          <w:tcPr>
            <w:tcW w:w="46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105.0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105.0</w:t>
            </w: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68"/>
        </w:trPr>
        <w:tc>
          <w:tcPr>
            <w:tcW w:w="460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77"/>
        </w:trPr>
        <w:tc>
          <w:tcPr>
            <w:tcW w:w="4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68"/>
        </w:trPr>
        <w:tc>
          <w:tcPr>
            <w:tcW w:w="460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82"/>
        </w:trPr>
        <w:tc>
          <w:tcPr>
            <w:tcW w:w="4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Repurchases of common stock</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(94.7)</w:t>
            </w:r>
          </w:p>
        </w:tc>
        <w:tc>
          <w:tcPr>
            <w:tcW w:w="0" w:type="dxa"/>
            <w:vAlign w:val="bottom"/>
          </w:tcPr>
          <w:p>
            <w:pPr>
              <w:spacing w:after="0"/>
              <w:rPr>
                <w:sz w:val="1"/>
                <w:szCs w:val="1"/>
                <w:color w:val="auto"/>
              </w:rPr>
            </w:pPr>
          </w:p>
        </w:tc>
      </w:tr>
      <w:tr>
        <w:trPr>
          <w:trHeight w:val="183"/>
        </w:trPr>
        <w:tc>
          <w:tcPr>
            <w:tcW w:w="4600" w:type="dxa"/>
            <w:vAlign w:val="bottom"/>
          </w:tcPr>
          <w:p>
            <w:pPr>
              <w:ind w:left="20"/>
              <w:spacing w:after="0"/>
              <w:rPr>
                <w:sz w:val="20"/>
                <w:szCs w:val="20"/>
                <w:color w:val="auto"/>
              </w:rPr>
            </w:pPr>
            <w:r>
              <w:rPr>
                <w:rFonts w:ascii="Arial" w:cs="Arial" w:eastAsia="Arial" w:hAnsi="Arial"/>
                <w:sz w:val="13"/>
                <w:szCs w:val="13"/>
                <w:color w:val="auto"/>
              </w:rPr>
              <w:t>Balance, May 31, 2023</w:t>
            </w:r>
          </w:p>
        </w:tc>
        <w:tc>
          <w:tcPr>
            <w:tcW w:w="700" w:type="dxa"/>
            <w:vAlign w:val="bottom"/>
          </w:tcPr>
          <w:p>
            <w:pPr>
              <w:jc w:val="right"/>
              <w:spacing w:after="0"/>
              <w:rPr>
                <w:sz w:val="20"/>
                <w:szCs w:val="20"/>
                <w:color w:val="auto"/>
              </w:rPr>
            </w:pPr>
            <w:r>
              <w:rPr>
                <w:rFonts w:ascii="Arial" w:cs="Arial" w:eastAsia="Arial" w:hAnsi="Arial"/>
                <w:sz w:val="13"/>
                <w:szCs w:val="13"/>
                <w:color w:val="auto"/>
              </w:rPr>
              <w:t>31.4</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0.5</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1,056.9</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3,426.6</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(120.0)</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(2,394.2)</w:t>
            </w:r>
          </w:p>
        </w:tc>
        <w:tc>
          <w:tcPr>
            <w:tcW w:w="28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1,969.8</w:t>
            </w: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80"/>
        <w:spacing w:after="0"/>
        <w:rPr>
          <w:sz w:val="20"/>
          <w:szCs w:val="20"/>
          <w:color w:val="auto"/>
        </w:rPr>
      </w:pPr>
      <w:r>
        <w:rPr>
          <w:rFonts w:ascii="Arial" w:cs="Arial" w:eastAsia="Arial" w:hAnsi="Arial"/>
          <w:sz w:val="13"/>
          <w:szCs w:val="13"/>
          <w:b w:val="1"/>
          <w:bCs w:val="1"/>
          <w:color w:val="auto"/>
        </w:rPr>
        <w:t>Common Stock</w:t>
      </w:r>
    </w:p>
    <w:p>
      <w:pPr>
        <w:spacing w:after="0" w:line="2" w:lineRule="exact"/>
        <w:rPr>
          <w:sz w:val="20"/>
          <w:szCs w:val="20"/>
          <w:color w:val="auto"/>
        </w:rPr>
      </w:pPr>
    </w:p>
    <w:p>
      <w:pPr>
        <w:jc w:val="center"/>
        <w:ind w:right="480"/>
        <w:spacing w:after="0"/>
        <w:rPr>
          <w:sz w:val="20"/>
          <w:szCs w:val="20"/>
          <w:color w:val="auto"/>
        </w:rPr>
      </w:pPr>
      <w:r>
        <w:rPr>
          <w:rFonts w:ascii="Arial" w:cs="Arial" w:eastAsia="Arial" w:hAnsi="Arial"/>
          <w:sz w:val="13"/>
          <w:szCs w:val="13"/>
          <w:b w:val="1"/>
          <w:bCs w:val="1"/>
          <w:color w:val="auto"/>
        </w:rPr>
        <w:t>Outstanding</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8"/>
              </w:rPr>
              <w:t>Retained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jc w:val="center"/>
              <w:ind w:right="37"/>
              <w:spacing w:after="0" w:line="114" w:lineRule="exact"/>
              <w:rPr>
                <w:sz w:val="20"/>
                <w:szCs w:val="20"/>
                <w:color w:val="auto"/>
              </w:rPr>
            </w:pPr>
            <w:r>
              <w:rPr>
                <w:rFonts w:ascii="Arial" w:cs="Arial" w:eastAsia="Arial" w:hAnsi="Arial"/>
                <w:sz w:val="13"/>
                <w:szCs w:val="13"/>
                <w:b w:val="1"/>
                <w:bCs w:val="1"/>
                <w:color w:val="auto"/>
                <w:w w:val="96"/>
              </w:rPr>
              <w:t>Accumulated Other</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center"/>
              <w:ind w:right="37"/>
              <w:spacing w:after="0" w:line="114" w:lineRule="exact"/>
              <w:rPr>
                <w:sz w:val="20"/>
                <w:szCs w:val="20"/>
                <w:color w:val="auto"/>
              </w:rPr>
            </w:pPr>
            <w:r>
              <w:rPr>
                <w:rFonts w:ascii="Arial" w:cs="Arial" w:eastAsia="Arial" w:hAnsi="Arial"/>
                <w:sz w:val="13"/>
                <w:szCs w:val="13"/>
                <w:b w:val="1"/>
                <w:bCs w:val="1"/>
                <w:color w:val="auto"/>
                <w:w w:val="94"/>
              </w:rPr>
              <w:t>Treasury</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620" w:type="dxa"/>
            <w:vAlign w:val="bottom"/>
          </w:tcPr>
          <w:p>
            <w:pPr>
              <w:spacing w:after="0"/>
              <w:rPr>
                <w:sz w:val="11"/>
                <w:szCs w:val="11"/>
                <w:color w:val="auto"/>
              </w:rPr>
            </w:pP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ind w:right="17"/>
              <w:spacing w:after="0" w:line="130" w:lineRule="exact"/>
              <w:rPr>
                <w:sz w:val="20"/>
                <w:szCs w:val="20"/>
                <w:color w:val="auto"/>
              </w:rPr>
            </w:pPr>
            <w:r>
              <w:rPr>
                <w:rFonts w:ascii="Arial" w:cs="Arial" w:eastAsia="Arial" w:hAnsi="Arial"/>
                <w:sz w:val="13"/>
                <w:szCs w:val="13"/>
                <w:b w:val="1"/>
                <w:bCs w:val="1"/>
                <w:color w:val="auto"/>
                <w:w w:val="96"/>
              </w:rPr>
              <w:t>Comprehensive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37"/>
              <w:spacing w:after="0" w:line="130" w:lineRule="exact"/>
              <w:rPr>
                <w:sz w:val="20"/>
                <w:szCs w:val="20"/>
                <w:color w:val="auto"/>
              </w:rPr>
            </w:pPr>
            <w:r>
              <w:rPr>
                <w:rFonts w:ascii="Arial" w:cs="Arial" w:eastAsia="Arial" w:hAnsi="Arial"/>
                <w:sz w:val="13"/>
                <w:szCs w:val="13"/>
                <w:b w:val="1"/>
                <w:bCs w:val="1"/>
                <w:color w:val="auto"/>
                <w:w w:val="95"/>
              </w:rPr>
              <w:t>Stock, at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Earnings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8"/>
              </w:rPr>
              <w:t>Loss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cost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35.2</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995.6</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2,810.3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(98.2)</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(1,663.7)</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2,044.5</w:t>
            </w:r>
          </w:p>
        </w:tc>
        <w:tc>
          <w:tcPr>
            <w:tcW w:w="0" w:type="dxa"/>
            <w:vAlign w:val="bottom"/>
          </w:tcPr>
          <w:p>
            <w:pPr>
              <w:spacing w:after="0"/>
              <w:rPr>
                <w:sz w:val="1"/>
                <w:szCs w:val="1"/>
                <w:color w:val="auto"/>
              </w:rPr>
            </w:pPr>
          </w:p>
        </w:tc>
      </w:tr>
      <w:tr>
        <w:trPr>
          <w:trHeight w:val="168"/>
        </w:trPr>
        <w:tc>
          <w:tcPr>
            <w:tcW w:w="462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87.6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87.6</w:t>
            </w: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60"/>
        </w:trPr>
        <w:tc>
          <w:tcPr>
            <w:tcW w:w="462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0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9"/>
        </w:trPr>
        <w:tc>
          <w:tcPr>
            <w:tcW w:w="4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68"/>
        </w:trPr>
        <w:tc>
          <w:tcPr>
            <w:tcW w:w="462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77"/>
        </w:trPr>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69"/>
        </w:trPr>
        <w:tc>
          <w:tcPr>
            <w:tcW w:w="462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w:t>
            </w: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November 30, 2021</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1,004.6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2,893.2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(1,716.5)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2,072.9</w:t>
            </w:r>
          </w:p>
        </w:tc>
        <w:tc>
          <w:tcPr>
            <w:tcW w:w="0" w:type="dxa"/>
            <w:vAlign w:val="bottom"/>
          </w:tcPr>
          <w:p>
            <w:pPr>
              <w:spacing w:after="0"/>
              <w:rPr>
                <w:sz w:val="1"/>
                <w:szCs w:val="1"/>
                <w:color w:val="auto"/>
              </w:rPr>
            </w:pPr>
          </w:p>
        </w:tc>
      </w:tr>
      <w:tr>
        <w:trPr>
          <w:trHeight w:val="160"/>
        </w:trPr>
        <w:tc>
          <w:tcPr>
            <w:tcW w:w="462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75.3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75.3</w:t>
            </w:r>
          </w:p>
        </w:tc>
        <w:tc>
          <w:tcPr>
            <w:tcW w:w="0" w:type="dxa"/>
            <w:vAlign w:val="bottom"/>
          </w:tcPr>
          <w:p>
            <w:pPr>
              <w:spacing w:after="0"/>
              <w:rPr>
                <w:sz w:val="1"/>
                <w:szCs w:val="1"/>
                <w:color w:val="auto"/>
              </w:rPr>
            </w:pPr>
          </w:p>
        </w:tc>
      </w:tr>
      <w:tr>
        <w:trPr>
          <w:trHeight w:val="29"/>
        </w:trPr>
        <w:tc>
          <w:tcPr>
            <w:tcW w:w="4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68"/>
        </w:trPr>
        <w:tc>
          <w:tcPr>
            <w:tcW w:w="462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77"/>
        </w:trPr>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68"/>
        </w:trPr>
        <w:tc>
          <w:tcPr>
            <w:tcW w:w="462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90"/>
        </w:trPr>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9"/>
        </w:trPr>
        <w:tc>
          <w:tcPr>
            <w:tcW w:w="462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(56.3)</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(56.3)</w:t>
            </w: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February 28, 2022</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1,015.6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2,963.9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(1,772.8)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2,104.3</w:t>
            </w:r>
          </w:p>
        </w:tc>
        <w:tc>
          <w:tcPr>
            <w:tcW w:w="0" w:type="dxa"/>
            <w:vAlign w:val="bottom"/>
          </w:tcPr>
          <w:p>
            <w:pPr>
              <w:spacing w:after="0"/>
              <w:rPr>
                <w:sz w:val="1"/>
                <w:szCs w:val="1"/>
                <w:color w:val="auto"/>
              </w:rPr>
            </w:pPr>
          </w:p>
        </w:tc>
      </w:tr>
      <w:tr>
        <w:trPr>
          <w:trHeight w:val="160"/>
        </w:trPr>
        <w:tc>
          <w:tcPr>
            <w:tcW w:w="462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105.7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105.7</w:t>
            </w:r>
          </w:p>
        </w:tc>
        <w:tc>
          <w:tcPr>
            <w:tcW w:w="0" w:type="dxa"/>
            <w:vAlign w:val="bottom"/>
          </w:tcPr>
          <w:p>
            <w:pPr>
              <w:spacing w:after="0"/>
              <w:rPr>
                <w:sz w:val="1"/>
                <w:szCs w:val="1"/>
                <w:color w:val="auto"/>
              </w:rPr>
            </w:pPr>
          </w:p>
        </w:tc>
      </w:tr>
      <w:tr>
        <w:trPr>
          <w:trHeight w:val="29"/>
        </w:trPr>
        <w:tc>
          <w:tcPr>
            <w:tcW w:w="4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68"/>
        </w:trPr>
        <w:tc>
          <w:tcPr>
            <w:tcW w:w="462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77"/>
        </w:trPr>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68"/>
        </w:trPr>
        <w:tc>
          <w:tcPr>
            <w:tcW w:w="462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82"/>
        </w:trPr>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Repurchases of common stock</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(296.0)</w:t>
            </w:r>
          </w:p>
        </w:tc>
        <w:tc>
          <w:tcPr>
            <w:tcW w:w="0" w:type="dxa"/>
            <w:vAlign w:val="bottom"/>
          </w:tcPr>
          <w:p>
            <w:pPr>
              <w:spacing w:after="0"/>
              <w:rPr>
                <w:sz w:val="1"/>
                <w:szCs w:val="1"/>
                <w:color w:val="auto"/>
              </w:rPr>
            </w:pPr>
          </w:p>
        </w:tc>
      </w:tr>
      <w:tr>
        <w:trPr>
          <w:trHeight w:val="183"/>
        </w:trPr>
        <w:tc>
          <w:tcPr>
            <w:tcW w:w="4620" w:type="dxa"/>
            <w:vAlign w:val="bottom"/>
          </w:tcPr>
          <w:p>
            <w:pPr>
              <w:ind w:left="20"/>
              <w:spacing w:after="0"/>
              <w:rPr>
                <w:sz w:val="20"/>
                <w:szCs w:val="20"/>
                <w:color w:val="auto"/>
              </w:rPr>
            </w:pPr>
            <w:r>
              <w:rPr>
                <w:rFonts w:ascii="Arial" w:cs="Arial" w:eastAsia="Arial" w:hAnsi="Arial"/>
                <w:sz w:val="13"/>
                <w:szCs w:val="13"/>
                <w:color w:val="auto"/>
              </w:rPr>
              <w:t>Balance, May 31, 2022</w:t>
            </w:r>
          </w:p>
        </w:tc>
        <w:tc>
          <w:tcPr>
            <w:tcW w:w="700" w:type="dxa"/>
            <w:vAlign w:val="bottom"/>
          </w:tcPr>
          <w:p>
            <w:pPr>
              <w:jc w:val="right"/>
              <w:spacing w:after="0"/>
              <w:rPr>
                <w:sz w:val="20"/>
                <w:szCs w:val="20"/>
                <w:color w:val="auto"/>
              </w:rPr>
            </w:pPr>
            <w:r>
              <w:rPr>
                <w:rFonts w:ascii="Arial" w:cs="Arial" w:eastAsia="Arial" w:hAnsi="Arial"/>
                <w:sz w:val="13"/>
                <w:szCs w:val="13"/>
                <w:color w:val="auto"/>
              </w:rPr>
              <w:t>33.1</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0.5</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1,025.2</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3,065.2</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(103.5)</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(2,068.8)</w:t>
            </w: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1,918.6</w:t>
            </w:r>
          </w:p>
        </w:tc>
        <w:tc>
          <w:tcPr>
            <w:tcW w:w="0" w:type="dxa"/>
            <w:vAlign w:val="bottom"/>
          </w:tcPr>
          <w:p>
            <w:pPr>
              <w:spacing w:after="0"/>
              <w:rPr>
                <w:sz w:val="1"/>
                <w:szCs w:val="1"/>
                <w:color w:val="auto"/>
              </w:rPr>
            </w:pPr>
          </w:p>
        </w:tc>
      </w:tr>
      <w:tr>
        <w:trPr>
          <w:trHeight w:val="22"/>
        </w:trPr>
        <w:tc>
          <w:tcPr>
            <w:tcW w:w="4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Revenue Recognition</w:t>
      </w:r>
    </w:p>
    <w:p>
      <w:pPr>
        <w:spacing w:after="0" w:line="2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recognize revenue when we transfer control of goods and services to our customers. Revenue is measured as the amount of consideration we expect to receive in exchange for goods and services and is recognized net of allowances for rebates, sales incentives, product returns, and discounts to customers. We allocate the expected consideration to be collected to each distinct performance obligation identified in a sale based on its standalone selling price. Sales and use taxes collected on behalf of governmental authorities are excluded from revenues.</w:t>
      </w:r>
    </w:p>
    <w:p>
      <w:pPr>
        <w:spacing w:after="0" w:line="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details regarding revenue recognition are included within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our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Sheets </w:t>
      </w:r>
      <w:r>
        <w:rPr>
          <w:rFonts w:ascii="Arial" w:cs="Arial" w:eastAsia="Arial" w:hAnsi="Arial"/>
          <w:sz w:val="18"/>
          <w:szCs w:val="18"/>
          <w:color w:val="auto"/>
        </w:rPr>
        <w:t>at net realizable value. Further details regarding our method for developing our estimate of expected credit losses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contractual term of our receivables are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our Form 10-K.</w:t>
      </w:r>
    </w:p>
    <w:p>
      <w:pPr>
        <w:spacing w:after="0" w:line="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do not have any other significant contract assets. Contract liabilities arise when we receive cash or an unconditional right to collect cash prior to the transfer of control of goods or services.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consists of the following as of the periods presented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860" w:type="dxa"/>
            <w:vAlign w:val="bottom"/>
          </w:tcPr>
          <w:p>
            <w:pPr>
              <w:spacing w:after="0"/>
              <w:rPr>
                <w:sz w:val="19"/>
                <w:szCs w:val="19"/>
                <w:color w:val="auto"/>
              </w:rPr>
            </w:pP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May 31, 2023</w:t>
            </w: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August 31, 2022</w:t>
            </w:r>
          </w:p>
        </w:tc>
      </w:tr>
      <w:tr>
        <w:trPr>
          <w:trHeight w:val="210"/>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deferred revenues</w:t>
            </w:r>
          </w:p>
        </w:tc>
        <w:tc>
          <w:tcPr>
            <w:tcW w:w="1660" w:type="dxa"/>
            <w:vAlign w:val="bottom"/>
            <w:shd w:val="clear" w:color="auto" w:fill="CCEEFF"/>
          </w:tcPr>
          <w:p>
            <w:pPr>
              <w:jc w:val="right"/>
              <w:ind w:right="145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10"/>
        </w:trPr>
        <w:tc>
          <w:tcPr>
            <w:tcW w:w="6860" w:type="dxa"/>
            <w:vAlign w:val="bottom"/>
          </w:tcPr>
          <w:p>
            <w:pPr>
              <w:ind w:left="20"/>
              <w:spacing w:after="0"/>
              <w:rPr>
                <w:sz w:val="20"/>
                <w:szCs w:val="20"/>
                <w:color w:val="auto"/>
              </w:rPr>
            </w:pPr>
            <w:r>
              <w:rPr>
                <w:rFonts w:ascii="Arial" w:cs="Arial" w:eastAsia="Arial" w:hAnsi="Arial"/>
                <w:sz w:val="16"/>
                <w:szCs w:val="16"/>
                <w:color w:val="auto"/>
              </w:rPr>
              <w:t>Non-current deferred revenues</w:t>
            </w:r>
          </w:p>
        </w:tc>
        <w:tc>
          <w:tcPr>
            <w:tcW w:w="1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53.1</w:t>
            </w:r>
          </w:p>
        </w:tc>
      </w:tr>
    </w:tbl>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Current deferred revenues primarily consist of software licenses as well as professional service and service-type warranty fees collected prior to performing the related service and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These services are expected to be performed within one year. Revenue recognized from beginning balances of contract liabilities during the nine months ended May 31, 2023 totaled $9.0 million.</w:t>
      </w:r>
    </w:p>
    <w:p>
      <w:pPr>
        <w:spacing w:after="0" w:line="1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Non-current deferred revenues primarily consist of long-term service-type warranties, which are typically recognized ratably as revenue between five and ten years from the date of sale, and are included within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Unsatisfied performance obligations that do not represent contract liabilities are generally expected to be satisfied within one year from May 31, 2023 and consist primarily of orders for physical goods that have not yet been shipped.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ABL segment's lighting and lighting controls are sold primarily through independent sales agents who cover specific geographic areas and market channels, by internal sales representatives, through consumer retail channels, directly to large corporate accounts, and through other distribution methods, including directly to OEM customers. ISG sells predominantly to system integrators. The following table shows revenue from contracts with customers by sales channel and reconciles to our segment information for the periods presented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5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May 31, 2023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May 31, 2022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May 31, 2023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May 31, 2022</w:t>
            </w: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w:t>
            </w: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3"/>
        </w:trPr>
        <w:tc>
          <w:tcPr>
            <w:tcW w:w="3500" w:type="dxa"/>
            <w:vAlign w:val="bottom"/>
          </w:tcPr>
          <w:p>
            <w:pPr>
              <w:ind w:left="140"/>
              <w:spacing w:after="0"/>
              <w:rPr>
                <w:sz w:val="20"/>
                <w:szCs w:val="20"/>
                <w:color w:val="auto"/>
              </w:rPr>
            </w:pPr>
            <w:r>
              <w:rPr>
                <w:rFonts w:ascii="Arial" w:cs="Arial" w:eastAsia="Arial" w:hAnsi="Arial"/>
                <w:sz w:val="16"/>
                <w:szCs w:val="16"/>
                <w:color w:val="auto"/>
              </w:rPr>
              <w:t>Independent sales network</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686.0</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725.9</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1,995.0</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1,977.0</w:t>
            </w:r>
          </w:p>
        </w:tc>
      </w:tr>
      <w:tr>
        <w:trPr>
          <w:trHeight w:val="219"/>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 sales network</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w:t>
            </w:r>
          </w:p>
        </w:tc>
      </w:tr>
      <w:tr>
        <w:trPr>
          <w:trHeight w:val="213"/>
        </w:trPr>
        <w:tc>
          <w:tcPr>
            <w:tcW w:w="3500" w:type="dxa"/>
            <w:vAlign w:val="bottom"/>
          </w:tcPr>
          <w:p>
            <w:pPr>
              <w:ind w:left="140"/>
              <w:spacing w:after="0"/>
              <w:rPr>
                <w:sz w:val="20"/>
                <w:szCs w:val="20"/>
                <w:color w:val="auto"/>
              </w:rPr>
            </w:pPr>
            <w:r>
              <w:rPr>
                <w:rFonts w:ascii="Arial" w:cs="Arial" w:eastAsia="Arial" w:hAnsi="Arial"/>
                <w:sz w:val="16"/>
                <w:szCs w:val="16"/>
                <w:color w:val="auto"/>
              </w:rPr>
              <w:t>Retail sales</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44.7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148.3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134.3</w:t>
            </w:r>
          </w:p>
        </w:tc>
      </w:tr>
      <w:tr>
        <w:trPr>
          <w:trHeight w:val="219"/>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accounts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w:t>
            </w:r>
          </w:p>
        </w:tc>
      </w:tr>
      <w:tr>
        <w:trPr>
          <w:trHeight w:val="216"/>
        </w:trPr>
        <w:tc>
          <w:tcPr>
            <w:tcW w:w="3500" w:type="dxa"/>
            <w:vAlign w:val="bottom"/>
          </w:tcPr>
          <w:p>
            <w:pPr>
              <w:ind w:left="140"/>
              <w:spacing w:after="0"/>
              <w:rPr>
                <w:sz w:val="20"/>
                <w:szCs w:val="20"/>
                <w:color w:val="auto"/>
              </w:rPr>
            </w:pPr>
            <w:r>
              <w:rPr>
                <w:rFonts w:ascii="Arial" w:cs="Arial" w:eastAsia="Arial" w:hAnsi="Arial"/>
                <w:sz w:val="16"/>
                <w:szCs w:val="16"/>
                <w:color w:val="auto"/>
              </w:rPr>
              <w:t>OEM and other</w:t>
            </w: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224.8</w:t>
            </w: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ABL</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2,778.6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2,755.1</w:t>
            </w: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ISG</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154.7</w:t>
            </w:r>
          </w:p>
        </w:tc>
      </w:tr>
      <w:tr>
        <w:trPr>
          <w:trHeight w:val="219"/>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09"/>
        </w:trPr>
        <w:tc>
          <w:tcPr>
            <w:tcW w:w="3500" w:type="dxa"/>
            <w:vAlign w:val="bottom"/>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1,000.3</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1,060.6</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2,941.8</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2,895.8</w:t>
            </w:r>
          </w:p>
        </w:tc>
      </w:tr>
      <w:tr>
        <w:trPr>
          <w:trHeight w:val="21"/>
        </w:trPr>
        <w:tc>
          <w:tcPr>
            <w:tcW w:w="3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Share-based Payments</w:t>
      </w:r>
    </w:p>
    <w:p>
      <w:pPr>
        <w:spacing w:after="0" w:line="24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account for share-based payments through the measurement and recognition of compensation expense for share-based payment awards made to employees and directors over the related requisite service period, including restricted stock, performance stock units, and stock options (all part of our equity incentive plan), as well as stock units representing certain deferrals into our director deferred compensation plan or our supplemental deferred savings plan.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share-based payment expense for the periods presented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40" w:type="dxa"/>
            <w:vAlign w:val="bottom"/>
          </w:tcPr>
          <w:p>
            <w:pPr>
              <w:spacing w:after="0"/>
              <w:rPr>
                <w:sz w:val="19"/>
                <w:szCs w:val="19"/>
                <w:color w:val="auto"/>
              </w:rPr>
            </w:pPr>
          </w:p>
        </w:tc>
        <w:tc>
          <w:tcPr>
            <w:tcW w:w="362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3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2023</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2022</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May 31, 2023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May 31, 2022</w:t>
            </w:r>
          </w:p>
        </w:tc>
      </w:tr>
      <w:tr>
        <w:trPr>
          <w:trHeight w:val="20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payment expense</w:t>
            </w:r>
          </w:p>
        </w:tc>
        <w:tc>
          <w:tcPr>
            <w:tcW w:w="1520" w:type="dxa"/>
            <w:vAlign w:val="bottom"/>
            <w:shd w:val="clear" w:color="auto" w:fill="CCEEFF"/>
          </w:tcPr>
          <w:p>
            <w:pPr>
              <w:jc w:val="right"/>
              <w:ind w:right="133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680" w:type="dxa"/>
            <w:vAlign w:val="bottom"/>
            <w:gridSpan w:val="2"/>
            <w:shd w:val="clear" w:color="auto" w:fill="CCEEFF"/>
          </w:tcPr>
          <w:p>
            <w:pPr>
              <w:jc w:val="right"/>
              <w:ind w:right="13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recognized excess tax benefits of $1.7 million and $4.6 million related to share-based payment awards during the nine months ended May 31, 2023 and 2022, respectively.</w:t>
      </w:r>
    </w:p>
    <w:p>
      <w:pPr>
        <w:spacing w:after="0" w:line="8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details regarding our share-based payments are included within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within our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Pension Plans</w:t>
      </w:r>
    </w:p>
    <w:p>
      <w:pPr>
        <w:spacing w:after="0" w:line="24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several pension plans, both qualified and non-qualified, covering certain hourly and salaried employees. Benefits paid under these plans are based generally on employees’ years of service and/or compensation during the final years of employment. We make at least the minimum annual contributions to the plans to the extent indicated by actuarial valuations and statutory requirements. Plan assets are invested primarily in fixed income and equity securities.</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nature of the employee's services. All other components of net periodic pension cost are included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Net periodic pension cost included the following components before tax for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140" w:type="dxa"/>
            <w:vAlign w:val="bottom"/>
          </w:tcPr>
          <w:p>
            <w:pPr>
              <w:spacing w:after="0"/>
              <w:rPr>
                <w:sz w:val="19"/>
                <w:szCs w:val="19"/>
                <w:color w:val="auto"/>
              </w:rPr>
            </w:pPr>
          </w:p>
        </w:tc>
        <w:tc>
          <w:tcPr>
            <w:tcW w:w="358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4"/>
          </w:tcPr>
          <w:p>
            <w:pPr>
              <w:jc w:val="right"/>
              <w:ind w:right="115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31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2023</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2022</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May 31, 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May 31, 2022</w:t>
            </w:r>
          </w:p>
        </w:tc>
      </w:tr>
      <w:tr>
        <w:trPr>
          <w:trHeight w:val="210"/>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520" w:type="dxa"/>
            <w:vAlign w:val="bottom"/>
            <w:shd w:val="clear" w:color="auto" w:fill="CCEEFF"/>
          </w:tcPr>
          <w:p>
            <w:pPr>
              <w:jc w:val="right"/>
              <w:ind w:right="133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1.1</w:t>
            </w:r>
          </w:p>
        </w:tc>
        <w:tc>
          <w:tcPr>
            <w:tcW w:w="1640" w:type="dxa"/>
            <w:vAlign w:val="bottom"/>
            <w:gridSpan w:val="2"/>
            <w:shd w:val="clear" w:color="auto" w:fill="CCEEFF"/>
          </w:tcPr>
          <w:p>
            <w:pPr>
              <w:jc w:val="right"/>
              <w:ind w:right="13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center"/>
              <w:ind w:left="1219"/>
              <w:spacing w:after="0"/>
              <w:rPr>
                <w:sz w:val="20"/>
                <w:szCs w:val="20"/>
                <w:color w:val="auto"/>
              </w:rPr>
            </w:pPr>
            <w:r>
              <w:rPr>
                <w:rFonts w:ascii="Arial" w:cs="Arial" w:eastAsia="Arial" w:hAnsi="Arial"/>
                <w:sz w:val="16"/>
                <w:szCs w:val="16"/>
                <w:color w:val="auto"/>
              </w:rPr>
              <w:t>3.4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5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98"/>
              </w:rPr>
              <w:t>2.2</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98"/>
              </w:rPr>
              <w:t>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center"/>
              <w:ind w:left="121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152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center"/>
              <w:ind w:left="1199"/>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15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98"/>
              </w:rPr>
              <w:t>0.7</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98"/>
              </w:rPr>
              <w:t>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center"/>
              <w:ind w:left="12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Recognized actuarial loss</w:t>
            </w:r>
          </w:p>
        </w:tc>
        <w:tc>
          <w:tcPr>
            <w:tcW w:w="15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0.8</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0.8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center"/>
              <w:ind w:left="121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Net periodic pension cost</w:t>
            </w:r>
          </w:p>
        </w:tc>
        <w:tc>
          <w:tcPr>
            <w:tcW w:w="1520" w:type="dxa"/>
            <w:vAlign w:val="bottom"/>
          </w:tcPr>
          <w:p>
            <w:pPr>
              <w:jc w:val="right"/>
              <w:ind w:right="1339"/>
              <w:spacing w:after="0"/>
              <w:rPr>
                <w:sz w:val="20"/>
                <w:szCs w:val="20"/>
                <w:color w:val="auto"/>
              </w:rPr>
            </w:pPr>
            <w:r>
              <w:rPr>
                <w:rFonts w:ascii="Arial" w:cs="Arial" w:eastAsia="Arial" w:hAnsi="Arial"/>
                <w:sz w:val="16"/>
                <w:szCs w:val="16"/>
                <w:color w:val="auto"/>
                <w:w w:val="89"/>
              </w:rPr>
              <w:t>$</w:t>
            </w:r>
          </w:p>
        </w:tc>
        <w:tc>
          <w:tcPr>
            <w:tcW w:w="420" w:type="dxa"/>
            <w:vAlign w:val="bottom"/>
          </w:tcPr>
          <w:p>
            <w:pPr>
              <w:jc w:val="center"/>
              <w:spacing w:after="0"/>
              <w:rPr>
                <w:sz w:val="20"/>
                <w:szCs w:val="20"/>
                <w:color w:val="auto"/>
              </w:rPr>
            </w:pPr>
            <w:r>
              <w:rPr>
                <w:rFonts w:ascii="Arial" w:cs="Arial" w:eastAsia="Arial" w:hAnsi="Arial"/>
                <w:sz w:val="16"/>
                <w:szCs w:val="16"/>
                <w:color w:val="auto"/>
                <w:w w:val="98"/>
              </w:rPr>
              <w:t>2.5</w:t>
            </w:r>
          </w:p>
        </w:tc>
        <w:tc>
          <w:tcPr>
            <w:tcW w:w="1640" w:type="dxa"/>
            <w:vAlign w:val="bottom"/>
            <w:gridSpan w:val="2"/>
          </w:tcPr>
          <w:p>
            <w:pPr>
              <w:jc w:val="right"/>
              <w:ind w:right="1339"/>
              <w:spacing w:after="0"/>
              <w:rPr>
                <w:sz w:val="20"/>
                <w:szCs w:val="20"/>
                <w:color w:val="auto"/>
              </w:rPr>
            </w:pPr>
            <w:r>
              <w:rPr>
                <w:rFonts w:ascii="Arial" w:cs="Arial" w:eastAsia="Arial" w:hAnsi="Arial"/>
                <w:sz w:val="16"/>
                <w:szCs w:val="16"/>
                <w:color w:val="auto"/>
              </w:rPr>
              <w:t>$</w:t>
            </w:r>
          </w:p>
        </w:tc>
        <w:tc>
          <w:tcPr>
            <w:tcW w:w="420" w:type="dxa"/>
            <w:vAlign w:val="bottom"/>
          </w:tcPr>
          <w:p>
            <w:pPr>
              <w:jc w:val="center"/>
              <w:spacing w:after="0"/>
              <w:rPr>
                <w:sz w:val="20"/>
                <w:szCs w:val="20"/>
                <w:color w:val="auto"/>
              </w:rPr>
            </w:pPr>
            <w:r>
              <w:rPr>
                <w:rFonts w:ascii="Arial" w:cs="Arial" w:eastAsia="Arial" w:hAnsi="Arial"/>
                <w:sz w:val="16"/>
                <w:szCs w:val="16"/>
                <w:color w:val="auto"/>
                <w:w w:val="98"/>
              </w:rPr>
              <w:t>0.8</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60" w:type="dxa"/>
            <w:vAlign w:val="bottom"/>
          </w:tcPr>
          <w:p>
            <w:pPr>
              <w:jc w:val="center"/>
              <w:ind w:left="1219"/>
              <w:spacing w:after="0"/>
              <w:rPr>
                <w:sz w:val="20"/>
                <w:szCs w:val="20"/>
                <w:color w:val="auto"/>
              </w:rPr>
            </w:pPr>
            <w:r>
              <w:rPr>
                <w:rFonts w:ascii="Arial" w:cs="Arial" w:eastAsia="Arial" w:hAnsi="Arial"/>
                <w:sz w:val="16"/>
                <w:szCs w:val="16"/>
                <w:color w:val="auto"/>
              </w:rPr>
              <w:t>7.3</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0"/>
        </w:trPr>
        <w:tc>
          <w:tcPr>
            <w:tcW w:w="31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details regarding our pension plans are included within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Special Charges</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During the first quarter of fiscal 2023, we recognized $6.9 million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w:t>
      </w:r>
      <w:r>
        <w:rPr>
          <w:rFonts w:ascii="Arial" w:cs="Arial" w:eastAsia="Arial" w:hAnsi="Arial"/>
          <w:sz w:val="18"/>
          <w:szCs w:val="18"/>
          <w:color w:val="auto"/>
        </w:rPr>
        <w:t>primarily for impairments of operating lease right-of-use assets for $4.3 million associated with our previously owned Sunoptics</w:t>
      </w:r>
      <w:r>
        <w:rPr>
          <w:rFonts w:ascii="Arial" w:cs="Arial" w:eastAsia="Arial" w:hAnsi="Arial"/>
          <w:sz w:val="18"/>
          <w:szCs w:val="18"/>
          <w:i w:val="1"/>
          <w:iCs w:val="1"/>
          <w:color w:val="auto"/>
        </w:rPr>
        <w:t xml:space="preserve"> </w:t>
      </w:r>
      <w:r>
        <w:rPr>
          <w:rFonts w:ascii="Arial" w:cs="Arial" w:eastAsia="Arial" w:hAnsi="Arial"/>
          <w:sz w:val="18"/>
          <w:szCs w:val="18"/>
          <w:color w:val="auto"/>
        </w:rPr>
        <w:t>prismatic skylights business that were not transferred in connection with the sale. We additionally recognized associate severance and other costs totaling $2.6 million primarily in connection with the Sunoptics divestiture.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We recognized no special charges during the second or third quarter of fiscal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Per Share</w:t>
      </w:r>
    </w:p>
    <w:p>
      <w:pPr>
        <w:spacing w:after="0" w:line="2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earnings per share is computed by dividing net earnings available to common stockholders by the weighted average number of common shares outstanding. Diluted earnings per share is computed similarly but reflects the potential dilution that would occur if dilutive options were exercised, all unvested share-based payment awards were vested, and other distributions related to deferred stock agreements were incurred. Common stock equivalents are calculated using the treasury stock method. The dilutive effects of share-based payment awards subject to market and/or performance conditions that were not met during the period are excluded from the computation of diluted earnings per share.</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for the periods presented (in millions,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4"/>
          </w:tcPr>
          <w:p>
            <w:pPr>
              <w:jc w:val="right"/>
              <w:ind w:right="108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4"/>
          </w:tcPr>
          <w:p>
            <w:pPr>
              <w:jc w:val="right"/>
              <w:ind w:right="112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36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May 31, 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May 31, 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May 31, 2023</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May 31, 2022</w:t>
            </w: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3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105.7</w:t>
            </w:r>
          </w:p>
        </w:tc>
        <w:tc>
          <w:tcPr>
            <w:tcW w:w="3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263.1</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268.6</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680" w:type="dxa"/>
            <w:vAlign w:val="bottom"/>
          </w:tcPr>
          <w:p>
            <w:pPr>
              <w:ind w:left="20"/>
              <w:spacing w:after="0"/>
              <w:rPr>
                <w:sz w:val="20"/>
                <w:szCs w:val="20"/>
                <w:color w:val="auto"/>
              </w:rPr>
            </w:pPr>
            <w:r>
              <w:rPr>
                <w:rFonts w:ascii="Arial" w:cs="Arial" w:eastAsia="Arial" w:hAnsi="Arial"/>
                <w:sz w:val="14"/>
                <w:szCs w:val="14"/>
                <w:color w:val="auto"/>
              </w:rPr>
              <w:t>Basic weighted average shares outstanding</w:t>
            </w: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31.682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34.079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32.006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34.659</w:t>
            </w: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equivalents</w:t>
            </w:r>
          </w:p>
        </w:tc>
        <w:tc>
          <w:tcPr>
            <w:tcW w:w="2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0.329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0.361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0.354</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0.408</w:t>
            </w:r>
          </w:p>
        </w:tc>
        <w:tc>
          <w:tcPr>
            <w:tcW w:w="0" w:type="dxa"/>
            <w:vAlign w:val="bottom"/>
          </w:tcPr>
          <w:p>
            <w:pPr>
              <w:spacing w:after="0"/>
              <w:rPr>
                <w:sz w:val="1"/>
                <w:szCs w:val="1"/>
                <w:color w:val="auto"/>
              </w:rPr>
            </w:pPr>
          </w:p>
        </w:tc>
      </w:tr>
      <w:tr>
        <w:trPr>
          <w:trHeight w:val="189"/>
        </w:trPr>
        <w:tc>
          <w:tcPr>
            <w:tcW w:w="3680" w:type="dxa"/>
            <w:vAlign w:val="bottom"/>
          </w:tcPr>
          <w:p>
            <w:pPr>
              <w:ind w:left="20"/>
              <w:spacing w:after="0"/>
              <w:rPr>
                <w:sz w:val="20"/>
                <w:szCs w:val="20"/>
                <w:color w:val="auto"/>
              </w:rPr>
            </w:pPr>
            <w:r>
              <w:rPr>
                <w:rFonts w:ascii="Arial" w:cs="Arial" w:eastAsia="Arial" w:hAnsi="Arial"/>
                <w:sz w:val="14"/>
                <w:szCs w:val="14"/>
                <w:color w:val="auto"/>
              </w:rPr>
              <w:t>Diluted weighted average shares outstanding</w:t>
            </w: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32.011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34.440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32.360</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35.067</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4"/>
                <w:szCs w:val="14"/>
                <w:color w:val="auto"/>
              </w:rPr>
              <w:t>Basic earnings per share</w:t>
            </w:r>
            <w:r>
              <w:rPr>
                <w:rFonts w:ascii="Arial" w:cs="Arial" w:eastAsia="Arial" w:hAnsi="Arial"/>
                <w:sz w:val="18"/>
                <w:szCs w:val="18"/>
                <w:color w:val="auto"/>
                <w:vertAlign w:val="superscript"/>
              </w:rPr>
              <w:t>(1)</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80" w:type="dxa"/>
            <w:vAlign w:val="bottom"/>
          </w:tcPr>
          <w:p>
            <w:pPr>
              <w:ind w:left="20"/>
              <w:spacing w:after="0" w:line="176" w:lineRule="exact"/>
              <w:rPr>
                <w:sz w:val="20"/>
                <w:szCs w:val="20"/>
                <w:color w:val="auto"/>
              </w:rPr>
            </w:pPr>
            <w:r>
              <w:rPr>
                <w:rFonts w:ascii="Arial" w:cs="Arial" w:eastAsia="Arial" w:hAnsi="Arial"/>
                <w:sz w:val="14"/>
                <w:szCs w:val="14"/>
                <w:color w:val="auto"/>
              </w:rPr>
              <w:t>Diluted earnings per share</w:t>
            </w:r>
            <w:r>
              <w:rPr>
                <w:rFonts w:ascii="Arial" w:cs="Arial" w:eastAsia="Arial" w:hAnsi="Arial"/>
                <w:sz w:val="18"/>
                <w:szCs w:val="18"/>
                <w:color w:val="auto"/>
                <w:vertAlign w:val="superscript"/>
              </w:rPr>
              <w:t>(1)</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3.28</w:t>
            </w:r>
          </w:p>
        </w:tc>
        <w:tc>
          <w:tcPr>
            <w:tcW w:w="3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3.07</w:t>
            </w:r>
          </w:p>
        </w:tc>
        <w:tc>
          <w:tcPr>
            <w:tcW w:w="3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8.13</w:t>
            </w:r>
          </w:p>
        </w:tc>
        <w:tc>
          <w:tcPr>
            <w:tcW w:w="4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36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Earnings per share is calculated using unrounded numbers. Amounts in the table may not recalculate exactly due to rounding.</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table presents stock options, performance stock awards, and restricted stock awards that were excluded from the diluted earnings per share calculation for the periods presented as the effect of inclusion would have been antidilutive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840" w:type="dxa"/>
            <w:vAlign w:val="bottom"/>
          </w:tcPr>
          <w:p>
            <w:pPr>
              <w:spacing w:after="0"/>
              <w:rPr>
                <w:sz w:val="19"/>
                <w:szCs w:val="19"/>
                <w:color w:val="auto"/>
              </w:rPr>
            </w:pPr>
          </w:p>
        </w:tc>
        <w:tc>
          <w:tcPr>
            <w:tcW w:w="3800" w:type="dxa"/>
            <w:vAlign w:val="bottom"/>
            <w:tcBorders>
              <w:bottom w:val="single" w:sz="8" w:color="auto"/>
            </w:tcBorders>
            <w:gridSpan w:val="4"/>
          </w:tcPr>
          <w:p>
            <w:pPr>
              <w:ind w:left="1360"/>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0" w:type="dxa"/>
            <w:vAlign w:val="bottom"/>
            <w:tcBorders>
              <w:bottom w:val="single" w:sz="8" w:color="auto"/>
            </w:tcBorders>
            <w:gridSpan w:val="4"/>
          </w:tcPr>
          <w:p>
            <w:pPr>
              <w:ind w:left="1220"/>
              <w:spacing w:after="0"/>
              <w:rPr>
                <w:sz w:val="20"/>
                <w:szCs w:val="20"/>
                <w:color w:val="auto"/>
              </w:rPr>
            </w:pPr>
            <w:r>
              <w:rPr>
                <w:rFonts w:ascii="Arial" w:cs="Arial" w:eastAsia="Arial" w:hAnsi="Arial"/>
                <w:sz w:val="16"/>
                <w:szCs w:val="16"/>
                <w:b w:val="1"/>
                <w:bCs w:val="1"/>
                <w:color w:val="auto"/>
              </w:rPr>
              <w:t>Nine Months Ended</w:t>
            </w:r>
          </w:p>
        </w:tc>
        <w:tc>
          <w:tcPr>
            <w:tcW w:w="360" w:type="dxa"/>
            <w:vAlign w:val="bottom"/>
            <w:tcBorders>
              <w:bottom w:val="single" w:sz="8" w:color="auto"/>
            </w:tcBorders>
          </w:tcPr>
          <w:p>
            <w:pPr>
              <w:spacing w:after="0"/>
              <w:rPr>
                <w:sz w:val="19"/>
                <w:szCs w:val="19"/>
                <w:color w:val="auto"/>
              </w:rPr>
            </w:pPr>
          </w:p>
        </w:tc>
      </w:tr>
      <w:tr>
        <w:trPr>
          <w:trHeight w:val="210"/>
        </w:trPr>
        <w:tc>
          <w:tcPr>
            <w:tcW w:w="2840" w:type="dxa"/>
            <w:vAlign w:val="bottom"/>
          </w:tcPr>
          <w:p>
            <w:pPr>
              <w:spacing w:after="0"/>
              <w:rPr>
                <w:sz w:val="18"/>
                <w:szCs w:val="18"/>
                <w:color w:val="auto"/>
              </w:rPr>
            </w:pPr>
          </w:p>
        </w:tc>
        <w:tc>
          <w:tcPr>
            <w:tcW w:w="160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May 31, 2023</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May 31, 2022</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May 31, 2023</w:t>
            </w:r>
          </w:p>
        </w:tc>
        <w:tc>
          <w:tcPr>
            <w:tcW w:w="3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May 31, 2022</w:t>
            </w:r>
          </w:p>
        </w:tc>
        <w:tc>
          <w:tcPr>
            <w:tcW w:w="360" w:type="dxa"/>
            <w:vAlign w:val="bottom"/>
            <w:tcBorders>
              <w:bottom w:val="single" w:sz="8" w:color="auto"/>
            </w:tcBorders>
          </w:tcPr>
          <w:p>
            <w:pPr>
              <w:spacing w:after="0"/>
              <w:rPr>
                <w:sz w:val="18"/>
                <w:szCs w:val="18"/>
                <w:color w:val="auto"/>
              </w:rPr>
            </w:pPr>
          </w:p>
        </w:tc>
      </w:tr>
      <w:tr>
        <w:trPr>
          <w:trHeight w:val="21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5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98"/>
              </w:rPr>
              <w:t>0.1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8"/>
              </w:rPr>
              <w:t>0.1</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Performance stock awards</w:t>
            </w:r>
          </w:p>
        </w:tc>
        <w:tc>
          <w:tcPr>
            <w:tcW w:w="2200" w:type="dxa"/>
            <w:vAlign w:val="bottom"/>
            <w:gridSpan w:val="3"/>
          </w:tcPr>
          <w:p>
            <w:pPr>
              <w:jc w:val="right"/>
              <w:ind w:right="1879"/>
              <w:spacing w:after="0"/>
              <w:rPr>
                <w:sz w:val="20"/>
                <w:szCs w:val="20"/>
                <w:color w:val="auto"/>
              </w:rPr>
            </w:pPr>
            <w:r>
              <w:rPr>
                <w:rFonts w:ascii="Arial" w:cs="Arial" w:eastAsia="Arial" w:hAnsi="Arial"/>
                <w:sz w:val="16"/>
                <w:szCs w:val="16"/>
                <w:color w:val="auto"/>
              </w:rPr>
              <w:t>—</w:t>
            </w:r>
          </w:p>
        </w:tc>
        <w:tc>
          <w:tcPr>
            <w:tcW w:w="2100" w:type="dxa"/>
            <w:vAlign w:val="bottom"/>
            <w:gridSpan w:val="3"/>
          </w:tcPr>
          <w:p>
            <w:pPr>
              <w:jc w:val="right"/>
              <w:ind w:right="1779"/>
              <w:spacing w:after="0"/>
              <w:rPr>
                <w:sz w:val="20"/>
                <w:szCs w:val="20"/>
                <w:color w:val="auto"/>
              </w:rPr>
            </w:pPr>
            <w:r>
              <w:rPr>
                <w:rFonts w:ascii="Arial" w:cs="Arial" w:eastAsia="Arial" w:hAnsi="Arial"/>
                <w:sz w:val="16"/>
                <w:szCs w:val="16"/>
                <w:color w:val="auto"/>
              </w:rPr>
              <w:t>—</w:t>
            </w:r>
          </w:p>
        </w:tc>
        <w:tc>
          <w:tcPr>
            <w:tcW w:w="2140" w:type="dxa"/>
            <w:vAlign w:val="bottom"/>
            <w:gridSpan w:val="3"/>
          </w:tcPr>
          <w:p>
            <w:pPr>
              <w:ind w:left="120"/>
              <w:spacing w:after="0"/>
              <w:rPr>
                <w:sz w:val="20"/>
                <w:szCs w:val="20"/>
                <w:color w:val="auto"/>
              </w:rPr>
            </w:pPr>
            <w:r>
              <w:rPr>
                <w:rFonts w:ascii="Arial" w:cs="Arial" w:eastAsia="Arial" w:hAnsi="Arial"/>
                <w:sz w:val="16"/>
                <w:szCs w:val="16"/>
                <w:color w:val="auto"/>
              </w:rPr>
              <w:t>— *</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Restricted stock awards</w:t>
            </w:r>
          </w:p>
        </w:tc>
        <w:tc>
          <w:tcPr>
            <w:tcW w:w="5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98"/>
              </w:rPr>
              <w:t>0.1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8"/>
              </w:rPr>
              <w:t>0.1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 Represents shares of less than 0.1 million.</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discussion of our share-based payment awards is included within the </w:t>
      </w:r>
      <w:r>
        <w:rPr>
          <w:rFonts w:ascii="Arial" w:cs="Arial" w:eastAsia="Arial" w:hAnsi="Arial"/>
          <w:sz w:val="18"/>
          <w:szCs w:val="18"/>
          <w:i w:val="1"/>
          <w:iCs w:val="1"/>
          <w:color w:val="auto"/>
        </w:rPr>
        <w:t>Common Stock and Related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Comprehensive Income</w:t>
      </w:r>
    </w:p>
    <w:p>
      <w:pPr>
        <w:spacing w:after="0" w:line="2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Comprehensive income represents a measure of all changes in equity that result from recognized transactions and other economic events other than transactions with owners in their capacity as owners. Comprehensive income includes our net income as well as other comprehensive income (loss) items, which are comprised of foreign currency translation and pension adjustments.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table presents the changes in each component of accumulated other comprehensive income (loss) net of tax during the periods presented (in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Foreign Currency</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201"/>
        </w:trPr>
        <w:tc>
          <w:tcPr>
            <w:tcW w:w="60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Items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83"/>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August 31, 2022</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w:t>
            </w:r>
          </w:p>
        </w:tc>
        <w:tc>
          <w:tcPr>
            <w:tcW w:w="0" w:type="dxa"/>
            <w:vAlign w:val="bottom"/>
          </w:tcPr>
          <w:p>
            <w:pPr>
              <w:spacing w:after="0"/>
              <w:rPr>
                <w:sz w:val="1"/>
                <w:szCs w:val="1"/>
                <w:color w:val="auto"/>
              </w:rPr>
            </w:pPr>
          </w:p>
        </w:tc>
      </w:tr>
      <w:tr>
        <w:trPr>
          <w:trHeight w:val="197"/>
        </w:trPr>
        <w:tc>
          <w:tcPr>
            <w:tcW w:w="6060" w:type="dxa"/>
            <w:vAlign w:val="bottom"/>
          </w:tcPr>
          <w:p>
            <w:pPr>
              <w:ind w:left="20"/>
              <w:spacing w:after="0"/>
              <w:rPr>
                <w:sz w:val="20"/>
                <w:szCs w:val="20"/>
                <w:color w:val="auto"/>
              </w:rPr>
            </w:pPr>
            <w:r>
              <w:rPr>
                <w:rFonts w:ascii="Arial" w:cs="Arial" w:eastAsia="Arial" w:hAnsi="Arial"/>
                <w:sz w:val="14"/>
                <w:szCs w:val="14"/>
                <w:color w:val="auto"/>
              </w:rPr>
              <w:t>Other comprehensive income before reclassifications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8"/>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income </w:t>
            </w:r>
            <w:r>
              <w:rPr>
                <w:rFonts w:ascii="Arial" w:cs="Arial" w:eastAsia="Arial" w:hAnsi="Arial"/>
                <w:sz w:val="18"/>
                <w:szCs w:val="18"/>
                <w:color w:val="auto"/>
                <w:vertAlign w:val="superscript"/>
              </w:rPr>
              <w:t>(1)</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3"/>
        </w:trPr>
        <w:tc>
          <w:tcPr>
            <w:tcW w:w="6060" w:type="dxa"/>
            <w:vAlign w:val="bottom"/>
          </w:tcPr>
          <w:p>
            <w:pPr>
              <w:ind w:left="20"/>
              <w:spacing w:after="0"/>
              <w:rPr>
                <w:sz w:val="20"/>
                <w:szCs w:val="20"/>
                <w:color w:val="auto"/>
              </w:rPr>
            </w:pPr>
            <w:r>
              <w:rPr>
                <w:rFonts w:ascii="Arial" w:cs="Arial" w:eastAsia="Arial" w:hAnsi="Arial"/>
                <w:sz w:val="14"/>
                <w:szCs w:val="14"/>
                <w:color w:val="auto"/>
              </w:rPr>
              <w:t>Net current period other comprehensive income</w:t>
            </w: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May 31, 2023</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Foreign Currency</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ind w:right="8"/>
              <w:spacing w:after="0" w:line="148"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89"/>
        </w:trPr>
        <w:tc>
          <w:tcPr>
            <w:tcW w:w="60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Items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August 31, 2021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89"/>
        </w:trPr>
        <w:tc>
          <w:tcPr>
            <w:tcW w:w="606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income </w:t>
            </w:r>
            <w:r>
              <w:rPr>
                <w:rFonts w:ascii="Arial" w:cs="Arial" w:eastAsia="Arial" w:hAnsi="Arial"/>
                <w:sz w:val="9"/>
                <w:szCs w:val="9"/>
                <w:color w:val="auto"/>
              </w:rPr>
              <w:t>(1)</w:t>
            </w: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9"/>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(loss) income</w:t>
            </w: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May 31, 2022</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36"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 xml:space="preserve">The before tax amounts of the defined benefit pension plan items are included in net periodic pension cost. See the </w:t>
      </w:r>
      <w:r>
        <w:rPr>
          <w:rFonts w:ascii="Arial" w:cs="Arial" w:eastAsia="Arial" w:hAnsi="Arial"/>
          <w:sz w:val="13"/>
          <w:szCs w:val="13"/>
          <w:i w:val="1"/>
          <w:iCs w:val="1"/>
          <w:color w:val="auto"/>
        </w:rPr>
        <w:t>Pension and Defined Contribution Plans</w:t>
      </w:r>
      <w:r>
        <w:rPr>
          <w:rFonts w:ascii="Arial" w:cs="Arial" w:eastAsia="Arial" w:hAnsi="Arial"/>
          <w:sz w:val="13"/>
          <w:szCs w:val="13"/>
          <w:color w:val="auto"/>
        </w:rPr>
        <w:t xml:space="preserve"> footnote for additional details.</w:t>
      </w:r>
    </w:p>
    <w:p>
      <w:pPr>
        <w:spacing w:after="0" w:line="125" w:lineRule="exact"/>
        <w:rPr>
          <w:sz w:val="20"/>
          <w:szCs w:val="20"/>
          <w:color w:val="auto"/>
        </w:rPr>
      </w:pPr>
    </w:p>
    <w:p>
      <w:pPr>
        <w:ind w:right="640"/>
        <w:spacing w:after="0" w:line="273" w:lineRule="auto"/>
        <w:rPr>
          <w:sz w:val="20"/>
          <w:szCs w:val="20"/>
          <w:color w:val="auto"/>
        </w:rPr>
      </w:pPr>
      <w:r>
        <w:rPr>
          <w:rFonts w:ascii="Arial" w:cs="Arial" w:eastAsia="Arial" w:hAnsi="Arial"/>
          <w:sz w:val="18"/>
          <w:szCs w:val="18"/>
          <w:color w:val="auto"/>
        </w:rPr>
        <w:t>The following table summarizes the tax expense or benefit allocated to each component of other comprehensive income (loss) for the periods presented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center"/>
              <w:ind w:right="6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May 31, 2023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May 31, 2022</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w w:val="99"/>
              </w:rPr>
              <w:t>Tax</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Net of Tax</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8"/>
              <w:spacing w:after="0" w:line="143"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8"/>
              <w:spacing w:after="0" w:line="148" w:lineRule="exact"/>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8"/>
              <w:spacing w:after="0" w:line="148"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6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48"/>
              <w:spacing w:after="0"/>
              <w:rPr>
                <w:sz w:val="20"/>
                <w:szCs w:val="20"/>
                <w:color w:val="auto"/>
              </w:rPr>
            </w:pPr>
            <w:r>
              <w:rPr>
                <w:rFonts w:ascii="Arial" w:cs="Arial" w:eastAsia="Arial" w:hAnsi="Arial"/>
                <w:sz w:val="14"/>
                <w:szCs w:val="14"/>
                <w:color w:val="auto"/>
              </w:rPr>
              <w:t>(1.8)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28"/>
              <w:spacing w:after="0"/>
              <w:rPr>
                <w:sz w:val="20"/>
                <w:szCs w:val="20"/>
                <w:color w:val="auto"/>
              </w:rPr>
            </w:pPr>
            <w:r>
              <w:rPr>
                <w:rFonts w:ascii="Arial" w:cs="Arial" w:eastAsia="Arial" w:hAnsi="Arial"/>
                <w:sz w:val="14"/>
                <w:szCs w:val="14"/>
                <w:color w:val="auto"/>
                <w:w w:val="97"/>
              </w:rPr>
              <w:t>(1.8)</w:t>
            </w:r>
          </w:p>
        </w:tc>
        <w:tc>
          <w:tcPr>
            <w:tcW w:w="0" w:type="dxa"/>
            <w:vAlign w:val="bottom"/>
          </w:tcPr>
          <w:p>
            <w:pPr>
              <w:spacing w:after="0"/>
              <w:rPr>
                <w:sz w:val="1"/>
                <w:szCs w:val="1"/>
                <w:color w:val="auto"/>
              </w:rPr>
            </w:pPr>
          </w:p>
        </w:tc>
      </w:tr>
      <w:tr>
        <w:trPr>
          <w:trHeight w:val="189"/>
        </w:trPr>
        <w:tc>
          <w:tcPr>
            <w:tcW w:w="4660" w:type="dxa"/>
            <w:vAlign w:val="bottom"/>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defined benefit pension items: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60" w:type="dxa"/>
            <w:vAlign w:val="bottom"/>
          </w:tcPr>
          <w:p>
            <w:pPr>
              <w:ind w:left="480"/>
              <w:spacing w:after="0"/>
              <w:rPr>
                <w:sz w:val="20"/>
                <w:szCs w:val="20"/>
                <w:color w:val="auto"/>
              </w:rPr>
            </w:pPr>
            <w:r>
              <w:rPr>
                <w:rFonts w:ascii="Arial" w:cs="Arial" w:eastAsia="Arial" w:hAnsi="Arial"/>
                <w:sz w:val="14"/>
                <w:szCs w:val="14"/>
                <w:color w:val="auto"/>
              </w:rPr>
              <w:t>Prior service cost</w:t>
            </w: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left="46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left="42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5"/>
        </w:trPr>
        <w:tc>
          <w:tcPr>
            <w:tcW w:w="46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Actuarial losses</w:t>
            </w: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center"/>
              <w:ind w:left="46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center"/>
              <w:ind w:left="42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3"/>
        </w:trPr>
        <w:tc>
          <w:tcPr>
            <w:tcW w:w="4660" w:type="dxa"/>
            <w:vAlign w:val="bottom"/>
          </w:tcPr>
          <w:p>
            <w:pPr>
              <w:ind w:left="220"/>
              <w:spacing w:after="0"/>
              <w:rPr>
                <w:sz w:val="20"/>
                <w:szCs w:val="20"/>
                <w:color w:val="auto"/>
              </w:rPr>
            </w:pPr>
            <w:r>
              <w:rPr>
                <w:rFonts w:ascii="Arial" w:cs="Arial" w:eastAsia="Arial" w:hAnsi="Arial"/>
                <w:sz w:val="14"/>
                <w:szCs w:val="14"/>
                <w:color w:val="auto"/>
              </w:rPr>
              <w:t>Total defined benefit pension plans, net</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center"/>
              <w:ind w:left="44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center"/>
              <w:ind w:left="428"/>
              <w:spacing w:after="0"/>
              <w:rPr>
                <w:sz w:val="20"/>
                <w:szCs w:val="20"/>
                <w:color w:val="auto"/>
              </w:rPr>
            </w:pPr>
            <w:r>
              <w:rPr>
                <w:rFonts w:ascii="Arial" w:cs="Arial" w:eastAsia="Arial" w:hAnsi="Arial"/>
                <w:sz w:val="14"/>
                <w:szCs w:val="14"/>
                <w:color w:val="auto"/>
                <w:w w:val="97"/>
              </w:rPr>
              <w:t>(0.6)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center"/>
              <w:ind w:right="68"/>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May 31, 2023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May 31, 2022</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w w:val="99"/>
              </w:rPr>
              <w:t>Tax</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Net of Tax</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8"/>
              <w:spacing w:after="0" w:line="143"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8"/>
              <w:spacing w:after="0" w:line="148" w:lineRule="exact"/>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8"/>
              <w:spacing w:after="0" w:line="148"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6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48"/>
              <w:spacing w:after="0"/>
              <w:rPr>
                <w:sz w:val="20"/>
                <w:szCs w:val="20"/>
                <w:color w:val="auto"/>
              </w:rPr>
            </w:pPr>
            <w:r>
              <w:rPr>
                <w:rFonts w:ascii="Arial" w:cs="Arial" w:eastAsia="Arial" w:hAnsi="Arial"/>
                <w:sz w:val="14"/>
                <w:szCs w:val="14"/>
                <w:color w:val="auto"/>
              </w:rPr>
              <w:t>(8.9)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28"/>
              <w:spacing w:after="0"/>
              <w:rPr>
                <w:sz w:val="20"/>
                <w:szCs w:val="20"/>
                <w:color w:val="auto"/>
              </w:rPr>
            </w:pPr>
            <w:r>
              <w:rPr>
                <w:rFonts w:ascii="Arial" w:cs="Arial" w:eastAsia="Arial" w:hAnsi="Arial"/>
                <w:sz w:val="14"/>
                <w:szCs w:val="14"/>
                <w:color w:val="auto"/>
                <w:w w:val="97"/>
              </w:rPr>
              <w:t>(8.9)</w:t>
            </w:r>
          </w:p>
        </w:tc>
        <w:tc>
          <w:tcPr>
            <w:tcW w:w="0" w:type="dxa"/>
            <w:vAlign w:val="bottom"/>
          </w:tcPr>
          <w:p>
            <w:pPr>
              <w:spacing w:after="0"/>
              <w:rPr>
                <w:sz w:val="1"/>
                <w:szCs w:val="1"/>
                <w:color w:val="auto"/>
              </w:rPr>
            </w:pPr>
          </w:p>
        </w:tc>
      </w:tr>
      <w:tr>
        <w:trPr>
          <w:trHeight w:val="189"/>
        </w:trPr>
        <w:tc>
          <w:tcPr>
            <w:tcW w:w="4660" w:type="dxa"/>
            <w:vAlign w:val="bottom"/>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defined benefit pension items: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Pr>
          <w:p>
            <w:pPr>
              <w:ind w:left="480"/>
              <w:spacing w:after="0"/>
              <w:rPr>
                <w:sz w:val="20"/>
                <w:szCs w:val="20"/>
                <w:color w:val="auto"/>
              </w:rPr>
            </w:pPr>
            <w:r>
              <w:rPr>
                <w:rFonts w:ascii="Arial" w:cs="Arial" w:eastAsia="Arial" w:hAnsi="Arial"/>
                <w:sz w:val="14"/>
                <w:szCs w:val="14"/>
                <w:color w:val="auto"/>
              </w:rPr>
              <w:t>Prior service cost</w:t>
            </w: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left="46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left="4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5"/>
        </w:trPr>
        <w:tc>
          <w:tcPr>
            <w:tcW w:w="46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Actuarial losses</w:t>
            </w: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center"/>
              <w:ind w:left="46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center"/>
              <w:ind w:left="4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3"/>
        </w:trPr>
        <w:tc>
          <w:tcPr>
            <w:tcW w:w="4660" w:type="dxa"/>
            <w:vAlign w:val="bottom"/>
          </w:tcPr>
          <w:p>
            <w:pPr>
              <w:ind w:left="220"/>
              <w:spacing w:after="0"/>
              <w:rPr>
                <w:sz w:val="20"/>
                <w:szCs w:val="20"/>
                <w:color w:val="auto"/>
              </w:rPr>
            </w:pPr>
            <w:r>
              <w:rPr>
                <w:rFonts w:ascii="Arial" w:cs="Arial" w:eastAsia="Arial" w:hAnsi="Arial"/>
                <w:sz w:val="14"/>
                <w:szCs w:val="14"/>
                <w:color w:val="auto"/>
              </w:rPr>
              <w:t>Total defined benefit pension plans, net</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48"/>
              <w:spacing w:after="0"/>
              <w:rPr>
                <w:sz w:val="20"/>
                <w:szCs w:val="20"/>
                <w:color w:val="auto"/>
              </w:rPr>
            </w:pPr>
            <w:r>
              <w:rPr>
                <w:rFonts w:ascii="Arial" w:cs="Arial" w:eastAsia="Arial" w:hAnsi="Arial"/>
                <w:sz w:val="14"/>
                <w:szCs w:val="14"/>
                <w:color w:val="auto"/>
              </w:rPr>
              <w:t>(4.2)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28"/>
              <w:spacing w:after="0"/>
              <w:rPr>
                <w:sz w:val="20"/>
                <w:szCs w:val="20"/>
                <w:color w:val="auto"/>
              </w:rPr>
            </w:pPr>
            <w:r>
              <w:rPr>
                <w:rFonts w:ascii="Arial" w:cs="Arial" w:eastAsia="Arial" w:hAnsi="Arial"/>
                <w:sz w:val="14"/>
                <w:szCs w:val="14"/>
                <w:color w:val="auto"/>
                <w:w w:val="97"/>
              </w:rPr>
              <w:t>(5.3)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Segment Information</w:t>
      </w:r>
    </w:p>
    <w:p>
      <w:pPr>
        <w:spacing w:after="0" w:line="24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report our financial results of operations in two reportable segments, ABL and ISG, consistent with how our chief operating decision maker currently evaluates operating results, assesses performance, and allocates resources within the Company.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accounting policies of our reportable segments are the same as those described 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within our Form 10-K. Corporate expenses that are primarily administrative in function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the Company on an entity-wide basis are not allocated to our segments. These include expenses related to governance, policy setting, compliance, and certain other shared services functions. Beginning in fiscal 2023, we now allocate special charges to operating segment information presented to the chief operating decision maker on a prospective basis. Special charges during the nine months ended May 31, 2023 of $6.9 million pertained to the ABL segment. We recorded no special charges during the three months ended May 31, 2023 or during fiscal 2022.</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information by operating segment for the periods presented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ABL</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ISG</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18"/>
                <w:szCs w:val="18"/>
                <w:b w:val="1"/>
                <w:bCs w:val="1"/>
                <w:color w:val="auto"/>
                <w:vertAlign w:val="superscript"/>
              </w:rPr>
              <w:t>(1)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Total</w:t>
            </w:r>
          </w:p>
        </w:tc>
      </w:tr>
      <w:tr>
        <w:trPr>
          <w:trHeight w:val="183"/>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May 31, 2023</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96"/>
        </w:trPr>
        <w:tc>
          <w:tcPr>
            <w:tcW w:w="39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940.7</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65.8</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(6.2)</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1,000.3</w:t>
            </w:r>
          </w:p>
        </w:tc>
      </w:tr>
      <w:tr>
        <w:trPr>
          <w:trHeight w:val="195"/>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w:t>
            </w:r>
          </w:p>
        </w:tc>
      </w:tr>
      <w:tr>
        <w:trPr>
          <w:trHeight w:val="197"/>
        </w:trPr>
        <w:tc>
          <w:tcPr>
            <w:tcW w:w="39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21.9</w:t>
            </w:r>
          </w:p>
        </w:tc>
      </w:tr>
      <w:tr>
        <w:trPr>
          <w:trHeight w:val="222"/>
        </w:trPr>
        <w:tc>
          <w:tcPr>
            <w:tcW w:w="3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01"/>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Three Months Ended May 31, 2022</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1,060.6</w:t>
            </w:r>
          </w:p>
        </w:tc>
      </w:tr>
      <w:tr>
        <w:trPr>
          <w:trHeight w:val="197"/>
        </w:trPr>
        <w:tc>
          <w:tcPr>
            <w:tcW w:w="390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149.6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142.7</w:t>
            </w:r>
          </w:p>
        </w:tc>
      </w:tr>
      <w:tr>
        <w:trPr>
          <w:trHeight w:val="208"/>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r>
      <w:tr>
        <w:trPr>
          <w:trHeight w:val="216"/>
        </w:trPr>
        <w:tc>
          <w:tcPr>
            <w:tcW w:w="3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Nine Months Ended May 31, 2023</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97"/>
        </w:trPr>
        <w:tc>
          <w:tcPr>
            <w:tcW w:w="39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2,778.6</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180.8</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(17.6)</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2,941.8</w:t>
            </w:r>
          </w:p>
        </w:tc>
      </w:tr>
      <w:tr>
        <w:trPr>
          <w:trHeight w:val="208"/>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363.7</w:t>
            </w:r>
          </w:p>
        </w:tc>
      </w:tr>
      <w:tr>
        <w:trPr>
          <w:trHeight w:val="189"/>
        </w:trPr>
        <w:tc>
          <w:tcPr>
            <w:tcW w:w="39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70.4</w:t>
            </w:r>
          </w:p>
        </w:tc>
      </w:tr>
      <w:tr>
        <w:trPr>
          <w:trHeight w:val="216"/>
        </w:trPr>
        <w:tc>
          <w:tcPr>
            <w:tcW w:w="3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2"/>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Nine Months Ended May 31, 2022</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2,755.1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2,895.8</w:t>
            </w:r>
          </w:p>
        </w:tc>
      </w:tr>
      <w:tr>
        <w:trPr>
          <w:trHeight w:val="189"/>
        </w:trPr>
        <w:tc>
          <w:tcPr>
            <w:tcW w:w="390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394.2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360.1</w:t>
            </w:r>
          </w:p>
        </w:tc>
      </w:tr>
      <w:tr>
        <w:trPr>
          <w:trHeight w:val="203"/>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60" w:hanging="152"/>
        <w:spacing w:after="0" w:line="204" w:lineRule="auto"/>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2"/>
          <w:szCs w:val="12"/>
          <w:color w:val="auto"/>
        </w:rPr>
        <w:t>This column represents intersegment sales. Profit on these sales eliminates within gross profit on a consolidated basis.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operating profit by segment to income before income taxes (in millions):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3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May 31, 2023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May 31, 2022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May 31, 2023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May 31, 2022</w:t>
            </w:r>
          </w:p>
        </w:tc>
      </w:tr>
      <w:tr>
        <w:trPr>
          <w:trHeight w:val="210"/>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ABL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394.2</w:t>
            </w:r>
          </w:p>
        </w:tc>
      </w:tr>
      <w:tr>
        <w:trPr>
          <w:trHeight w:val="213"/>
        </w:trPr>
        <w:tc>
          <w:tcPr>
            <w:tcW w:w="3640" w:type="dxa"/>
            <w:vAlign w:val="bottom"/>
          </w:tcPr>
          <w:p>
            <w:pPr>
              <w:ind w:left="20"/>
              <w:spacing w:after="0"/>
              <w:rPr>
                <w:sz w:val="20"/>
                <w:szCs w:val="20"/>
                <w:color w:val="auto"/>
              </w:rPr>
            </w:pPr>
            <w:r>
              <w:rPr>
                <w:rFonts w:ascii="Arial" w:cs="Arial" w:eastAsia="Arial" w:hAnsi="Arial"/>
                <w:sz w:val="16"/>
                <w:szCs w:val="16"/>
                <w:color w:val="auto"/>
              </w:rPr>
              <w:t>Operating profit - ISG</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9"/>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Unallocated corporate amounts</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r>
      <w:tr>
        <w:trPr>
          <w:trHeight w:val="206"/>
        </w:trPr>
        <w:tc>
          <w:tcPr>
            <w:tcW w:w="364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142.7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363.7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360.1</w:t>
            </w:r>
          </w:p>
        </w:tc>
      </w:tr>
      <w:tr>
        <w:trPr>
          <w:trHeight w:val="219"/>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16"/>
        </w:trPr>
        <w:tc>
          <w:tcPr>
            <w:tcW w:w="3640" w:type="dxa"/>
            <w:vAlign w:val="bottom"/>
          </w:tcPr>
          <w:p>
            <w:pPr>
              <w:ind w:left="20"/>
              <w:spacing w:after="0"/>
              <w:rPr>
                <w:sz w:val="20"/>
                <w:szCs w:val="20"/>
                <w:color w:val="auto"/>
              </w:rPr>
            </w:pPr>
            <w:r>
              <w:rPr>
                <w:rFonts w:ascii="Arial" w:cs="Arial" w:eastAsia="Arial" w:hAnsi="Arial"/>
                <w:sz w:val="16"/>
                <w:szCs w:val="16"/>
                <w:color w:val="auto"/>
              </w:rPr>
              <w:t>Miscellaneous expense (income), net</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345.1</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(referred to herein as “we,” “our,” “us,” the “Company,” or similar references) and its subsidiaries as of May 31, 2023 and for the three and nine months ended May 31, 2023 and 2022. The following discussion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included within this report. Also, please refer to Acuity Brands, Inc.'s Annual Report on Form 10-K for the fiscal year ended August 31, 2022, filed with the Securities and Exchange Commission (the “SEC”) on October 26, 2022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a valuable difference in people's lives. We achieve growth through the development of innovative new products and services, including lighting, lighting controls, building management solutions, and location-aware applications.</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business exhibits some seasonality, with net sales being affected by weather and seasonal demand on construction and installation programs, particularly during the winter months, as well as the annual budget cycles of major customers. Historically, with certain exceptions, we have experienced our highest sales in the last two quarters of each fiscal year due to these factors. We do not expect the remainder of fiscal 2023 to follow this historical trend.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Russia and Ukraine Conflict</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current conflict between Russia and Ukraine and the related sanctions and other penalties imposed by countries across the globe against Russia are creating substantial uncertainty in the global economy. While we do not have operations in Russia or Ukraine and do not have significant direct exposure to customers and vendors in those countries, we are unable to predict the impact that these actions will have on the global economy or on our financial condition, results of operations, and cash flows as of the date of these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numerous sources of capital, including cash on hand and cash flows generated from operations, as well as various sources of financing. Our ability to generate sufficient cash flows from operations or to access certain capital markets, including banks, is necessary to meet our capital allocation priorities, which are to invest in our current business for growth, to invest in mergers and acquisitions, to maintain our dividend, and to make share repurchases. Sufficient cash flow generation is also critical to fund our operations in the short and long terms and to maintain compliance with covenants contained in our financing agreements.</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significant contractual cash requirements primarily include principal and interest on our unsecured notes and borrowings under our credit agreement, payments for operating lease liabilities, and certain purchase obligations incurred in the ordinary course of business that are enforceable and legally binding. Our obligations related to these items are described further within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within our Annual Report filed on Form 10-K. We believe that we will be able to meet our</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 needs over the next 12 months based on our cash on hand, current projections of cash flows from operations, and borrowing availability under financing arrangements. Additionally, we believe that our cash flows from operations and sources of funding, including, but not limited to, future borrowings and borrowing capacity, will sufficiently support our long-term liquidity needs. In the event of a sustained market deterioration, we may need additional capital, which would require us to evaluate available alternatives and take appropriate actions.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cash position at May 31, 2023 was $359.3 million, an increase of $136.1 million from August 31, 2022. Cash generated from operating activities and cash on hand were used during the current year to fund our capital allocation priorities as discussed below.</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generated $471.5 million of cash flows from operating activities during the nine months ended May 31, 2023, compared with $165.7 million in the prior-year period, an increase of $305.8 million. This increase was due primarily to increased cash collections from customers and fewer inventory purchases during the current period, partially offset by the timing of payments for purchases on account.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discussion of the terms of our various financing arrangements, including the $500.0 million aggregate principal amount of 2.150% senior unsecured notes due December 15, 2030 (the “Unsecured Notes”) as well as the terms of our $600.0 million five-year unsecured revolving credit facility (“Revolving Credit Facility”).</w:t>
      </w:r>
    </w:p>
    <w:p>
      <w:pPr>
        <w:spacing w:after="0" w:line="1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At May 31, 2023, our outstanding debt balance was $495.4 million, which consisted solely of our Unsecured Notes, compared to our cash position of $359.3 million. We were in compliance with all covenants under our financing arrangements as of May 31, 2023.</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At May 31, 2023, we had additional borrowing capacity under the Revolving Credit Facility of $596.2 million under the most restrictive covenant in effect at the time, which represents the full amount of the Revolving Credit Facility less outstanding letters of credit of $3.8 million issued under the facility. As of May 31, 2023, our cash on hand combined with the additional borrowing capacity under the Revolving Credit Facility totaled $955.5 million.</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Unsecured Notes were issued by Acuity Brands Lighting, Inc., a wholly-owned subsidiary of Acuity Brands, Inc. The Unsecured Notes are fully and unconditionally guaranteed on a senior unsecured basis by Acuity Brands, Inc. and ABL IP Holding LLC, a wholly-owned subsidiary of Acuity Brands, Inc. The following tables present summarized financial information for Acuity Brands, Inc., Acuity Brands Lighting, Inc., and ABL IP Holding LLC on a combined basis after the elimination of all intercompany balances and transactions between the combined group as well as any investments in non-guarantors as of the dates and during the period presented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Summarized Balance Sheet Information</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May 31, 2023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August 31, 2022</w:t>
            </w:r>
          </w:p>
        </w:tc>
      </w:tr>
      <w:tr>
        <w:trPr>
          <w:trHeight w:val="20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1,056.6</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Amounts due from non-guarantor affiliates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322.7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280.2</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1,414.3</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514.1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620.4</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821.0</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Summarized Income Statement Information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jc w:val="right"/>
              <w:ind w:right="39"/>
              <w:spacing w:after="0"/>
              <w:rPr>
                <w:sz w:val="20"/>
                <w:szCs w:val="20"/>
                <w:color w:val="auto"/>
              </w:rPr>
            </w:pPr>
            <w:r>
              <w:rPr>
                <w:rFonts w:ascii="Arial" w:cs="Arial" w:eastAsia="Arial" w:hAnsi="Arial"/>
                <w:sz w:val="16"/>
                <w:szCs w:val="16"/>
                <w:b w:val="1"/>
                <w:bCs w:val="1"/>
                <w:color w:val="auto"/>
              </w:rPr>
              <w:t>Nine Months Ended May 31,</w:t>
            </w:r>
          </w:p>
        </w:tc>
        <w:tc>
          <w:tcPr>
            <w:tcW w:w="0" w:type="dxa"/>
            <w:vAlign w:val="bottom"/>
          </w:tcPr>
          <w:p>
            <w:pPr>
              <w:spacing w:after="0"/>
              <w:rPr>
                <w:sz w:val="1"/>
                <w:szCs w:val="1"/>
                <w:color w:val="auto"/>
              </w:rPr>
            </w:pPr>
          </w:p>
        </w:tc>
      </w:tr>
      <w:tr>
        <w:trPr>
          <w:trHeight w:val="216"/>
        </w:trPr>
        <w:tc>
          <w:tcPr>
            <w:tcW w:w="8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2,472.7</w:t>
            </w:r>
          </w:p>
        </w:tc>
        <w:tc>
          <w:tcPr>
            <w:tcW w:w="0" w:type="dxa"/>
            <w:vAlign w:val="bottom"/>
          </w:tcPr>
          <w:p>
            <w:pPr>
              <w:spacing w:after="0"/>
              <w:rPr>
                <w:sz w:val="1"/>
                <w:szCs w:val="1"/>
                <w:color w:val="auto"/>
              </w:rPr>
            </w:pP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1,063.2</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 Priorities</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capital allocation priorities are to invest in our current business for growth, to invest in mergers and acquisitions, to maintain our dividend, and to make share repurchases.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Current Business for Growth</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invested $48.0 million and $38.0 million in property, plant, and equipment during the nine months ended May 31, 2023 and 2022, respectively. We invested more in fiscal 2023 primarily for investments in new and enhanced equipment, facility improvements, and information technology.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Acquisitions, Investments, and Divestitures</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seek opportunities to strategically expand and enhance our portfolio of solutions. On May 15, 2023, using cash on hand, we acquired all of the equity interests of KE2 Therm Solutions, Inc. (“KE2 Therm”). KE2 Therm develops and provides intelligent refrigeration control solutions that deliver the precision of digital controls to promote safety, efficiency, and reliability, while delivering cost savings to the customer. This acquisition is intended to expand ISG's technology and controls product portfolio and reach new customers.</w:t>
      </w:r>
    </w:p>
    <w:p>
      <w:pPr>
        <w:spacing w:after="0" w:line="1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sold our Sunoptics prismatic skylights business in November 2022. We recognized a pre-tax loss of $11.2 million on the sale of this business.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There were no acquisitions during the first nine months of fiscal 2022. The $12.2 million of cash outflows reflected in the fiscal 2022 </w:t>
      </w:r>
      <w:r>
        <w:rPr>
          <w:rFonts w:ascii="Arial" w:cs="Arial" w:eastAsia="Arial" w:hAnsi="Arial"/>
          <w:sz w:val="18"/>
          <w:szCs w:val="18"/>
          <w:i w:val="1"/>
          <w:iCs w:val="1"/>
          <w:color w:val="auto"/>
        </w:rPr>
        <w:t xml:space="preserve">Consolidated Statements of Cash Flows </w:t>
      </w:r>
      <w:r>
        <w:rPr>
          <w:rFonts w:ascii="Arial" w:cs="Arial" w:eastAsia="Arial" w:hAnsi="Arial"/>
          <w:sz w:val="18"/>
          <w:szCs w:val="18"/>
          <w:color w:val="auto"/>
        </w:rPr>
        <w:t>relate to working capital settlements for fiscal 2021 acquisitions.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the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paid dividends on our common stock of $12.7 million ($0.39 per share) and $13.7 million ($0.39 per share) during the nine months ended May 31, 2023 and 2022, respectively. All decisions regarding the declaration and payment of dividends are at the discretion of the Board of Directors (the “Board”) and are evaluated regularly in light of our financial condition, earnings, growth prospects, funding requirements, applicable law, and any other factors the Board deems relevant.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first nine months of fiscal 2023, we repurchased 1.3 million shares of our outstanding common stock for $218.8 million. Total cash outflows for share repurchases during the nine months ended May 31, 2023 were $216.2 million. We expect to repurchase shares on an opportunistic basis subject to various factors including stock price, Company performance, market conditions, and other possible uses of cash. As of May 31, 2023, the maximum number of shares that may yet be repurchased under the share repurchase program authorized by the Board equaled 1.5 million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of Fiscal 2023 Compared with Third Quarter of Fiscal 2022</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table sets forth information comparing the components of net income for the three months ended May 31, 2023 and 2022 (in millions except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May 31, 2023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May 31, 2022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46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1,000.3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1,060.6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(5.7) %</w:t>
            </w:r>
          </w:p>
        </w:tc>
        <w:tc>
          <w:tcPr>
            <w:tcW w:w="0" w:type="dxa"/>
            <w:vAlign w:val="bottom"/>
          </w:tcPr>
          <w:p>
            <w:pPr>
              <w:spacing w:after="0"/>
              <w:rPr>
                <w:sz w:val="1"/>
                <w:szCs w:val="1"/>
                <w:color w:val="auto"/>
              </w:rPr>
            </w:pPr>
          </w:p>
        </w:tc>
      </w:tr>
      <w:tr>
        <w:trPr>
          <w:trHeight w:val="189"/>
        </w:trPr>
        <w:tc>
          <w:tcPr>
            <w:tcW w:w="5060" w:type="dxa"/>
            <w:vAlign w:val="bottom"/>
          </w:tcPr>
          <w:p>
            <w:pPr>
              <w:ind w:left="20"/>
              <w:spacing w:after="0"/>
              <w:rPr>
                <w:sz w:val="20"/>
                <w:szCs w:val="20"/>
                <w:color w:val="auto"/>
              </w:rPr>
            </w:pPr>
            <w:r>
              <w:rPr>
                <w:rFonts w:ascii="Arial" w:cs="Arial" w:eastAsia="Arial" w:hAnsi="Arial"/>
                <w:sz w:val="14"/>
                <w:szCs w:val="14"/>
                <w:color w:val="auto"/>
              </w:rPr>
              <w:t>Cost of products sold</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553.0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615.5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w:t>
            </w:r>
          </w:p>
        </w:tc>
        <w:tc>
          <w:tcPr>
            <w:tcW w:w="1880" w:type="dxa"/>
            <w:vAlign w:val="bottom"/>
            <w:gridSpan w:val="3"/>
          </w:tcPr>
          <w:p>
            <w:pPr>
              <w:jc w:val="right"/>
              <w:spacing w:after="0"/>
              <w:rPr>
                <w:sz w:val="20"/>
                <w:szCs w:val="20"/>
                <w:color w:val="auto"/>
              </w:rPr>
            </w:pPr>
            <w:r>
              <w:rPr>
                <w:rFonts w:ascii="Arial" w:cs="Arial" w:eastAsia="Arial" w:hAnsi="Arial"/>
                <w:sz w:val="14"/>
                <w:szCs w:val="14"/>
                <w:color w:val="auto"/>
              </w:rPr>
              <w:t>(10.2) %</w:t>
            </w: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447.3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445.1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7"/>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44.7 %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i w:val="1"/>
                <w:iCs w:val="1"/>
                <w:color w:val="auto"/>
              </w:rPr>
              <w:t>42.0 %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i w:val="1"/>
                <w:iCs w:val="1"/>
                <w:color w:val="auto"/>
              </w:rPr>
              <w:t>270</w:t>
            </w:r>
          </w:p>
        </w:tc>
        <w:tc>
          <w:tcPr>
            <w:tcW w:w="1720" w:type="dxa"/>
            <w:vAlign w:val="bottom"/>
            <w:gridSpan w:val="2"/>
          </w:tcPr>
          <w:p>
            <w:pPr>
              <w:jc w:val="right"/>
              <w:ind w:right="1408"/>
              <w:spacing w:after="0"/>
              <w:rPr>
                <w:sz w:val="20"/>
                <w:szCs w:val="20"/>
                <w:color w:val="auto"/>
              </w:rPr>
            </w:pPr>
            <w:r>
              <w:rPr>
                <w:rFonts w:ascii="Arial" w:cs="Arial" w:eastAsia="Arial" w:hAnsi="Arial"/>
                <w:sz w:val="14"/>
                <w:szCs w:val="14"/>
                <w:i w:val="1"/>
                <w:iCs w:val="1"/>
                <w:color w:val="auto"/>
                <w:w w:val="97"/>
              </w:rPr>
              <w:t>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1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304.0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302.4</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16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143.3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142.7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5"/>
        </w:trPr>
        <w:tc>
          <w:tcPr>
            <w:tcW w:w="506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14.3 %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13.5 %</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i w:val="1"/>
                <w:iCs w:val="1"/>
                <w:color w:val="auto"/>
              </w:rPr>
              <w:t>80</w:t>
            </w:r>
          </w:p>
        </w:tc>
        <w:tc>
          <w:tcPr>
            <w:tcW w:w="1720" w:type="dxa"/>
            <w:vAlign w:val="bottom"/>
            <w:gridSpan w:val="2"/>
            <w:shd w:val="clear" w:color="auto" w:fill="CCEEFF"/>
          </w:tcPr>
          <w:p>
            <w:pPr>
              <w:jc w:val="right"/>
              <w:ind w:right="1408"/>
              <w:spacing w:after="0"/>
              <w:rPr>
                <w:sz w:val="20"/>
                <w:szCs w:val="20"/>
                <w:color w:val="auto"/>
              </w:rPr>
            </w:pPr>
            <w:r>
              <w:rPr>
                <w:rFonts w:ascii="Arial" w:cs="Arial" w:eastAsia="Arial" w:hAnsi="Arial"/>
                <w:sz w:val="14"/>
                <w:szCs w:val="14"/>
                <w:i w:val="1"/>
                <w:iCs w:val="1"/>
                <w:color w:val="auto"/>
                <w:w w:val="97"/>
              </w:rPr>
              <w:t>bps</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tcPr>
          <w:p>
            <w:pPr>
              <w:ind w:left="20"/>
              <w:spacing w:after="0"/>
              <w:rPr>
                <w:sz w:val="20"/>
                <w:szCs w:val="20"/>
                <w:color w:val="auto"/>
              </w:rPr>
            </w:pPr>
            <w:r>
              <w:rPr>
                <w:rFonts w:ascii="Arial" w:cs="Arial" w:eastAsia="Arial" w:hAnsi="Arial"/>
                <w:sz w:val="14"/>
                <w:szCs w:val="14"/>
                <w:color w:val="auto"/>
              </w:rPr>
              <w:t>Other expense:</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expense, net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(37.1) %</w:t>
            </w:r>
          </w:p>
        </w:tc>
        <w:tc>
          <w:tcPr>
            <w:tcW w:w="0" w:type="dxa"/>
            <w:vAlign w:val="bottom"/>
          </w:tcPr>
          <w:p>
            <w:pPr>
              <w:spacing w:after="0"/>
              <w:rPr>
                <w:sz w:val="1"/>
                <w:szCs w:val="1"/>
                <w:color w:val="auto"/>
              </w:rPr>
            </w:pPr>
          </w:p>
        </w:tc>
      </w:tr>
      <w:tr>
        <w:trPr>
          <w:trHeight w:val="189"/>
        </w:trPr>
        <w:tc>
          <w:tcPr>
            <w:tcW w:w="5060" w:type="dxa"/>
            <w:vAlign w:val="bottom"/>
          </w:tcPr>
          <w:p>
            <w:pPr>
              <w:ind w:left="220"/>
              <w:spacing w:after="0"/>
              <w:rPr>
                <w:sz w:val="20"/>
                <w:szCs w:val="20"/>
                <w:color w:val="auto"/>
              </w:rPr>
            </w:pPr>
            <w:r>
              <w:rPr>
                <w:rFonts w:ascii="Arial" w:cs="Arial" w:eastAsia="Arial" w:hAnsi="Arial"/>
                <w:sz w:val="14"/>
                <w:szCs w:val="14"/>
                <w:color w:val="auto"/>
              </w:rPr>
              <w:t>Miscellaneous expense (income), net</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w:t>
            </w:r>
          </w:p>
        </w:tc>
        <w:tc>
          <w:tcPr>
            <w:tcW w:w="46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other expense</w:t>
            </w: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183"/>
        </w:trPr>
        <w:tc>
          <w:tcPr>
            <w:tcW w:w="506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16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138.7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138.0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13.9 %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13.0 %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i w:val="1"/>
                <w:iCs w:val="1"/>
                <w:color w:val="auto"/>
              </w:rPr>
              <w:t>90</w:t>
            </w:r>
          </w:p>
        </w:tc>
        <w:tc>
          <w:tcPr>
            <w:tcW w:w="1720" w:type="dxa"/>
            <w:vAlign w:val="bottom"/>
            <w:gridSpan w:val="2"/>
            <w:shd w:val="clear" w:color="auto" w:fill="CCEEFF"/>
          </w:tcPr>
          <w:p>
            <w:pPr>
              <w:jc w:val="right"/>
              <w:ind w:right="1408"/>
              <w:spacing w:after="0"/>
              <w:rPr>
                <w:sz w:val="20"/>
                <w:szCs w:val="20"/>
                <w:color w:val="auto"/>
              </w:rPr>
            </w:pPr>
            <w:r>
              <w:rPr>
                <w:rFonts w:ascii="Arial" w:cs="Arial" w:eastAsia="Arial" w:hAnsi="Arial"/>
                <w:sz w:val="14"/>
                <w:szCs w:val="14"/>
                <w:i w:val="1"/>
                <w:iCs w:val="1"/>
                <w:color w:val="auto"/>
                <w:w w:val="97"/>
              </w:rPr>
              <w:t>bps</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4.3</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3"/>
        </w:trPr>
        <w:tc>
          <w:tcPr>
            <w:tcW w:w="506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24.3 %</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23.4 %</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105.0</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105.7</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(0.7)</w:t>
            </w:r>
          </w:p>
        </w:tc>
        <w:tc>
          <w:tcPr>
            <w:tcW w:w="1880" w:type="dxa"/>
            <w:vAlign w:val="bottom"/>
            <w:gridSpan w:val="3"/>
          </w:tcPr>
          <w:p>
            <w:pPr>
              <w:jc w:val="right"/>
              <w:spacing w:after="0"/>
              <w:rPr>
                <w:sz w:val="20"/>
                <w:szCs w:val="20"/>
                <w:color w:val="auto"/>
              </w:rPr>
            </w:pPr>
            <w:r>
              <w:rPr>
                <w:rFonts w:ascii="Arial" w:cs="Arial" w:eastAsia="Arial" w:hAnsi="Arial"/>
                <w:sz w:val="14"/>
                <w:szCs w:val="14"/>
                <w:color w:val="auto"/>
              </w:rPr>
              <w:t>(0.7) %</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earnings per share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NM - not meaningful</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0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Net sales for the three months ended May 31, 2023 decreased $60.3 million, or 5.7%, to $1.0 billion, compared with $1.1 billion in the prior-year period due to declines in sales within our ABL segment, partially offset by higher sales within our ISG segment. Changes in foreign currency rates, the divestiture from our Sunoptics prismatic skylight business, and the acquisition of KE2 Therm did not have meaningful impacts on net sales for the third quarter of fiscal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Gross profit for the third quarter of fiscal 2023 increased $2.2 million, or 0.5%, to $447.3 million, compared with $445.1 million in the prior-year period, and gross profit margin increased 270 basis points to 44.7% from 42.0% compared with the prior-year period. Our gross profit increased compared with the prior year as price increases as well as favorable material and freight costs were partially offset by labor and other cost escalations.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distribution, and administrative expenses ("SD&amp;A") expenses for the three months ended May 31, 2023 were $304.0 million, compared with $302.4 million in the prior-year period, an increase of $1.6 million, or 0.5%. The increase in SD&amp;A expenses was due primarily to higher employee-related costs.</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profit for the third quarter of fiscal 2023 was $143.3 million (14.3% of net sales), compared with $142.7 million (13.5% of net sales) for the prior-year period, an increase of $0.6 million, or 0.4%. The increase in operating profit was due to the increase in gross profit, partially offset by higher SD&amp;A expenses.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37"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Interest expense, net, was $3.9 million and $6.2 million for the third quarter of fiscal 2023 and 2022, respectively. The decrease in net interest expense was due to changes in investing rates compared to the prior year as well as changes in average short-term borrowings outstanding.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Expense, net</w:t>
      </w:r>
    </w:p>
    <w:p>
      <w:pPr>
        <w:spacing w:after="0" w:line="1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Miscellaneous expense, net consists of non-service related components of net periodic pension cost, gains and losses associated with foreign currency-related transactions, and non-operating gains and losses.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reported net miscellaneous expense of $0.7 million and net miscellaneous income $1.5 million for the third quarter of fiscal 2023 and 2022, respectively. This year-over-year increase in net miscellaneous expense is due primarily to an increase in net pension cost and, to a lesser extent, unfavorable foreign currency transaction net gains and losses.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 was 24.3% and 23.4% for the third quarter of fiscal 2023 and 2022, respectively.</w:t>
      </w:r>
    </w:p>
    <w:p>
      <w:pPr>
        <w:spacing w:after="0" w:line="1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Net income for the third quarter of fiscal 2023 decreased $0.7 million, or 0.7%, to $105.0 million, from $105.7 million reported for the prior-year period. Diluted earnings per share for the three months ended May 31, 2023 increased $0.21, or 6.8%, to $3.28 compared with diluted earnings per share of $3.07 for the prior-year period. This increase reflects lower outstanding diluted shares, partially offset by lower net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comparing the operating results of our segments, ABL and ISG, for the three months ended May 31,</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2023 and 2022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May 31, 2023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May 31, 2022</w:t>
            </w:r>
          </w:p>
        </w:tc>
        <w:tc>
          <w:tcPr>
            <w:tcW w:w="180" w:type="dxa"/>
            <w:vAlign w:val="bottom"/>
          </w:tcPr>
          <w:p>
            <w:pPr>
              <w:spacing w:after="0"/>
              <w:rPr>
                <w:sz w:val="11"/>
                <w:szCs w:val="11"/>
                <w:color w:val="auto"/>
              </w:rPr>
            </w:pPr>
          </w:p>
        </w:tc>
        <w:tc>
          <w:tcPr>
            <w:tcW w:w="1100" w:type="dxa"/>
            <w:vAlign w:val="bottom"/>
          </w:tcPr>
          <w:p>
            <w:pPr>
              <w:jc w:val="right"/>
              <w:ind w:right="288"/>
              <w:spacing w:after="0" w:line="131"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ABL:</w:t>
            </w: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940.7</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1,008.4</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(67.7)</w:t>
            </w: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(6.7) %</w:t>
            </w: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149.6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6"/>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margin</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15.9 %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14.8 %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7"/>
                <w:szCs w:val="17"/>
                <w:color w:val="auto"/>
              </w:rPr>
            </w:pPr>
          </w:p>
        </w:tc>
        <w:tc>
          <w:tcPr>
            <w:tcW w:w="1260" w:type="dxa"/>
            <w:vAlign w:val="bottom"/>
          </w:tcPr>
          <w:p>
            <w:pPr>
              <w:jc w:val="right"/>
              <w:ind w:right="948"/>
              <w:spacing w:after="0"/>
              <w:rPr>
                <w:sz w:val="20"/>
                <w:szCs w:val="20"/>
                <w:color w:val="auto"/>
              </w:rPr>
            </w:pPr>
            <w:r>
              <w:rPr>
                <w:rFonts w:ascii="Arial" w:cs="Arial" w:eastAsia="Arial" w:hAnsi="Arial"/>
                <w:sz w:val="14"/>
                <w:szCs w:val="14"/>
                <w:i w:val="1"/>
                <w:iCs w:val="1"/>
                <w:color w:val="auto"/>
                <w:w w:val="97"/>
              </w:rPr>
              <w:t>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ISG:</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65.8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6"/>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(0.6)</w:t>
            </w: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(6.5) %</w:t>
            </w:r>
          </w:p>
        </w:tc>
        <w:tc>
          <w:tcPr>
            <w:tcW w:w="0" w:type="dxa"/>
            <w:vAlign w:val="bottom"/>
          </w:tcPr>
          <w:p>
            <w:pPr>
              <w:spacing w:after="0"/>
              <w:rPr>
                <w:sz w:val="1"/>
                <w:szCs w:val="1"/>
                <w:color w:val="auto"/>
              </w:rPr>
            </w:pPr>
          </w:p>
        </w:tc>
      </w:tr>
      <w:tr>
        <w:trPr>
          <w:trHeight w:val="195"/>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948"/>
              <w:spacing w:after="0"/>
              <w:rPr>
                <w:sz w:val="20"/>
                <w:szCs w:val="20"/>
                <w:color w:val="auto"/>
              </w:rPr>
            </w:pPr>
            <w:r>
              <w:rPr>
                <w:rFonts w:ascii="Arial" w:cs="Arial" w:eastAsia="Arial" w:hAnsi="Arial"/>
                <w:sz w:val="14"/>
                <w:szCs w:val="14"/>
                <w:i w:val="1"/>
                <w:iCs w:val="1"/>
                <w:color w:val="auto"/>
                <w:w w:val="97"/>
              </w:rPr>
              <w:t>bps</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ABL net sales for the three months ended May 31, 2023 decreased $67.7 million, or 6.7%, to $940.7 million, compared with $1.0 billion in the prior-year period. Sales within the ABL segment decreased due to lower net sales within the independent sales network, the OEM and other, and corporate accounts channels, partially offset by increased net sales in our direct sales network and retail sales channels.</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profit for ABL was $150.0 million (15.9% of ABL net sales) for the three months ended May 31, 2023, compared with $149.6 million (14.8% of ABL net sales) in the prior-year period, an increase of $0.4 million. The increase in operating profit was due primarily to improved profitability on lower sales, partially offset by increased employee-related costs.</w:t>
      </w:r>
    </w:p>
    <w:p>
      <w:pPr>
        <w:spacing w:after="0" w:line="1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ISG net sales for the three months ended May 31, 2023 increased $7.5 million, or 12.9%, to $65.8 million, compared with $58.3 million in the prior-year period. Sales within the ISG segment increased due to price increases as well as favorable product mix. ISG operating profit was $8.6 million for the three months ended May 31, 2023, compared with $9.2 million in the prior-year period, a decrease of $0.6 million. This decrease was due primarily to increased employee-related costs, partially offset by contributions from higher sales.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Nine Months of Fiscal 2023 Compared with First Nine Months of Fiscal 2022</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table sets forth information comparing the components of net income for the nine months ended May 31, 2023 and 2022 (in millions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0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May 31, 2023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May 31, 2022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ind w:right="288"/>
              <w:spacing w:after="0" w:line="131" w:lineRule="exact"/>
              <w:rPr>
                <w:sz w:val="20"/>
                <w:szCs w:val="20"/>
                <w:color w:val="auto"/>
              </w:rPr>
            </w:pPr>
            <w:r>
              <w:rPr>
                <w:rFonts w:ascii="Arial" w:cs="Arial" w:eastAsia="Arial" w:hAnsi="Arial"/>
                <w:sz w:val="14"/>
                <w:szCs w:val="14"/>
                <w:b w:val="1"/>
                <w:bCs w:val="1"/>
                <w:color w:val="auto"/>
              </w:rPr>
              <w:t>Increase</w:t>
            </w:r>
          </w:p>
        </w:tc>
        <w:tc>
          <w:tcPr>
            <w:tcW w:w="440" w:type="dxa"/>
            <w:vAlign w:val="bottom"/>
          </w:tcPr>
          <w:p>
            <w:pPr>
              <w:spacing w:after="0"/>
              <w:rPr>
                <w:sz w:val="11"/>
                <w:szCs w:val="11"/>
                <w:color w:val="auto"/>
              </w:rPr>
            </w:pPr>
          </w:p>
        </w:tc>
        <w:tc>
          <w:tcPr>
            <w:tcW w:w="14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9"/>
        </w:trPr>
        <w:tc>
          <w:tcPr>
            <w:tcW w:w="5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(Decrease)</w:t>
            </w:r>
          </w:p>
        </w:tc>
        <w:tc>
          <w:tcPr>
            <w:tcW w:w="440" w:type="dxa"/>
            <w:vAlign w:val="bottom"/>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2,941.8</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2,895.8</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20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products sold</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1,671.3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1,685.6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8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1,270.5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1,210.2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60.3</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0" w:type="dxa"/>
            <w:vAlign w:val="bottom"/>
          </w:tcPr>
          <w:p>
            <w:pPr>
              <w:spacing w:after="0"/>
              <w:rPr>
                <w:sz w:val="1"/>
                <w:szCs w:val="1"/>
                <w:color w:val="auto"/>
              </w:rPr>
            </w:pPr>
          </w:p>
        </w:tc>
      </w:tr>
      <w:tr>
        <w:trPr>
          <w:trHeight w:val="197"/>
        </w:trPr>
        <w:tc>
          <w:tcPr>
            <w:tcW w:w="508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43.2 %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41.8 %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i w:val="1"/>
                <w:iCs w:val="1"/>
                <w:color w:val="auto"/>
              </w:rPr>
              <w:t>140</w:t>
            </w:r>
          </w:p>
        </w:tc>
        <w:tc>
          <w:tcPr>
            <w:tcW w:w="1840" w:type="dxa"/>
            <w:vAlign w:val="bottom"/>
            <w:gridSpan w:val="2"/>
          </w:tcPr>
          <w:p>
            <w:pPr>
              <w:jc w:val="right"/>
              <w:ind w:right="152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08"/>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899.9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850.1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49.8</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0" w:type="dxa"/>
            <w:vAlign w:val="bottom"/>
          </w:tcPr>
          <w:p>
            <w:pPr>
              <w:spacing w:after="0"/>
              <w:rPr>
                <w:sz w:val="1"/>
                <w:szCs w:val="1"/>
                <w:color w:val="auto"/>
              </w:rPr>
            </w:pPr>
          </w:p>
        </w:tc>
      </w:tr>
      <w:tr>
        <w:trPr>
          <w:trHeight w:val="189"/>
        </w:trPr>
        <w:tc>
          <w:tcPr>
            <w:tcW w:w="5080" w:type="dxa"/>
            <w:vAlign w:val="bottom"/>
          </w:tcPr>
          <w:p>
            <w:pPr>
              <w:ind w:left="20"/>
              <w:spacing w:after="0"/>
              <w:rPr>
                <w:sz w:val="20"/>
                <w:szCs w:val="20"/>
                <w:color w:val="auto"/>
              </w:rPr>
            </w:pPr>
            <w:r>
              <w:rPr>
                <w:rFonts w:ascii="Arial" w:cs="Arial" w:eastAsia="Arial" w:hAnsi="Arial"/>
                <w:sz w:val="14"/>
                <w:szCs w:val="14"/>
                <w:color w:val="auto"/>
              </w:rPr>
              <w:t>Special charges</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w:t>
            </w:r>
          </w:p>
        </w:tc>
        <w:tc>
          <w:tcPr>
            <w:tcW w:w="4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6"/>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363.7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360.1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97"/>
        </w:trPr>
        <w:tc>
          <w:tcPr>
            <w:tcW w:w="508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12.4 %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12.4 %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i w:val="1"/>
                <w:iCs w:val="1"/>
                <w:color w:val="auto"/>
              </w:rPr>
              <w:t>—</w:t>
            </w:r>
          </w:p>
        </w:tc>
        <w:tc>
          <w:tcPr>
            <w:tcW w:w="1840" w:type="dxa"/>
            <w:vAlign w:val="bottom"/>
            <w:gridSpan w:val="2"/>
          </w:tcPr>
          <w:p>
            <w:pPr>
              <w:jc w:val="right"/>
              <w:ind w:right="152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195"/>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080" w:type="dxa"/>
            <w:vAlign w:val="bottom"/>
          </w:tcPr>
          <w:p>
            <w:pPr>
              <w:ind w:left="360"/>
              <w:spacing w:after="0"/>
              <w:rPr>
                <w:sz w:val="20"/>
                <w:szCs w:val="20"/>
                <w:color w:val="auto"/>
              </w:rPr>
            </w:pPr>
            <w:r>
              <w:rPr>
                <w:rFonts w:ascii="Arial" w:cs="Arial" w:eastAsia="Arial" w:hAnsi="Arial"/>
                <w:sz w:val="14"/>
                <w:szCs w:val="14"/>
                <w:color w:val="auto"/>
              </w:rPr>
              <w:t>Interest expense, net</w:t>
            </w:r>
          </w:p>
        </w:tc>
        <w:tc>
          <w:tcPr>
            <w:tcW w:w="180" w:type="dxa"/>
            <w:vAlign w:val="bottom"/>
          </w:tcPr>
          <w:p>
            <w:pPr>
              <w:spacing w:after="0"/>
              <w:rPr>
                <w:sz w:val="17"/>
                <w:szCs w:val="17"/>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08"/>
        </w:trPr>
        <w:tc>
          <w:tcPr>
            <w:tcW w:w="50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Miscellaneous expense (income), net</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5080" w:type="dxa"/>
            <w:vAlign w:val="bottom"/>
          </w:tcPr>
          <w:p>
            <w:pPr>
              <w:ind w:left="360"/>
              <w:spacing w:after="0"/>
              <w:rPr>
                <w:sz w:val="20"/>
                <w:szCs w:val="20"/>
                <w:color w:val="auto"/>
              </w:rPr>
            </w:pPr>
            <w:r>
              <w:rPr>
                <w:rFonts w:ascii="Arial" w:cs="Arial" w:eastAsia="Arial" w:hAnsi="Arial"/>
                <w:sz w:val="14"/>
                <w:szCs w:val="14"/>
                <w:color w:val="auto"/>
              </w:rPr>
              <w:t>Total other expense</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48.7 %</w:t>
            </w:r>
          </w:p>
        </w:tc>
        <w:tc>
          <w:tcPr>
            <w:tcW w:w="0" w:type="dxa"/>
            <w:vAlign w:val="bottom"/>
          </w:tcPr>
          <w:p>
            <w:pPr>
              <w:spacing w:after="0"/>
              <w:rPr>
                <w:sz w:val="1"/>
                <w:szCs w:val="1"/>
                <w:color w:val="auto"/>
              </w:rPr>
            </w:pPr>
          </w:p>
        </w:tc>
      </w:tr>
      <w:tr>
        <w:trPr>
          <w:trHeight w:val="196"/>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341.4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345.1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7"/>
        </w:trPr>
        <w:tc>
          <w:tcPr>
            <w:tcW w:w="508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11.6 %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11.9 %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3"/>
          </w:tcPr>
          <w:p>
            <w:pPr>
              <w:jc w:val="right"/>
              <w:ind w:right="1528"/>
              <w:spacing w:after="0"/>
              <w:rPr>
                <w:sz w:val="20"/>
                <w:szCs w:val="20"/>
                <w:color w:val="auto"/>
              </w:rPr>
            </w:pPr>
            <w:r>
              <w:rPr>
                <w:rFonts w:ascii="Arial" w:cs="Arial" w:eastAsia="Arial" w:hAnsi="Arial"/>
                <w:sz w:val="14"/>
                <w:szCs w:val="14"/>
                <w:i w:val="1"/>
                <w:iCs w:val="1"/>
                <w:color w:val="auto"/>
              </w:rPr>
              <w:t>(30) bps</w:t>
            </w:r>
          </w:p>
        </w:tc>
        <w:tc>
          <w:tcPr>
            <w:tcW w:w="0" w:type="dxa"/>
            <w:vAlign w:val="bottom"/>
          </w:tcPr>
          <w:p>
            <w:pPr>
              <w:spacing w:after="0"/>
              <w:rPr>
                <w:sz w:val="1"/>
                <w:szCs w:val="1"/>
                <w:color w:val="auto"/>
              </w:rPr>
            </w:pPr>
          </w:p>
        </w:tc>
      </w:tr>
      <w:tr>
        <w:trPr>
          <w:trHeight w:val="195"/>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78.3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76.5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90"/>
        </w:trPr>
        <w:tc>
          <w:tcPr>
            <w:tcW w:w="5080" w:type="dxa"/>
            <w:vAlign w:val="bottom"/>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22.9 %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22.2 %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263.1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268.6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8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8.13</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7.66</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0.47</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6.1 %</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NM - not meaningful</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Net sales for the nine months ended May 31, 2023 increased $46.0 million, or 1.6%, to $2.94 billion compared with $2.90 billion in the prior-year period. Both our ABL and ISG segments benefited from recent price increases. Changes in foreign currency rates, the divestiture from our Sunoptics prismatic skylight business, and the acquisition of KE2 Therm did not have a meaningful impact on net sales for the first nine months of fiscal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Gross profit for the nine months ended May 31, 2023 increased $60.3 million, or 5.0%, to $1.3 billion compared with $1.2 billion in the prior-year period. Gross profit margin increased 140 basis points to 43.2% for the nine months ended May 31, 2023 compared with 41.8% in the prior-year period. Our gross profit increased compared with the prior year as price increases more than offset materials, labor, and other cost escalations.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SD&amp;A expenses for the nine months ended May 31, 2023 were $899.9 million compared with $850.1 million in the prior-year period, an increase of $49.8 million, or 5.9%. The increase in SD&amp;A expense was due primarily to higher commissions associated with higher sales as well as higher employee-related costs.</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Additionally, in the first quarter of fiscal 2023 we recorded $4.0 million of accelerated amortization for intangibles associated with certain brands that were discontinued. We also recognized special charges of $6.9 million during the first quarter of fiscal 2023. Please refer to the </w:t>
      </w:r>
      <w:r>
        <w:rPr>
          <w:rFonts w:ascii="Arial" w:cs="Arial" w:eastAsia="Arial" w:hAnsi="Arial"/>
          <w:sz w:val="18"/>
          <w:szCs w:val="18"/>
          <w:i w:val="1"/>
          <w:iCs w:val="1"/>
          <w:color w:val="auto"/>
        </w:rPr>
        <w:t xml:space="preserve">Special Charges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further details.</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profit for the first nine months of fiscal 2023 was $363.7 million (12.4% of net sales) compared with $360.1 million (12.4% of net sales) for the prior-year period, an increase of $3.6 million, or 1.0%. The increase in operating profit was due primarily to higher gross profit associated with the increase in sales, partially offset by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higher SD&amp;A expenses, which includes the aforementioned acceleration of amortization and special charges in the first quarter of fiscal 2023.</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net, was $16.2 million and $18.1 million for the nine months ended May 31, 2023 and 2022, respectively. The decrease in net interest expense was due to increased investing rates compared to the prior year, partially offset by changes in average short-term borrowings outstanding.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Expense, net</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Miscellaneous expense, net consists of non-service related components of net periodic pension cost, gains and losses associated with foreign currency-related transactions, and non-operating gains and losses.</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reported net miscellaneous expense of $6.1 million for the nine months ended May 31, 2023 and net miscellaneous income of $3.1 million for the nine months ended May 31, 2022. This year-over-year change was largely due to the $11.2 million loss of the sale of the Sunoptics prismatic skylights business during fiscal 2023 as well as higher net pension cost, partially offset by higher gains on foreign currency-related items compared to the prior year.</w:t>
      </w:r>
    </w:p>
    <w:p>
      <w:pPr>
        <w:spacing w:after="0" w:line="10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details of the Sunoptics sale are described in the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 was 22.9% and 22.2% for the nine months ended May 31, 2023 and 2022, respectively.</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income for the first nine months of fiscal 2023 decreased $5.5 million, or 2.0%, to $263.1 million from $ 268.6 million reported for the prior-year period. The decrease in net income resulted primarily from $22.1 million in combined pre-tax losses and special charges recognized from the Sunoptics sale and other restructuring activities as well as accelerated amortization of intangible assets during the first quarter of fiscal 2023, partially offset by the fall through of higher sales. Diluted earnings per share for the nine months ended May 31, 2023 increased $0.47 to $8.13 compared with diluted earnings per share of $7.66 for the prior-year period. This increase reflects lower outstanding diluted shares, partially offset by lower net income.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operating results of our segments, ABL and ISG, for the nine months ended May 31,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2023 and 2022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May 31, 2023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May 31, 2022</w:t>
            </w:r>
          </w:p>
        </w:tc>
        <w:tc>
          <w:tcPr>
            <w:tcW w:w="180" w:type="dxa"/>
            <w:vAlign w:val="bottom"/>
          </w:tcPr>
          <w:p>
            <w:pPr>
              <w:spacing w:after="0"/>
              <w:rPr>
                <w:sz w:val="12"/>
                <w:szCs w:val="12"/>
                <w:color w:val="auto"/>
              </w:rPr>
            </w:pPr>
          </w:p>
        </w:tc>
        <w:tc>
          <w:tcPr>
            <w:tcW w:w="112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2"/>
                <w:szCs w:val="12"/>
                <w:color w:val="auto"/>
              </w:rPr>
            </w:pPr>
          </w:p>
        </w:tc>
        <w:tc>
          <w:tcPr>
            <w:tcW w:w="14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9"/>
        </w:trPr>
        <w:tc>
          <w:tcPr>
            <w:tcW w:w="5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ABL:</w:t>
            </w: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60" w:type="dxa"/>
            <w:vAlign w:val="bottom"/>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2,778.6</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2,755.1</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23.5</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0.9 %</w:t>
            </w:r>
          </w:p>
        </w:tc>
        <w:tc>
          <w:tcPr>
            <w:tcW w:w="0" w:type="dxa"/>
            <w:vAlign w:val="bottom"/>
          </w:tcPr>
          <w:p>
            <w:pPr>
              <w:spacing w:after="0"/>
              <w:rPr>
                <w:sz w:val="1"/>
                <w:szCs w:val="1"/>
                <w:color w:val="auto"/>
              </w:rPr>
            </w:pPr>
          </w:p>
        </w:tc>
      </w:tr>
      <w:tr>
        <w:trPr>
          <w:trHeight w:val="208"/>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391.7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394.2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9"/>
        </w:trPr>
        <w:tc>
          <w:tcPr>
            <w:tcW w:w="5460" w:type="dxa"/>
            <w:vAlign w:val="bottom"/>
          </w:tcPr>
          <w:p>
            <w:pPr>
              <w:ind w:left="20"/>
              <w:spacing w:after="0"/>
              <w:rPr>
                <w:sz w:val="20"/>
                <w:szCs w:val="20"/>
                <w:color w:val="auto"/>
              </w:rPr>
            </w:pPr>
            <w:r>
              <w:rPr>
                <w:rFonts w:ascii="Arial" w:cs="Arial" w:eastAsia="Arial" w:hAnsi="Arial"/>
                <w:sz w:val="14"/>
                <w:szCs w:val="14"/>
                <w:color w:val="auto"/>
              </w:rPr>
              <w:t>Operating profit margin</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14.1 %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14.3 %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1400" w:type="dxa"/>
            <w:vAlign w:val="bottom"/>
          </w:tcPr>
          <w:p>
            <w:pPr>
              <w:jc w:val="right"/>
              <w:ind w:right="1068"/>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ISG:</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180.8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16.9 %</w:t>
            </w:r>
          </w:p>
        </w:tc>
        <w:tc>
          <w:tcPr>
            <w:tcW w:w="0" w:type="dxa"/>
            <w:vAlign w:val="bottom"/>
          </w:tcPr>
          <w:p>
            <w:pPr>
              <w:spacing w:after="0"/>
              <w:rPr>
                <w:sz w:val="1"/>
                <w:szCs w:val="1"/>
                <w:color w:val="auto"/>
              </w:rPr>
            </w:pPr>
          </w:p>
        </w:tc>
      </w:tr>
      <w:tr>
        <w:trPr>
          <w:trHeight w:val="189"/>
        </w:trPr>
        <w:tc>
          <w:tcPr>
            <w:tcW w:w="546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10.3</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83.1 %</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68"/>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ABL net sales for the nine months ended May 31, 2023 increased 0.9% compared with the prior-year period due primarily to higher net sales within the independent sales network, direct sales network, and retail sales channels, partially offset by declines in our OEM and other channel.</w:t>
      </w:r>
    </w:p>
    <w:p>
      <w:pPr>
        <w:spacing w:after="0" w:line="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Operating profit for ABL was $391.7 million (14.1% of ABL net sales) for the nine months ended May 31, 2023 compared to $394.2 million (14.3% of ABL net sales) in the prior-year period, a decrease of $2.5 million. The decrease in operating profit was due primarily to the recognition of nonrecurring items in the first quarter of fiscal 2023, including special charges of $6.9 million and acceleration of amortization for definite-lived intangibles related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to brands that were discontinued of $4.0 million, as well as increased commission rates. These unfavorable impacts were partially offset by profit realized on increased sales.</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ISG net sales for the nine months ended May 31, 2023 increased 16.9% compared with the prior-year period primarily driven by price increases as well as strong demand for building management controls. ISG operating profit was $22.7 million for the nine months ended May 31, 2023 compared with $ 12.4 million in the prior-year period, an increase of $10.3 million. This increase was due primarily to contributions from higher sales, partially offset by increased employee-related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generally accepted accounting principles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preparation of financial statements in conformity with U.S. GAAP requires us to make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affect the reported amounts of assets and liabilities and disclosure of contingent assets and liabilities at the date of the financial statements and reported amounts of revenue and expense during the reporting period. On an ongoing basis, we evaluate our estimates and judgments, including those related to revenue recognition; inventory valuation; goodwill and indefinite-lived intangible assets; share-based payment expense; and product warranty and recall costs. We base our estimates and judgments on our substantial historical experience and other relevant factors, the results of which form the basis for making judgments about the carrying values of assets and liabilities that are not readily apparent from other sources. Actual results could differ from those estimates. We discuss the development of critical accounting estimates with the Audit Committee of the Board of Directors on a recurring basis.</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There have been no material changes in our critical accounting estimates during the current period. For a detailed discussion of other significant accounting policies that may involve a higher degree of judgment, refer to our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This filing contains “forward-looking statements” within the meaning of Section 27A of the Securities Act of 1933, as amended, and Section 21E of the Securities Exchange Act of 1934, as amended, pursuant to the safe harbor provisions of the Private Securities Litigation Reform Act of 1995 (the “Act”). Forward-looking statements use words such as “expect,” “believe,” “intend,” “anticipate,” “indicative,” “projection,” “predict,” “plan,” “may,” “could,” “should,” “would,” “potential,” and words of similar meaning, as well as other words or expressions referencing future events, conditions, or circumstances. We intend these forward-looking statements to be covered by the safe harbor provisions for forward-looking statements contained in the Act. Statements that describe or relate to the Company’s plans, goals, intentions, strategies, or financial outlook, and statements that do not relate to historical or current fact, are examples of forward-looking statements. Forward-looking statements are not guarantees of future performance. Our forward-looking statements are based on our current beliefs, expectations, and assumptions, which may not prove to be accurate, and are subject to known and unknown risks and uncertainties, many of which are outside of our control. These risks and uncertainties could cause actual results to differ materially from our historical experience and management’s present expectations or projections.These risks and uncertainties are discussed in our filings with the U.S. Securities and Exchange Commission, including our most recent annual report on Form 10-K (including, but not limited to,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quarterly reports on Form 10-Q, and current reports on Form 8-K. Any forward-looking statement speaks only as of the date on which it is made. You are cautioned not to place undue reliance on any forward-looking statements. Except as required by law, we undertake no obligation to publicly update or release any revisions to these forward-looking statements to reflect any events or circumstances after the date of this quarterly report or to reflect the occurrence of unanticipated events, whether as a result of new information, future events, or otherwise.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We are exposed to market risks that may impact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Consolidated Statements of Cash Flows </w:t>
      </w:r>
      <w:r>
        <w:rPr>
          <w:rFonts w:ascii="Arial" w:cs="Arial" w:eastAsia="Arial" w:hAnsi="Arial"/>
          <w:sz w:val="18"/>
          <w:szCs w:val="18"/>
          <w:color w:val="auto"/>
        </w:rPr>
        <w:t>due primarily to fluctuations in interest rates, foreign exchange rates, and commodity prices. There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have been no material changes to our exposure from market risks from those disclosed in </w:t>
      </w:r>
      <w:r>
        <w:rPr>
          <w:rFonts w:ascii="Arial" w:cs="Arial" w:eastAsia="Arial" w:hAnsi="Arial"/>
          <w:sz w:val="18"/>
          <w:szCs w:val="18"/>
          <w:i w:val="1"/>
          <w:iCs w:val="1"/>
          <w:color w:val="auto"/>
        </w:rPr>
        <w:t>Part II, Item 7a. Quantitative and Qualitative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About Market Risk </w:t>
      </w:r>
      <w:r>
        <w:rPr>
          <w:rFonts w:ascii="Arial" w:cs="Arial" w:eastAsia="Arial" w:hAnsi="Arial"/>
          <w:sz w:val="18"/>
          <w:szCs w:val="18"/>
          <w:color w:val="auto"/>
        </w:rPr>
        <w:t>of our Form 10-K.</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May 31, 2023. This evaluation was carried out under the supervision and with the participation of management, including the principal executive officer and principal financial officer. Based on this evaluation, these officers have concluded that the design and operation of our disclosure controls and procedures are effective at a reasonable assurance level as of May 31, 2023. 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Information regarding reportable legal proceedings is contained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xml:space="preserve"> in our Form 10-K. Information set forth in this report’s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describes any legal proceedings that became reportable during the three and nine months ended May 31, 2023, and updates any descriptions of previously reported legal proceedings in which there have been material developments during such period. The discussion of legal proceedings included within the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is incorporated into this Item 1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The instability of certain financial institutions may have adverse impacts on certain of our vendors and customers and/or on our ability to access our cash deposits, which could negatively impact our cash flows, results of operations, and financial condition.</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fiscal 2023, there have been public reports of instability at certain financial institutions. Although we do not hold material deposits or investments at these financial institutions, and despite the steps taken to date by U.S. and foreign agencies and institutions to protect depositors, the follow-on effects of the events surrounding recent bank failures and pressure on other financial institutions are unknown, could include failures of other financial institutions to which we face direct or indirect exposure, and may lead to significant disruptions to the cash flows, operations and financial condition of our vendors, customers, and/or us. Additionally, tight credit conditions could impair the ability of real estate developers, property owners, and contractors to effectively access capital markets or obtain reasonable costs of capital on borrowed funds, resulting in depressed levels of construction and renovation projects. The inability of these constituents to borrow money to fund construction and renovation projects may reduce the demand for the Company’s products and services.</w:t>
      </w:r>
    </w:p>
    <w:p>
      <w:pPr>
        <w:spacing w:after="0" w:line="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Other than the item listed above, there have been no material changes in our risk factors from those disclosed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31, 2022, the Board of Directors (the “Board”) authorized the repurchase of up to five million shares of our common stock. Under the current share repurchase authorization, we may repurchase shares of our common stock from time to time at prevailing market prices, depending on market conditions, through open market or privately negotiated transactions. No date has been established for the completion of the share repurchase program, and we are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 As of May 31, 2023, the maximum number of shares that may yet be repurchased under the share repurchase program authorized by the Board equaled 1.5 million shares. The following table reflects activity related to equity securities we repurchased during the quarter ended May 31, 2023:</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Purchases of Equity Securities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8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20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Total Number of Shares</w:t>
            </w:r>
          </w:p>
        </w:tc>
        <w:tc>
          <w:tcPr>
            <w:tcW w:w="19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9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Total Number of Shares</w:t>
            </w:r>
          </w:p>
        </w:tc>
        <w:tc>
          <w:tcPr>
            <w:tcW w:w="2000" w:type="dxa"/>
            <w:vAlign w:val="bottom"/>
            <w:gridSpan w:val="2"/>
            <w:vMerge w:val="restart"/>
          </w:tcPr>
          <w:p>
            <w:pPr>
              <w:jc w:val="right"/>
              <w:ind w:right="39"/>
              <w:spacing w:after="0"/>
              <w:rPr>
                <w:sz w:val="20"/>
                <w:szCs w:val="20"/>
                <w:color w:val="auto"/>
              </w:rPr>
            </w:pPr>
            <w:r>
              <w:rPr>
                <w:rFonts w:ascii="Arial" w:cs="Arial" w:eastAsia="Arial" w:hAnsi="Arial"/>
                <w:sz w:val="16"/>
                <w:szCs w:val="16"/>
                <w:b w:val="1"/>
                <w:bCs w:val="1"/>
                <w:color w:val="auto"/>
              </w:rPr>
              <w:t>Average Price Paid per</w:t>
            </w:r>
          </w:p>
        </w:tc>
        <w:tc>
          <w:tcPr>
            <w:tcW w:w="20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960" w:type="dxa"/>
            <w:vAlign w:val="bottom"/>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0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vMerge w:val="continue"/>
          </w:tcPr>
          <w:p>
            <w:pPr>
              <w:spacing w:after="0"/>
              <w:rPr>
                <w:sz w:val="18"/>
                <w:szCs w:val="18"/>
                <w:color w:val="auto"/>
              </w:rPr>
            </w:pPr>
          </w:p>
        </w:tc>
        <w:tc>
          <w:tcPr>
            <w:tcW w:w="19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Purchased</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Share</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Plans</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3/1/2023 through 3/31/2023</w:t>
            </w:r>
          </w:p>
        </w:tc>
        <w:tc>
          <w:tcPr>
            <w:tcW w:w="1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78,885</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187.15</w:t>
            </w:r>
          </w:p>
        </w:tc>
        <w:tc>
          <w:tcPr>
            <w:tcW w:w="2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78,885</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2,037,257</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4/1/2023 through 4/30/2023</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221,091</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160.78</w:t>
            </w:r>
          </w:p>
        </w:tc>
        <w:tc>
          <w:tcPr>
            <w:tcW w:w="2020" w:type="dxa"/>
            <w:vAlign w:val="bottom"/>
          </w:tcPr>
          <w:p>
            <w:pPr>
              <w:jc w:val="right"/>
              <w:ind w:right="59"/>
              <w:spacing w:after="0"/>
              <w:rPr>
                <w:sz w:val="20"/>
                <w:szCs w:val="20"/>
                <w:color w:val="auto"/>
              </w:rPr>
            </w:pPr>
            <w:r>
              <w:rPr>
                <w:rFonts w:ascii="Arial" w:cs="Arial" w:eastAsia="Arial" w:hAnsi="Arial"/>
                <w:sz w:val="16"/>
                <w:szCs w:val="16"/>
                <w:color w:val="auto"/>
              </w:rPr>
              <w:t>221,091</w:t>
            </w:r>
          </w:p>
        </w:tc>
        <w:tc>
          <w:tcPr>
            <w:tcW w:w="1960" w:type="dxa"/>
            <w:vAlign w:val="bottom"/>
          </w:tcPr>
          <w:p>
            <w:pPr>
              <w:jc w:val="right"/>
              <w:spacing w:after="0"/>
              <w:rPr>
                <w:sz w:val="20"/>
                <w:szCs w:val="20"/>
                <w:color w:val="auto"/>
              </w:rPr>
            </w:pPr>
            <w:r>
              <w:rPr>
                <w:rFonts w:ascii="Arial" w:cs="Arial" w:eastAsia="Arial" w:hAnsi="Arial"/>
                <w:sz w:val="16"/>
                <w:szCs w:val="16"/>
                <w:color w:val="auto"/>
              </w:rPr>
              <w:t>1,816,166</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5/1/2023 through 5/31/2023</w:t>
            </w:r>
          </w:p>
        </w:tc>
        <w:tc>
          <w:tcPr>
            <w:tcW w:w="1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279,640</w:t>
            </w:r>
          </w:p>
        </w:tc>
        <w:tc>
          <w:tcPr>
            <w:tcW w:w="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158.92</w:t>
            </w:r>
          </w:p>
        </w:tc>
        <w:tc>
          <w:tcPr>
            <w:tcW w:w="2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279,640</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1,536,526</w:t>
            </w:r>
          </w:p>
        </w:tc>
        <w:tc>
          <w:tcPr>
            <w:tcW w:w="0" w:type="dxa"/>
            <w:vAlign w:val="bottom"/>
          </w:tcPr>
          <w:p>
            <w:pPr>
              <w:spacing w:after="0"/>
              <w:rPr>
                <w:sz w:val="1"/>
                <w:szCs w:val="1"/>
                <w:color w:val="auto"/>
              </w:rPr>
            </w:pPr>
          </w:p>
        </w:tc>
      </w:tr>
      <w:tr>
        <w:trPr>
          <w:trHeight w:val="203"/>
        </w:trPr>
        <w:tc>
          <w:tcPr>
            <w:tcW w:w="3280" w:type="dxa"/>
            <w:vAlign w:val="bottom"/>
          </w:tcPr>
          <w:p>
            <w:pPr>
              <w:ind w:left="20"/>
              <w:spacing w:after="0"/>
              <w:rPr>
                <w:sz w:val="20"/>
                <w:szCs w:val="20"/>
                <w:color w:val="auto"/>
              </w:rPr>
            </w:pPr>
            <w:r>
              <w:rPr>
                <w:rFonts w:ascii="Arial" w:cs="Arial" w:eastAsia="Arial" w:hAnsi="Arial"/>
                <w:sz w:val="16"/>
                <w:szCs w:val="16"/>
                <w:color w:val="auto"/>
              </w:rPr>
              <w:t>Total</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579,616</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163.47</w:t>
            </w:r>
          </w:p>
        </w:tc>
        <w:tc>
          <w:tcPr>
            <w:tcW w:w="2020" w:type="dxa"/>
            <w:vAlign w:val="bottom"/>
          </w:tcPr>
          <w:p>
            <w:pPr>
              <w:jc w:val="right"/>
              <w:ind w:right="59"/>
              <w:spacing w:after="0"/>
              <w:rPr>
                <w:sz w:val="20"/>
                <w:szCs w:val="20"/>
                <w:color w:val="auto"/>
              </w:rPr>
            </w:pPr>
            <w:r>
              <w:rPr>
                <w:rFonts w:ascii="Arial" w:cs="Arial" w:eastAsia="Arial" w:hAnsi="Arial"/>
                <w:sz w:val="16"/>
                <w:szCs w:val="16"/>
                <w:color w:val="auto"/>
              </w:rPr>
              <w:t>579,616</w:t>
            </w:r>
          </w:p>
        </w:tc>
        <w:tc>
          <w:tcPr>
            <w:tcW w:w="1960" w:type="dxa"/>
            <w:vAlign w:val="bottom"/>
          </w:tcPr>
          <w:p>
            <w:pPr>
              <w:jc w:val="right"/>
              <w:spacing w:after="0"/>
              <w:rPr>
                <w:sz w:val="20"/>
                <w:szCs w:val="20"/>
                <w:color w:val="auto"/>
              </w:rPr>
            </w:pPr>
            <w:r>
              <w:rPr>
                <w:rFonts w:ascii="Arial" w:cs="Arial" w:eastAsia="Arial" w:hAnsi="Arial"/>
                <w:sz w:val="16"/>
                <w:szCs w:val="16"/>
                <w:color w:val="auto"/>
              </w:rPr>
              <w:t>1,536,526</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Exhibits are listed on the </w:t>
      </w:r>
      <w:r>
        <w:rPr>
          <w:rFonts w:ascii="Arial" w:cs="Arial" w:eastAsia="Arial" w:hAnsi="Arial"/>
          <w:sz w:val="18"/>
          <w:szCs w:val="18"/>
          <w:u w:val="single" w:color="auto"/>
          <w:color w:val="0000FF"/>
        </w:rPr>
        <w:t>Index to Exhibits</w:t>
      </w: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48" w:right="1440"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40" w:type="dxa"/>
            <w:vAlign w:val="bottom"/>
            <w:gridSpan w:val="13"/>
          </w:tcPr>
          <w:p>
            <w:pPr>
              <w:jc w:val="right"/>
              <w:ind w:right="300"/>
              <w:spacing w:after="0"/>
              <w:rPr>
                <w:sz w:val="20"/>
                <w:szCs w:val="20"/>
                <w:color w:val="auto"/>
              </w:rPr>
            </w:pPr>
            <w:r>
              <w:rPr>
                <w:rFonts w:ascii="Arial" w:cs="Arial" w:eastAsia="Arial" w:hAnsi="Arial"/>
                <w:sz w:val="16"/>
                <w:szCs w:val="16"/>
                <w:b w:val="1"/>
                <w:bCs w:val="1"/>
                <w:color w:val="auto"/>
              </w:rPr>
              <w:t>INDEX TO EXHIBITS</w:t>
            </w:r>
          </w:p>
        </w:tc>
      </w:tr>
      <w:tr>
        <w:trPr>
          <w:trHeight w:val="412"/>
        </w:trPr>
        <w:tc>
          <w:tcPr>
            <w:tcW w:w="1340" w:type="dxa"/>
            <w:vAlign w:val="bottom"/>
          </w:tcPr>
          <w:p>
            <w:pPr>
              <w:spacing w:after="0"/>
              <w:rPr>
                <w:sz w:val="20"/>
                <w:szCs w:val="20"/>
                <w:color w:val="auto"/>
              </w:rPr>
            </w:pPr>
            <w:r>
              <w:rPr>
                <w:rFonts w:ascii="Arial" w:cs="Arial" w:eastAsia="Arial" w:hAnsi="Arial"/>
                <w:sz w:val="16"/>
                <w:szCs w:val="16"/>
                <w:color w:val="auto"/>
              </w:rPr>
              <w:t>EXHIBIT 3</w:t>
            </w:r>
          </w:p>
        </w:tc>
        <w:tc>
          <w:tcPr>
            <w:tcW w:w="1020" w:type="dxa"/>
            <w:vAlign w:val="bottom"/>
          </w:tcPr>
          <w:p>
            <w:pPr>
              <w:ind w:left="400"/>
              <w:spacing w:after="0"/>
              <w:rPr>
                <w:sz w:val="20"/>
                <w:szCs w:val="20"/>
                <w:color w:val="auto"/>
              </w:rPr>
            </w:pPr>
            <w:r>
              <w:rPr>
                <w:rFonts w:ascii="Arial" w:cs="Arial" w:eastAsia="Arial" w:hAnsi="Arial"/>
                <w:sz w:val="16"/>
                <w:szCs w:val="16"/>
                <w:color w:val="auto"/>
              </w:rPr>
              <w:t>(a)</w:t>
            </w:r>
          </w:p>
        </w:tc>
        <w:tc>
          <w:tcPr>
            <w:tcW w:w="4300" w:type="dxa"/>
            <w:vAlign w:val="bottom"/>
            <w:gridSpan w:val="17"/>
          </w:tcPr>
          <w:p>
            <w:pPr>
              <w:spacing w:after="0"/>
              <w:rPr>
                <w:rFonts w:ascii="Arial" w:cs="Arial" w:eastAsia="Arial" w:hAnsi="Arial"/>
                <w:sz w:val="16"/>
                <w:szCs w:val="16"/>
                <w:color w:val="0000FF"/>
              </w:rPr>
            </w:pPr>
            <w:hyperlink r:id="rId66">
              <w:r>
                <w:rPr>
                  <w:rFonts w:ascii="Arial" w:cs="Arial" w:eastAsia="Arial" w:hAnsi="Arial"/>
                  <w:sz w:val="16"/>
                  <w:szCs w:val="16"/>
                  <w:color w:val="0000FF"/>
                </w:rPr>
                <w:t>Restated Certificate of Incorporation of Acuity Brands, Inc.</w:t>
              </w:r>
            </w:hyperlink>
          </w:p>
        </w:tc>
      </w:tr>
      <w:tr>
        <w:trPr>
          <w:trHeight w:val="142"/>
        </w:trPr>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16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66">
              <w:r>
                <w:rPr>
                  <w:rFonts w:ascii="Arial" w:cs="Arial" w:eastAsia="Arial" w:hAnsi="Arial"/>
                  <w:sz w:val="16"/>
                  <w:szCs w:val="16"/>
                  <w:color w:val="0000FF"/>
                </w:rPr>
                <w:t>(formerly Acuity Brands Holdings, Inc.), dated as of</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66">
              <w:r>
                <w:rPr>
                  <w:rFonts w:ascii="Arial" w:cs="Arial" w:eastAsia="Arial" w:hAnsi="Arial"/>
                  <w:sz w:val="16"/>
                  <w:szCs w:val="16"/>
                  <w:color w:val="0000FF"/>
                </w:rPr>
                <w:t>September 26, 2007.</w:t>
              </w:r>
            </w:hyperlink>
          </w:p>
        </w:tc>
        <w:tc>
          <w:tcPr>
            <w:tcW w:w="2120" w:type="dxa"/>
            <w:vAlign w:val="bottom"/>
            <w:tcBorders>
              <w:top w:val="single" w:sz="8" w:color="0000FF"/>
            </w:tcBorders>
            <w:gridSpan w:val="3"/>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1020" w:type="dxa"/>
            <w:vAlign w:val="bottom"/>
          </w:tcPr>
          <w:p>
            <w:pPr>
              <w:ind w:left="400"/>
              <w:spacing w:after="0"/>
              <w:rPr>
                <w:sz w:val="20"/>
                <w:szCs w:val="20"/>
                <w:color w:val="auto"/>
              </w:rPr>
            </w:pPr>
            <w:r>
              <w:rPr>
                <w:rFonts w:ascii="Arial" w:cs="Arial" w:eastAsia="Arial" w:hAnsi="Arial"/>
                <w:sz w:val="16"/>
                <w:szCs w:val="16"/>
                <w:color w:val="auto"/>
              </w:rPr>
              <w:t>(b)</w:t>
            </w:r>
          </w:p>
        </w:tc>
        <w:tc>
          <w:tcPr>
            <w:tcW w:w="4300" w:type="dxa"/>
            <w:vAlign w:val="bottom"/>
            <w:gridSpan w:val="17"/>
          </w:tcPr>
          <w:p>
            <w:pPr>
              <w:spacing w:after="0"/>
              <w:rPr>
                <w:rFonts w:ascii="Arial" w:cs="Arial" w:eastAsia="Arial" w:hAnsi="Arial"/>
                <w:sz w:val="16"/>
                <w:szCs w:val="16"/>
                <w:color w:val="0000FF"/>
              </w:rPr>
            </w:pPr>
            <w:hyperlink r:id="rId67">
              <w:r>
                <w:rPr>
                  <w:rFonts w:ascii="Arial" w:cs="Arial" w:eastAsia="Arial" w:hAnsi="Arial"/>
                  <w:sz w:val="16"/>
                  <w:szCs w:val="16"/>
                  <w:color w:val="0000FF"/>
                </w:rPr>
                <w:t>Certificate of Amendment of Restated Certification of</w:t>
              </w:r>
            </w:hyperlink>
          </w:p>
        </w:tc>
      </w:tr>
      <w:tr>
        <w:trPr>
          <w:trHeight w:val="142"/>
        </w:trPr>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78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Incorporation of Acuity Brands, Inc. (formerly Acuity</w:t>
              </w:r>
            </w:hyperlink>
          </w:p>
        </w:tc>
        <w:tc>
          <w:tcPr>
            <w:tcW w:w="520" w:type="dxa"/>
            <w:vAlign w:val="bottom"/>
            <w:gridSpan w:val="10"/>
          </w:tcPr>
          <w:p>
            <w:pPr>
              <w:jc w:val="right"/>
              <w:ind w:right="60"/>
              <w:spacing w:after="0" w:line="142" w:lineRule="exact"/>
              <w:rPr>
                <w:rFonts w:ascii="Arial" w:cs="Arial" w:eastAsia="Arial" w:hAnsi="Arial"/>
                <w:sz w:val="16"/>
                <w:szCs w:val="16"/>
                <w:color w:val="0000FF"/>
                <w:w w:val="86"/>
              </w:rPr>
            </w:pPr>
            <w:hyperlink r:id="rId67">
              <w:r>
                <w:rPr>
                  <w:rFonts w:ascii="Arial" w:cs="Arial" w:eastAsia="Arial" w:hAnsi="Arial"/>
                  <w:sz w:val="16"/>
                  <w:szCs w:val="16"/>
                  <w:color w:val="0000FF"/>
                  <w:w w:val="86"/>
                </w:rPr>
                <w:t>Brands</w:t>
              </w:r>
            </w:hyperlink>
          </w:p>
        </w:tc>
      </w:tr>
      <w:tr>
        <w:trPr>
          <w:trHeight w:val="142"/>
        </w:trPr>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4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Holdings, Inc.), dated as of September 26, 2007.</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1020" w:type="dxa"/>
            <w:vAlign w:val="bottom"/>
          </w:tcPr>
          <w:p>
            <w:pPr>
              <w:ind w:left="400"/>
              <w:spacing w:after="0"/>
              <w:rPr>
                <w:sz w:val="20"/>
                <w:szCs w:val="20"/>
                <w:color w:val="auto"/>
              </w:rPr>
            </w:pPr>
            <w:r>
              <w:rPr>
                <w:rFonts w:ascii="Arial" w:cs="Arial" w:eastAsia="Arial" w:hAnsi="Arial"/>
                <w:sz w:val="16"/>
                <w:szCs w:val="16"/>
                <w:color w:val="auto"/>
              </w:rPr>
              <w:t>(c)</w:t>
            </w:r>
          </w:p>
        </w:tc>
        <w:tc>
          <w:tcPr>
            <w:tcW w:w="4300" w:type="dxa"/>
            <w:vAlign w:val="bottom"/>
            <w:gridSpan w:val="17"/>
          </w:tcPr>
          <w:p>
            <w:pPr>
              <w:spacing w:after="0"/>
              <w:rPr>
                <w:rFonts w:ascii="Arial" w:cs="Arial" w:eastAsia="Arial" w:hAnsi="Arial"/>
                <w:sz w:val="16"/>
                <w:szCs w:val="16"/>
                <w:color w:val="0000FF"/>
              </w:rPr>
            </w:pPr>
            <w:hyperlink r:id="rId68">
              <w:r>
                <w:rPr>
                  <w:rFonts w:ascii="Arial" w:cs="Arial" w:eastAsia="Arial" w:hAnsi="Arial"/>
                  <w:sz w:val="16"/>
                  <w:szCs w:val="16"/>
                  <w:color w:val="0000FF"/>
                </w:rPr>
                <w:t>Certificate of Amendment to the Restated Certificate of</w:t>
              </w:r>
            </w:hyperlink>
          </w:p>
        </w:tc>
      </w:tr>
      <w:tr>
        <w:trPr>
          <w:trHeight w:val="142"/>
        </w:trPr>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92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7"/>
              </w:rPr>
            </w:pPr>
            <w:hyperlink r:id="rId68">
              <w:r>
                <w:rPr>
                  <w:rFonts w:ascii="Arial" w:cs="Arial" w:eastAsia="Arial" w:hAnsi="Arial"/>
                  <w:sz w:val="16"/>
                  <w:szCs w:val="16"/>
                  <w:color w:val="0000FF"/>
                  <w:w w:val="97"/>
                </w:rPr>
                <w:t>Incorporation of Acuity Brands, Inc., dated as of January</w:t>
              </w:r>
            </w:hyperlink>
          </w:p>
        </w:tc>
        <w:tc>
          <w:tcPr>
            <w:tcW w:w="280" w:type="dxa"/>
            <w:vAlign w:val="bottom"/>
            <w:tcBorders>
              <w:bottom w:val="single" w:sz="8" w:color="0000FF"/>
            </w:tcBorders>
            <w:gridSpan w:val="5"/>
          </w:tcPr>
          <w:p>
            <w:pPr>
              <w:jc w:val="right"/>
              <w:spacing w:after="0" w:line="142" w:lineRule="exact"/>
              <w:rPr>
                <w:rFonts w:ascii="Arial" w:cs="Arial" w:eastAsia="Arial" w:hAnsi="Arial"/>
                <w:sz w:val="16"/>
                <w:szCs w:val="16"/>
                <w:color w:val="0000FF"/>
              </w:rPr>
            </w:pPr>
            <w:hyperlink r:id="rId68">
              <w:r>
                <w:rPr>
                  <w:rFonts w:ascii="Arial" w:cs="Arial" w:eastAsia="Arial" w:hAnsi="Arial"/>
                  <w:sz w:val="16"/>
                  <w:szCs w:val="16"/>
                  <w:color w:val="0000FF"/>
                </w:rPr>
                <w:t>6,</w:t>
              </w:r>
            </w:hyperlink>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Borders>
              <w:bottom w:val="single" w:sz="8" w:color="0000FF"/>
            </w:tcBorders>
          </w:tcPr>
          <w:p>
            <w:pPr>
              <w:spacing w:after="0" w:line="142" w:lineRule="exact"/>
              <w:rPr>
                <w:rFonts w:ascii="Arial" w:cs="Arial" w:eastAsia="Arial" w:hAnsi="Arial"/>
                <w:sz w:val="16"/>
                <w:szCs w:val="16"/>
                <w:color w:val="0000FF"/>
                <w:w w:val="94"/>
              </w:rPr>
            </w:pPr>
            <w:hyperlink r:id="rId68">
              <w:r>
                <w:rPr>
                  <w:rFonts w:ascii="Arial" w:cs="Arial" w:eastAsia="Arial" w:hAnsi="Arial"/>
                  <w:sz w:val="16"/>
                  <w:szCs w:val="16"/>
                  <w:color w:val="0000FF"/>
                  <w:w w:val="94"/>
                </w:rPr>
                <w:t>2017.</w:t>
              </w:r>
            </w:hyperlink>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1020" w:type="dxa"/>
            <w:vAlign w:val="bottom"/>
          </w:tcPr>
          <w:p>
            <w:pPr>
              <w:ind w:left="400"/>
              <w:spacing w:after="0"/>
              <w:rPr>
                <w:sz w:val="20"/>
                <w:szCs w:val="20"/>
                <w:color w:val="auto"/>
              </w:rPr>
            </w:pPr>
            <w:r>
              <w:rPr>
                <w:rFonts w:ascii="Arial" w:cs="Arial" w:eastAsia="Arial" w:hAnsi="Arial"/>
                <w:sz w:val="16"/>
                <w:szCs w:val="16"/>
                <w:color w:val="auto"/>
              </w:rPr>
              <w:t>(d)</w:t>
            </w:r>
          </w:p>
        </w:tc>
        <w:tc>
          <w:tcPr>
            <w:tcW w:w="4300" w:type="dxa"/>
            <w:vAlign w:val="bottom"/>
            <w:gridSpan w:val="17"/>
          </w:tcPr>
          <w:p>
            <w:pPr>
              <w:spacing w:after="0"/>
              <w:rPr>
                <w:rFonts w:ascii="Arial" w:cs="Arial" w:eastAsia="Arial" w:hAnsi="Arial"/>
                <w:sz w:val="16"/>
                <w:szCs w:val="16"/>
                <w:color w:val="0000FF"/>
              </w:rPr>
            </w:pPr>
            <w:hyperlink r:id="rId69">
              <w:r>
                <w:rPr>
                  <w:rFonts w:ascii="Arial" w:cs="Arial" w:eastAsia="Arial" w:hAnsi="Arial"/>
                  <w:sz w:val="16"/>
                  <w:szCs w:val="16"/>
                  <w:color w:val="0000FF"/>
                </w:rPr>
                <w:t>Certificate of Amendment to the Restated Certificate of</w:t>
              </w:r>
            </w:hyperlink>
          </w:p>
        </w:tc>
      </w:tr>
      <w:tr>
        <w:trPr>
          <w:trHeight w:val="142"/>
        </w:trPr>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920" w:type="dxa"/>
            <w:vAlign w:val="bottom"/>
            <w:tcBorders>
              <w:top w:val="single" w:sz="8" w:color="0000FF"/>
            </w:tcBorders>
            <w:gridSpan w:val="9"/>
          </w:tcPr>
          <w:p>
            <w:pPr>
              <w:spacing w:after="0" w:line="142" w:lineRule="exact"/>
              <w:rPr>
                <w:rFonts w:ascii="Arial" w:cs="Arial" w:eastAsia="Arial" w:hAnsi="Arial"/>
                <w:sz w:val="16"/>
                <w:szCs w:val="16"/>
                <w:color w:val="0000FF"/>
                <w:w w:val="97"/>
              </w:rPr>
            </w:pPr>
            <w:hyperlink r:id="rId69">
              <w:r>
                <w:rPr>
                  <w:rFonts w:ascii="Arial" w:cs="Arial" w:eastAsia="Arial" w:hAnsi="Arial"/>
                  <w:sz w:val="16"/>
                  <w:szCs w:val="16"/>
                  <w:color w:val="0000FF"/>
                  <w:w w:val="97"/>
                </w:rPr>
                <w:t>Incorporation of Acuity Brands, Inc., dated as of January</w:t>
              </w:r>
            </w:hyperlink>
          </w:p>
        </w:tc>
        <w:tc>
          <w:tcPr>
            <w:tcW w:w="340" w:type="dxa"/>
            <w:vAlign w:val="bottom"/>
            <w:gridSpan w:val="7"/>
          </w:tcPr>
          <w:p>
            <w:pPr>
              <w:jc w:val="right"/>
              <w:ind w:right="60"/>
              <w:spacing w:after="0" w:line="142" w:lineRule="exact"/>
              <w:rPr>
                <w:rFonts w:ascii="Arial" w:cs="Arial" w:eastAsia="Arial" w:hAnsi="Arial"/>
                <w:sz w:val="16"/>
                <w:szCs w:val="16"/>
                <w:color w:val="0000FF"/>
              </w:rPr>
            </w:pPr>
            <w:hyperlink r:id="rId69">
              <w:r>
                <w:rPr>
                  <w:rFonts w:ascii="Arial" w:cs="Arial" w:eastAsia="Arial" w:hAnsi="Arial"/>
                  <w:sz w:val="16"/>
                  <w:szCs w:val="16"/>
                  <w:color w:val="0000FF"/>
                </w:rPr>
                <w:t>7,</w:t>
              </w:r>
            </w:hyperlink>
          </w:p>
        </w:tc>
        <w:tc>
          <w:tcPr>
            <w:tcW w:w="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4"/>
              </w:rPr>
            </w:pPr>
            <w:hyperlink r:id="rId69">
              <w:r>
                <w:rPr>
                  <w:rFonts w:ascii="Arial" w:cs="Arial" w:eastAsia="Arial" w:hAnsi="Arial"/>
                  <w:sz w:val="16"/>
                  <w:szCs w:val="16"/>
                  <w:color w:val="0000FF"/>
                  <w:w w:val="94"/>
                </w:rPr>
                <w:t>2021.</w:t>
              </w:r>
            </w:hyperlink>
          </w:p>
        </w:tc>
        <w:tc>
          <w:tcPr>
            <w:tcW w:w="36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14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1020" w:type="dxa"/>
            <w:vAlign w:val="bottom"/>
          </w:tcPr>
          <w:p>
            <w:pPr>
              <w:ind w:left="400"/>
              <w:spacing w:after="0"/>
              <w:rPr>
                <w:sz w:val="20"/>
                <w:szCs w:val="20"/>
                <w:color w:val="auto"/>
              </w:rPr>
            </w:pPr>
            <w:r>
              <w:rPr>
                <w:rFonts w:ascii="Arial" w:cs="Arial" w:eastAsia="Arial" w:hAnsi="Arial"/>
                <w:sz w:val="16"/>
                <w:szCs w:val="16"/>
                <w:color w:val="auto"/>
              </w:rPr>
              <w:t>(e)</w:t>
            </w:r>
          </w:p>
        </w:tc>
        <w:tc>
          <w:tcPr>
            <w:tcW w:w="4300" w:type="dxa"/>
            <w:vAlign w:val="bottom"/>
            <w:gridSpan w:val="17"/>
          </w:tcPr>
          <w:p>
            <w:pPr>
              <w:spacing w:after="0"/>
              <w:rPr>
                <w:rFonts w:ascii="Arial" w:cs="Arial" w:eastAsia="Arial" w:hAnsi="Arial"/>
                <w:sz w:val="16"/>
                <w:szCs w:val="16"/>
                <w:color w:val="0000FF"/>
              </w:rPr>
            </w:pPr>
            <w:hyperlink r:id="rId70">
              <w:r>
                <w:rPr>
                  <w:rFonts w:ascii="Arial" w:cs="Arial" w:eastAsia="Arial" w:hAnsi="Arial"/>
                  <w:sz w:val="16"/>
                  <w:szCs w:val="16"/>
                  <w:color w:val="0000FF"/>
                </w:rPr>
                <w:t>Amended and Restated Bylaws of Acuity Brands, Inc.,</w:t>
              </w:r>
            </w:hyperlink>
          </w:p>
        </w:tc>
      </w:tr>
      <w:tr>
        <w:trPr>
          <w:trHeight w:val="142"/>
        </w:trPr>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6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70">
              <w:r>
                <w:rPr>
                  <w:rFonts w:ascii="Arial" w:cs="Arial" w:eastAsia="Arial" w:hAnsi="Arial"/>
                  <w:sz w:val="16"/>
                  <w:szCs w:val="16"/>
                  <w:color w:val="0000FF"/>
                </w:rPr>
                <w:t>dated as of January 7, 2021.</w:t>
              </w:r>
            </w:hyperlink>
          </w:p>
        </w:tc>
        <w:tc>
          <w:tcPr>
            <w:tcW w:w="1820" w:type="dxa"/>
            <w:vAlign w:val="bottom"/>
            <w:tcBorders>
              <w:top w:val="single" w:sz="8" w:color="0000FF"/>
            </w:tcBorders>
            <w:gridSpan w:val="4"/>
          </w:tcPr>
          <w:p>
            <w:pPr>
              <w:spacing w:after="0"/>
              <w:rPr>
                <w:sz w:val="12"/>
                <w:szCs w:val="12"/>
                <w:color w:val="auto"/>
              </w:rPr>
            </w:pPr>
          </w:p>
        </w:tc>
        <w:tc>
          <w:tcPr>
            <w:tcW w:w="1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r>
      <w:tr>
        <w:trPr>
          <w:trHeight w:val="358"/>
        </w:trPr>
        <w:tc>
          <w:tcPr>
            <w:tcW w:w="1340" w:type="dxa"/>
            <w:vAlign w:val="bottom"/>
          </w:tcPr>
          <w:p>
            <w:pPr>
              <w:spacing w:after="0"/>
              <w:rPr>
                <w:sz w:val="20"/>
                <w:szCs w:val="20"/>
                <w:color w:val="auto"/>
              </w:rPr>
            </w:pPr>
            <w:r>
              <w:rPr>
                <w:rFonts w:ascii="Arial" w:cs="Arial" w:eastAsia="Arial" w:hAnsi="Arial"/>
                <w:sz w:val="16"/>
                <w:szCs w:val="16"/>
                <w:color w:val="auto"/>
              </w:rPr>
              <w:t>EXHIBIT 22</w:t>
            </w:r>
          </w:p>
        </w:tc>
        <w:tc>
          <w:tcPr>
            <w:tcW w:w="1020" w:type="dxa"/>
            <w:vAlign w:val="bottom"/>
          </w:tcPr>
          <w:p>
            <w:pPr>
              <w:spacing w:after="0"/>
              <w:rPr>
                <w:sz w:val="24"/>
                <w:szCs w:val="24"/>
                <w:color w:val="auto"/>
              </w:rPr>
            </w:pPr>
          </w:p>
        </w:tc>
        <w:tc>
          <w:tcPr>
            <w:tcW w:w="4300" w:type="dxa"/>
            <w:vAlign w:val="bottom"/>
            <w:gridSpan w:val="17"/>
          </w:tcPr>
          <w:p>
            <w:pPr>
              <w:spacing w:after="0"/>
              <w:rPr>
                <w:rFonts w:ascii="Arial" w:cs="Arial" w:eastAsia="Arial" w:hAnsi="Arial"/>
                <w:sz w:val="16"/>
                <w:szCs w:val="16"/>
                <w:color w:val="0000FF"/>
              </w:rPr>
            </w:pPr>
            <w:hyperlink r:id="rId71">
              <w:r>
                <w:rPr>
                  <w:rFonts w:ascii="Arial" w:cs="Arial" w:eastAsia="Arial" w:hAnsi="Arial"/>
                  <w:sz w:val="16"/>
                  <w:szCs w:val="16"/>
                  <w:color w:val="0000FF"/>
                </w:rPr>
                <w:t>List of Guarantors and Subsidiary Issuers of Guaranteed</w:t>
              </w:r>
            </w:hyperlink>
          </w:p>
        </w:tc>
      </w:tr>
      <w:tr>
        <w:trPr>
          <w:trHeight w:val="142"/>
        </w:trPr>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9"/>
              </w:rPr>
            </w:pPr>
            <w:hyperlink r:id="rId71">
              <w:r>
                <w:rPr>
                  <w:rFonts w:ascii="Arial" w:cs="Arial" w:eastAsia="Arial" w:hAnsi="Arial"/>
                  <w:sz w:val="16"/>
                  <w:szCs w:val="16"/>
                  <w:color w:val="0000FF"/>
                  <w:w w:val="99"/>
                </w:rPr>
                <w:t>Securities.</w:t>
              </w:r>
            </w:hyperlink>
          </w:p>
        </w:tc>
        <w:tc>
          <w:tcPr>
            <w:tcW w:w="3300" w:type="dxa"/>
            <w:vAlign w:val="bottom"/>
            <w:tcBorders>
              <w:top w:val="single" w:sz="8" w:color="0000FF"/>
            </w:tcBorders>
            <w:gridSpan w:val="8"/>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r>
      <w:tr>
        <w:trPr>
          <w:trHeight w:val="358"/>
        </w:trPr>
        <w:tc>
          <w:tcPr>
            <w:tcW w:w="1340" w:type="dxa"/>
            <w:vAlign w:val="bottom"/>
          </w:tcPr>
          <w:p>
            <w:pPr>
              <w:spacing w:after="0"/>
              <w:rPr>
                <w:sz w:val="20"/>
                <w:szCs w:val="20"/>
                <w:color w:val="auto"/>
              </w:rPr>
            </w:pPr>
            <w:r>
              <w:rPr>
                <w:rFonts w:ascii="Arial" w:cs="Arial" w:eastAsia="Arial" w:hAnsi="Arial"/>
                <w:sz w:val="16"/>
                <w:szCs w:val="16"/>
                <w:color w:val="auto"/>
              </w:rPr>
              <w:t>EXHIBIT 31</w:t>
            </w:r>
          </w:p>
        </w:tc>
        <w:tc>
          <w:tcPr>
            <w:tcW w:w="1020" w:type="dxa"/>
            <w:vAlign w:val="bottom"/>
          </w:tcPr>
          <w:p>
            <w:pPr>
              <w:ind w:left="400"/>
              <w:spacing w:after="0"/>
              <w:rPr>
                <w:sz w:val="20"/>
                <w:szCs w:val="20"/>
                <w:color w:val="auto"/>
              </w:rPr>
            </w:pPr>
            <w:r>
              <w:rPr>
                <w:rFonts w:ascii="Arial" w:cs="Arial" w:eastAsia="Arial" w:hAnsi="Arial"/>
                <w:sz w:val="16"/>
                <w:szCs w:val="16"/>
                <w:color w:val="auto"/>
              </w:rPr>
              <w:t>(a)</w:t>
            </w:r>
          </w:p>
        </w:tc>
        <w:tc>
          <w:tcPr>
            <w:tcW w:w="4300" w:type="dxa"/>
            <w:vAlign w:val="bottom"/>
            <w:gridSpan w:val="17"/>
          </w:tcPr>
          <w:p>
            <w:pPr>
              <w:spacing w:after="0"/>
              <w:rPr>
                <w:sz w:val="20"/>
                <w:szCs w:val="20"/>
                <w:color w:val="auto"/>
              </w:rPr>
            </w:pPr>
            <w:r>
              <w:rPr>
                <w:rFonts w:ascii="Arial" w:cs="Arial" w:eastAsia="Arial" w:hAnsi="Arial"/>
                <w:sz w:val="16"/>
                <w:szCs w:val="16"/>
                <w:color w:val="0000FF"/>
              </w:rPr>
              <w:t>Certification of the Chief Executive Officer of the Company</w:t>
            </w:r>
          </w:p>
        </w:tc>
      </w:tr>
      <w:tr>
        <w:trPr>
          <w:trHeight w:val="142"/>
        </w:trPr>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180" w:type="dxa"/>
            <w:vAlign w:val="bottom"/>
            <w:tcBorders>
              <w:top w:val="single" w:sz="8" w:color="0000FF"/>
              <w:bottom w:val="single" w:sz="8" w:color="0000FF"/>
            </w:tcBorders>
            <w:gridSpan w:val="13"/>
          </w:tcPr>
          <w:p>
            <w:pPr>
              <w:spacing w:after="0" w:line="142" w:lineRule="exact"/>
              <w:rPr>
                <w:sz w:val="20"/>
                <w:szCs w:val="20"/>
                <w:color w:val="auto"/>
              </w:rPr>
            </w:pPr>
            <w:r>
              <w:rPr>
                <w:rFonts w:ascii="Arial" w:cs="Arial" w:eastAsia="Arial" w:hAnsi="Arial"/>
                <w:sz w:val="16"/>
                <w:szCs w:val="16"/>
                <w:color w:val="0000FF"/>
                <w:w w:val="98"/>
              </w:rPr>
              <w:t>pursuant to Section 302 of the Sarbanes-Oxley Act of 2002.</w:t>
            </w:r>
          </w:p>
        </w:tc>
        <w:tc>
          <w:tcPr>
            <w:tcW w:w="80" w:type="dxa"/>
            <w:vAlign w:val="bottom"/>
            <w:tcBorders>
              <w:bottom w:val="single" w:sz="8" w:color="0000FF"/>
            </w:tcBorders>
            <w:gridSpan w:val="3"/>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1020" w:type="dxa"/>
            <w:vAlign w:val="bottom"/>
          </w:tcPr>
          <w:p>
            <w:pPr>
              <w:ind w:left="400"/>
              <w:spacing w:after="0"/>
              <w:rPr>
                <w:sz w:val="20"/>
                <w:szCs w:val="20"/>
                <w:color w:val="auto"/>
              </w:rPr>
            </w:pPr>
            <w:r>
              <w:rPr>
                <w:rFonts w:ascii="Arial" w:cs="Arial" w:eastAsia="Arial" w:hAnsi="Arial"/>
                <w:sz w:val="16"/>
                <w:szCs w:val="16"/>
                <w:color w:val="auto"/>
              </w:rPr>
              <w:t>(b)</w:t>
            </w:r>
          </w:p>
        </w:tc>
        <w:tc>
          <w:tcPr>
            <w:tcW w:w="4300" w:type="dxa"/>
            <w:vAlign w:val="bottom"/>
            <w:gridSpan w:val="17"/>
          </w:tcPr>
          <w:p>
            <w:pPr>
              <w:spacing w:after="0"/>
              <w:rPr>
                <w:sz w:val="20"/>
                <w:szCs w:val="20"/>
                <w:color w:val="auto"/>
              </w:rPr>
            </w:pPr>
            <w:r>
              <w:rPr>
                <w:rFonts w:ascii="Arial" w:cs="Arial" w:eastAsia="Arial" w:hAnsi="Arial"/>
                <w:sz w:val="16"/>
                <w:szCs w:val="16"/>
                <w:color w:val="0000FF"/>
              </w:rPr>
              <w:t>Certification of the Chief Financial Officer of the Company</w:t>
            </w:r>
          </w:p>
        </w:tc>
      </w:tr>
      <w:tr>
        <w:trPr>
          <w:trHeight w:val="20"/>
        </w:trPr>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80" w:type="dxa"/>
            <w:vAlign w:val="bottom"/>
            <w:tcBorders>
              <w:right w:val="single" w:sz="8" w:color="0000FF"/>
            </w:tcBorders>
            <w:gridSpan w:val="5"/>
            <w:shd w:val="clear" w:color="auto" w:fill="0000FF"/>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142"/>
        </w:trPr>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300" w:type="dxa"/>
            <w:vAlign w:val="bottom"/>
            <w:gridSpan w:val="17"/>
          </w:tcPr>
          <w:p>
            <w:pPr>
              <w:spacing w:after="0" w:line="142" w:lineRule="exact"/>
              <w:rPr>
                <w:sz w:val="20"/>
                <w:szCs w:val="20"/>
                <w:color w:val="auto"/>
              </w:rPr>
            </w:pPr>
            <w:r>
              <w:rPr>
                <w:rFonts w:ascii="Arial" w:cs="Arial" w:eastAsia="Arial" w:hAnsi="Arial"/>
                <w:sz w:val="16"/>
                <w:szCs w:val="16"/>
                <w:color w:val="0000FF"/>
              </w:rPr>
              <w:t>pursuant to Section 302 of the Sarbanes-Oxley Act of 2002.</w:t>
            </w:r>
          </w:p>
        </w:tc>
      </w:tr>
      <w:tr>
        <w:trPr>
          <w:trHeight w:val="196"/>
        </w:trPr>
        <w:tc>
          <w:tcPr>
            <w:tcW w:w="1340" w:type="dxa"/>
            <w:vAlign w:val="bottom"/>
          </w:tcPr>
          <w:p>
            <w:pPr>
              <w:spacing w:after="0"/>
              <w:rPr>
                <w:sz w:val="20"/>
                <w:szCs w:val="20"/>
                <w:color w:val="auto"/>
              </w:rPr>
            </w:pPr>
            <w:r>
              <w:rPr>
                <w:rFonts w:ascii="Arial" w:cs="Arial" w:eastAsia="Arial" w:hAnsi="Arial"/>
                <w:sz w:val="16"/>
                <w:szCs w:val="16"/>
                <w:color w:val="auto"/>
              </w:rPr>
              <w:t>EXHIBIT 32</w:t>
            </w:r>
          </w:p>
        </w:tc>
        <w:tc>
          <w:tcPr>
            <w:tcW w:w="1020" w:type="dxa"/>
            <w:vAlign w:val="bottom"/>
          </w:tcPr>
          <w:p>
            <w:pPr>
              <w:ind w:left="400"/>
              <w:spacing w:after="0"/>
              <w:rPr>
                <w:sz w:val="20"/>
                <w:szCs w:val="20"/>
                <w:color w:val="auto"/>
              </w:rPr>
            </w:pPr>
            <w:r>
              <w:rPr>
                <w:rFonts w:ascii="Arial" w:cs="Arial" w:eastAsia="Arial" w:hAnsi="Arial"/>
                <w:sz w:val="16"/>
                <w:szCs w:val="16"/>
                <w:color w:val="auto"/>
              </w:rPr>
              <w:t>(a)</w:t>
            </w:r>
          </w:p>
        </w:tc>
        <w:tc>
          <w:tcPr>
            <w:tcW w:w="4260" w:type="dxa"/>
            <w:vAlign w:val="bottom"/>
            <w:tcBorders>
              <w:top w:val="single" w:sz="8" w:color="0000FF"/>
            </w:tcBorders>
            <w:gridSpan w:val="16"/>
          </w:tcPr>
          <w:p>
            <w:pPr>
              <w:spacing w:after="0"/>
              <w:rPr>
                <w:sz w:val="20"/>
                <w:szCs w:val="20"/>
                <w:color w:val="auto"/>
              </w:rPr>
            </w:pPr>
            <w:r>
              <w:rPr>
                <w:rFonts w:ascii="Arial" w:cs="Arial" w:eastAsia="Arial" w:hAnsi="Arial"/>
                <w:sz w:val="16"/>
                <w:szCs w:val="16"/>
                <w:color w:val="0000FF"/>
              </w:rPr>
              <w:t>Certification of the Chief Executive Officer of the Company</w:t>
            </w:r>
          </w:p>
        </w:tc>
        <w:tc>
          <w:tcPr>
            <w:tcW w:w="40" w:type="dxa"/>
            <w:vAlign w:val="bottom"/>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180" w:type="dxa"/>
            <w:vAlign w:val="bottom"/>
            <w:tcBorders>
              <w:top w:val="single" w:sz="8" w:color="0000FF"/>
              <w:bottom w:val="single" w:sz="8" w:color="0000FF"/>
            </w:tcBorders>
            <w:gridSpan w:val="13"/>
          </w:tcPr>
          <w:p>
            <w:pPr>
              <w:spacing w:after="0" w:line="142" w:lineRule="exact"/>
              <w:rPr>
                <w:sz w:val="20"/>
                <w:szCs w:val="20"/>
                <w:color w:val="auto"/>
              </w:rPr>
            </w:pPr>
            <w:r>
              <w:rPr>
                <w:rFonts w:ascii="Arial" w:cs="Arial" w:eastAsia="Arial" w:hAnsi="Arial"/>
                <w:sz w:val="16"/>
                <w:szCs w:val="16"/>
                <w:color w:val="0000FF"/>
              </w:rPr>
              <w:t>pursuant to 18 U.S.C. Section 1350, as adopted pursuant</w:t>
            </w:r>
          </w:p>
        </w:tc>
        <w:tc>
          <w:tcPr>
            <w:tcW w:w="12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74"/>
              </w:rPr>
              <w:t>to</w:t>
            </w:r>
          </w:p>
        </w:tc>
      </w:tr>
      <w:tr>
        <w:trPr>
          <w:trHeight w:val="142"/>
        </w:trPr>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80" w:type="dxa"/>
            <w:vAlign w:val="bottom"/>
            <w:tcBorders>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820" w:type="dxa"/>
            <w:vAlign w:val="bottom"/>
            <w:gridSpan w:val="12"/>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1020" w:type="dxa"/>
            <w:vAlign w:val="bottom"/>
          </w:tcPr>
          <w:p>
            <w:pPr>
              <w:ind w:left="400"/>
              <w:spacing w:after="0"/>
              <w:rPr>
                <w:sz w:val="20"/>
                <w:szCs w:val="20"/>
                <w:color w:val="auto"/>
              </w:rPr>
            </w:pPr>
            <w:r>
              <w:rPr>
                <w:rFonts w:ascii="Arial" w:cs="Arial" w:eastAsia="Arial" w:hAnsi="Arial"/>
                <w:sz w:val="16"/>
                <w:szCs w:val="16"/>
                <w:color w:val="auto"/>
              </w:rPr>
              <w:t>(b)</w:t>
            </w:r>
          </w:p>
        </w:tc>
        <w:tc>
          <w:tcPr>
            <w:tcW w:w="4300" w:type="dxa"/>
            <w:vAlign w:val="bottom"/>
            <w:gridSpan w:val="17"/>
          </w:tcPr>
          <w:p>
            <w:pPr>
              <w:spacing w:after="0"/>
              <w:rPr>
                <w:sz w:val="20"/>
                <w:szCs w:val="20"/>
                <w:color w:val="auto"/>
              </w:rPr>
            </w:pPr>
            <w:r>
              <w:rPr>
                <w:rFonts w:ascii="Arial" w:cs="Arial" w:eastAsia="Arial" w:hAnsi="Arial"/>
                <w:sz w:val="16"/>
                <w:szCs w:val="16"/>
                <w:color w:val="0000FF"/>
              </w:rPr>
              <w:t>Certification of the Chief Financial Officer of the Company</w:t>
            </w:r>
          </w:p>
        </w:tc>
      </w:tr>
      <w:tr>
        <w:trPr>
          <w:trHeight w:val="142"/>
        </w:trPr>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120" w:type="dxa"/>
            <w:vAlign w:val="bottom"/>
            <w:tcBorders>
              <w:top w:val="single" w:sz="8" w:color="0000FF"/>
              <w:bottom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pursuant to 18 U.S.C. Section 1350, as adopted pursuant</w:t>
            </w:r>
          </w:p>
        </w:tc>
        <w:tc>
          <w:tcPr>
            <w:tcW w:w="180" w:type="dxa"/>
            <w:vAlign w:val="bottom"/>
            <w:tcBorders>
              <w:bottom w:val="single" w:sz="8" w:color="0000FF"/>
            </w:tcBorders>
            <w:gridSpan w:val="6"/>
          </w:tcPr>
          <w:p>
            <w:pPr>
              <w:jc w:val="right"/>
              <w:spacing w:after="0" w:line="142" w:lineRule="exact"/>
              <w:rPr>
                <w:sz w:val="20"/>
                <w:szCs w:val="20"/>
                <w:color w:val="auto"/>
              </w:rPr>
            </w:pPr>
            <w:r>
              <w:rPr>
                <w:rFonts w:ascii="Arial" w:cs="Arial" w:eastAsia="Arial" w:hAnsi="Arial"/>
                <w:sz w:val="16"/>
                <w:szCs w:val="16"/>
                <w:color w:val="0000FF"/>
              </w:rPr>
              <w:t>to</w:t>
            </w:r>
          </w:p>
        </w:tc>
      </w:tr>
      <w:tr>
        <w:trPr>
          <w:trHeight w:val="142"/>
        </w:trPr>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80" w:type="dxa"/>
            <w:vAlign w:val="bottom"/>
            <w:tcBorders>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820" w:type="dxa"/>
            <w:vAlign w:val="bottom"/>
            <w:gridSpan w:val="12"/>
          </w:tcPr>
          <w:p>
            <w:pPr>
              <w:spacing w:after="0"/>
              <w:rPr>
                <w:sz w:val="12"/>
                <w:szCs w:val="12"/>
                <w:color w:val="auto"/>
              </w:rPr>
            </w:pPr>
          </w:p>
        </w:tc>
      </w:tr>
      <w:tr>
        <w:trPr>
          <w:trHeight w:val="231"/>
        </w:trPr>
        <w:tc>
          <w:tcPr>
            <w:tcW w:w="1340" w:type="dxa"/>
            <w:vAlign w:val="bottom"/>
          </w:tcPr>
          <w:p>
            <w:pPr>
              <w:spacing w:after="0"/>
              <w:rPr>
                <w:sz w:val="20"/>
                <w:szCs w:val="20"/>
                <w:color w:val="auto"/>
              </w:rPr>
            </w:pPr>
            <w:r>
              <w:rPr>
                <w:rFonts w:ascii="Arial" w:cs="Arial" w:eastAsia="Arial" w:hAnsi="Arial"/>
                <w:sz w:val="16"/>
                <w:szCs w:val="16"/>
                <w:color w:val="auto"/>
              </w:rPr>
              <w:t>EXHIBIT 101</w:t>
            </w:r>
          </w:p>
        </w:tc>
        <w:tc>
          <w:tcPr>
            <w:tcW w:w="1020" w:type="dxa"/>
            <w:vAlign w:val="bottom"/>
          </w:tcPr>
          <w:p>
            <w:pPr>
              <w:ind w:left="400"/>
              <w:spacing w:after="0"/>
              <w:rPr>
                <w:sz w:val="20"/>
                <w:szCs w:val="20"/>
                <w:color w:val="auto"/>
              </w:rPr>
            </w:pPr>
            <w:r>
              <w:rPr>
                <w:rFonts w:ascii="Arial" w:cs="Arial" w:eastAsia="Arial" w:hAnsi="Arial"/>
                <w:sz w:val="16"/>
                <w:szCs w:val="16"/>
                <w:color w:val="auto"/>
              </w:rPr>
              <w:t>.INS</w:t>
            </w:r>
          </w:p>
        </w:tc>
        <w:tc>
          <w:tcPr>
            <w:tcW w:w="4300" w:type="dxa"/>
            <w:vAlign w:val="bottom"/>
            <w:gridSpan w:val="17"/>
          </w:tcPr>
          <w:p>
            <w:pPr>
              <w:spacing w:after="0"/>
              <w:rPr>
                <w:sz w:val="20"/>
                <w:szCs w:val="20"/>
                <w:color w:val="auto"/>
              </w:rPr>
            </w:pPr>
            <w:r>
              <w:rPr>
                <w:rFonts w:ascii="Arial" w:cs="Arial" w:eastAsia="Arial" w:hAnsi="Arial"/>
                <w:sz w:val="16"/>
                <w:szCs w:val="16"/>
                <w:color w:val="auto"/>
              </w:rPr>
              <w:t>XBRL Instance Document</w:t>
            </w:r>
          </w:p>
        </w:tc>
      </w:tr>
      <w:tr>
        <w:trPr>
          <w:trHeight w:val="540"/>
        </w:trPr>
        <w:tc>
          <w:tcPr>
            <w:tcW w:w="13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6"/>
                <w:szCs w:val="16"/>
                <w:color w:val="auto"/>
              </w:rPr>
              <w:t>.SCH</w:t>
            </w:r>
          </w:p>
        </w:tc>
        <w:tc>
          <w:tcPr>
            <w:tcW w:w="4300" w:type="dxa"/>
            <w:vAlign w:val="bottom"/>
            <w:gridSpan w:val="17"/>
          </w:tcPr>
          <w:p>
            <w:pPr>
              <w:spacing w:after="0"/>
              <w:rPr>
                <w:sz w:val="20"/>
                <w:szCs w:val="20"/>
                <w:color w:val="auto"/>
              </w:rPr>
            </w:pPr>
            <w:r>
              <w:rPr>
                <w:rFonts w:ascii="Arial" w:cs="Arial" w:eastAsia="Arial" w:hAnsi="Arial"/>
                <w:sz w:val="16"/>
                <w:szCs w:val="16"/>
                <w:color w:val="auto"/>
              </w:rPr>
              <w:t>XBRL Taxonomy Extension Schema Document.</w:t>
            </w:r>
          </w:p>
        </w:tc>
      </w:tr>
      <w:tr>
        <w:trPr>
          <w:trHeight w:val="171"/>
        </w:trPr>
        <w:tc>
          <w:tcPr>
            <w:tcW w:w="1340" w:type="dxa"/>
            <w:vAlign w:val="bottom"/>
          </w:tcPr>
          <w:p>
            <w:pPr>
              <w:spacing w:after="0"/>
              <w:rPr>
                <w:sz w:val="14"/>
                <w:szCs w:val="14"/>
                <w:color w:val="auto"/>
              </w:rPr>
            </w:pPr>
          </w:p>
        </w:tc>
        <w:tc>
          <w:tcPr>
            <w:tcW w:w="1020" w:type="dxa"/>
            <w:vAlign w:val="bottom"/>
          </w:tcPr>
          <w:p>
            <w:pPr>
              <w:ind w:left="400"/>
              <w:spacing w:after="0" w:line="171" w:lineRule="exact"/>
              <w:rPr>
                <w:sz w:val="20"/>
                <w:szCs w:val="20"/>
                <w:color w:val="auto"/>
              </w:rPr>
            </w:pPr>
            <w:r>
              <w:rPr>
                <w:rFonts w:ascii="Arial" w:cs="Arial" w:eastAsia="Arial" w:hAnsi="Arial"/>
                <w:sz w:val="16"/>
                <w:szCs w:val="16"/>
                <w:color w:val="auto"/>
              </w:rPr>
              <w:t>.CAL</w:t>
            </w:r>
          </w:p>
        </w:tc>
        <w:tc>
          <w:tcPr>
            <w:tcW w:w="4300" w:type="dxa"/>
            <w:vAlign w:val="bottom"/>
            <w:gridSpan w:val="17"/>
          </w:tcPr>
          <w:p>
            <w:pPr>
              <w:spacing w:after="0" w:line="171" w:lineRule="exact"/>
              <w:rPr>
                <w:sz w:val="20"/>
                <w:szCs w:val="20"/>
                <w:color w:val="auto"/>
              </w:rPr>
            </w:pPr>
            <w:r>
              <w:rPr>
                <w:rFonts w:ascii="Arial" w:cs="Arial" w:eastAsia="Arial" w:hAnsi="Arial"/>
                <w:sz w:val="16"/>
                <w:szCs w:val="16"/>
                <w:color w:val="auto"/>
              </w:rPr>
              <w:t>XBRL Taxonomy Extension Calculation Linkbase</w:t>
            </w:r>
          </w:p>
        </w:tc>
      </w:tr>
      <w:tr>
        <w:trPr>
          <w:trHeight w:val="207"/>
        </w:trPr>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300" w:type="dxa"/>
            <w:vAlign w:val="bottom"/>
            <w:gridSpan w:val="17"/>
          </w:tcPr>
          <w:p>
            <w:pPr>
              <w:spacing w:after="0"/>
              <w:rPr>
                <w:sz w:val="20"/>
                <w:szCs w:val="20"/>
                <w:color w:val="auto"/>
              </w:rPr>
            </w:pPr>
            <w:r>
              <w:rPr>
                <w:rFonts w:ascii="Arial" w:cs="Arial" w:eastAsia="Arial" w:hAnsi="Arial"/>
                <w:sz w:val="16"/>
                <w:szCs w:val="16"/>
                <w:color w:val="auto"/>
              </w:rPr>
              <w:t>Document.</w:t>
            </w:r>
          </w:p>
        </w:tc>
      </w:tr>
      <w:tr>
        <w:trPr>
          <w:trHeight w:val="216"/>
        </w:trPr>
        <w:tc>
          <w:tcPr>
            <w:tcW w:w="1340" w:type="dxa"/>
            <w:vAlign w:val="bottom"/>
          </w:tcPr>
          <w:p>
            <w:pPr>
              <w:spacing w:after="0"/>
              <w:rPr>
                <w:sz w:val="18"/>
                <w:szCs w:val="18"/>
                <w:color w:val="auto"/>
              </w:rPr>
            </w:pPr>
          </w:p>
        </w:tc>
        <w:tc>
          <w:tcPr>
            <w:tcW w:w="1020" w:type="dxa"/>
            <w:vAlign w:val="bottom"/>
          </w:tcPr>
          <w:p>
            <w:pPr>
              <w:ind w:left="400"/>
              <w:spacing w:after="0"/>
              <w:rPr>
                <w:sz w:val="20"/>
                <w:szCs w:val="20"/>
                <w:color w:val="auto"/>
              </w:rPr>
            </w:pPr>
            <w:r>
              <w:rPr>
                <w:rFonts w:ascii="Arial" w:cs="Arial" w:eastAsia="Arial" w:hAnsi="Arial"/>
                <w:sz w:val="16"/>
                <w:szCs w:val="16"/>
                <w:color w:val="auto"/>
              </w:rPr>
              <w:t>.DEF</w:t>
            </w:r>
          </w:p>
        </w:tc>
        <w:tc>
          <w:tcPr>
            <w:tcW w:w="4300" w:type="dxa"/>
            <w:vAlign w:val="bottom"/>
            <w:gridSpan w:val="17"/>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1340" w:type="dxa"/>
            <w:vAlign w:val="bottom"/>
          </w:tcPr>
          <w:p>
            <w:pPr>
              <w:spacing w:after="0"/>
              <w:rPr>
                <w:sz w:val="18"/>
                <w:szCs w:val="18"/>
                <w:color w:val="auto"/>
              </w:rPr>
            </w:pPr>
          </w:p>
        </w:tc>
        <w:tc>
          <w:tcPr>
            <w:tcW w:w="1020" w:type="dxa"/>
            <w:vAlign w:val="bottom"/>
          </w:tcPr>
          <w:p>
            <w:pPr>
              <w:ind w:left="400"/>
              <w:spacing w:after="0"/>
              <w:rPr>
                <w:sz w:val="20"/>
                <w:szCs w:val="20"/>
                <w:color w:val="auto"/>
              </w:rPr>
            </w:pPr>
            <w:r>
              <w:rPr>
                <w:rFonts w:ascii="Arial" w:cs="Arial" w:eastAsia="Arial" w:hAnsi="Arial"/>
                <w:sz w:val="16"/>
                <w:szCs w:val="16"/>
                <w:color w:val="auto"/>
              </w:rPr>
              <w:t>.LAB</w:t>
            </w:r>
          </w:p>
        </w:tc>
        <w:tc>
          <w:tcPr>
            <w:tcW w:w="4300" w:type="dxa"/>
            <w:vAlign w:val="bottom"/>
            <w:gridSpan w:val="17"/>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171"/>
        </w:trPr>
        <w:tc>
          <w:tcPr>
            <w:tcW w:w="1340" w:type="dxa"/>
            <w:vAlign w:val="bottom"/>
          </w:tcPr>
          <w:p>
            <w:pPr>
              <w:spacing w:after="0"/>
              <w:rPr>
                <w:sz w:val="14"/>
                <w:szCs w:val="14"/>
                <w:color w:val="auto"/>
              </w:rPr>
            </w:pPr>
          </w:p>
        </w:tc>
        <w:tc>
          <w:tcPr>
            <w:tcW w:w="1020" w:type="dxa"/>
            <w:vAlign w:val="bottom"/>
          </w:tcPr>
          <w:p>
            <w:pPr>
              <w:ind w:left="400"/>
              <w:spacing w:after="0" w:line="171" w:lineRule="exact"/>
              <w:rPr>
                <w:sz w:val="20"/>
                <w:szCs w:val="20"/>
                <w:color w:val="auto"/>
              </w:rPr>
            </w:pPr>
            <w:r>
              <w:rPr>
                <w:rFonts w:ascii="Arial" w:cs="Arial" w:eastAsia="Arial" w:hAnsi="Arial"/>
                <w:sz w:val="16"/>
                <w:szCs w:val="16"/>
                <w:color w:val="auto"/>
              </w:rPr>
              <w:t>.PRE</w:t>
            </w:r>
          </w:p>
        </w:tc>
        <w:tc>
          <w:tcPr>
            <w:tcW w:w="4300" w:type="dxa"/>
            <w:vAlign w:val="bottom"/>
            <w:gridSpan w:val="17"/>
          </w:tcPr>
          <w:p>
            <w:pPr>
              <w:spacing w:after="0" w:line="171" w:lineRule="exact"/>
              <w:rPr>
                <w:sz w:val="20"/>
                <w:szCs w:val="20"/>
                <w:color w:val="auto"/>
              </w:rPr>
            </w:pPr>
            <w:r>
              <w:rPr>
                <w:rFonts w:ascii="Arial" w:cs="Arial" w:eastAsia="Arial" w:hAnsi="Arial"/>
                <w:sz w:val="16"/>
                <w:szCs w:val="16"/>
                <w:color w:val="auto"/>
              </w:rPr>
              <w:t>XBRL Taxonomy Extension Presentation Linkbase</w:t>
            </w:r>
          </w:p>
        </w:tc>
      </w:tr>
      <w:tr>
        <w:trPr>
          <w:trHeight w:val="207"/>
        </w:trPr>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300" w:type="dxa"/>
            <w:vAlign w:val="bottom"/>
            <w:gridSpan w:val="17"/>
          </w:tcPr>
          <w:p>
            <w:pPr>
              <w:spacing w:after="0"/>
              <w:rPr>
                <w:sz w:val="20"/>
                <w:szCs w:val="20"/>
                <w:color w:val="auto"/>
              </w:rPr>
            </w:pPr>
            <w:r>
              <w:rPr>
                <w:rFonts w:ascii="Arial" w:cs="Arial" w:eastAsia="Arial" w:hAnsi="Arial"/>
                <w:sz w:val="16"/>
                <w:szCs w:val="16"/>
                <w:color w:val="auto"/>
              </w:rPr>
              <w:t>Document.</w:t>
            </w:r>
          </w:p>
        </w:tc>
      </w:tr>
      <w:tr>
        <w:trPr>
          <w:trHeight w:val="171"/>
        </w:trPr>
        <w:tc>
          <w:tcPr>
            <w:tcW w:w="1340" w:type="dxa"/>
            <w:vAlign w:val="bottom"/>
          </w:tcPr>
          <w:p>
            <w:pPr>
              <w:spacing w:after="0" w:line="171" w:lineRule="exact"/>
              <w:rPr>
                <w:sz w:val="20"/>
                <w:szCs w:val="20"/>
                <w:color w:val="auto"/>
              </w:rPr>
            </w:pPr>
            <w:r>
              <w:rPr>
                <w:rFonts w:ascii="Arial" w:cs="Arial" w:eastAsia="Arial" w:hAnsi="Arial"/>
                <w:sz w:val="16"/>
                <w:szCs w:val="16"/>
                <w:color w:val="auto"/>
              </w:rPr>
              <w:t>EXHIBIT 104</w:t>
            </w:r>
          </w:p>
        </w:tc>
        <w:tc>
          <w:tcPr>
            <w:tcW w:w="1020" w:type="dxa"/>
            <w:vAlign w:val="bottom"/>
          </w:tcPr>
          <w:p>
            <w:pPr>
              <w:spacing w:after="0"/>
              <w:rPr>
                <w:sz w:val="14"/>
                <w:szCs w:val="14"/>
                <w:color w:val="auto"/>
              </w:rPr>
            </w:pPr>
          </w:p>
        </w:tc>
        <w:tc>
          <w:tcPr>
            <w:tcW w:w="4300" w:type="dxa"/>
            <w:vAlign w:val="bottom"/>
            <w:gridSpan w:val="17"/>
          </w:tcPr>
          <w:p>
            <w:pPr>
              <w:spacing w:after="0" w:line="171" w:lineRule="exact"/>
              <w:rPr>
                <w:sz w:val="20"/>
                <w:szCs w:val="20"/>
                <w:color w:val="auto"/>
              </w:rPr>
            </w:pPr>
            <w:r>
              <w:rPr>
                <w:rFonts w:ascii="Arial" w:cs="Arial" w:eastAsia="Arial" w:hAnsi="Arial"/>
                <w:sz w:val="16"/>
                <w:szCs w:val="16"/>
                <w:color w:val="auto"/>
              </w:rPr>
              <w:t>Cover Page Interactive Data File (formatted as inline XBRL</w:t>
            </w:r>
          </w:p>
        </w:tc>
      </w:tr>
      <w:tr>
        <w:trPr>
          <w:trHeight w:val="207"/>
        </w:trPr>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300" w:type="dxa"/>
            <w:vAlign w:val="bottom"/>
            <w:gridSpan w:val="17"/>
          </w:tcPr>
          <w:p>
            <w:pPr>
              <w:spacing w:after="0"/>
              <w:rPr>
                <w:sz w:val="20"/>
                <w:szCs w:val="20"/>
                <w:color w:val="auto"/>
              </w:rPr>
            </w:pPr>
            <w:r>
              <w:rPr>
                <w:rFonts w:ascii="Arial" w:cs="Arial" w:eastAsia="Arial" w:hAnsi="Arial"/>
                <w:sz w:val="16"/>
                <w:szCs w:val="16"/>
                <w:color w:val="auto"/>
              </w:rPr>
              <w:t>and contained in Exhibit 101)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Reference is made to Exhibit 3.1 of registrant's Form 8-K as filed with the Commission on September 26, 2007, which is incorporated herein by reference.</w:t>
      </w:r>
    </w:p>
    <w:p>
      <w:pPr>
        <w:spacing w:after="0" w:line="11"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Reference is made to Exhibit 3.2 of registrant's Form 8-K as filed with the Commission on September 26, 2007, which is incorporated herein by reference.</w:t>
      </w:r>
    </w:p>
    <w:p>
      <w:pPr>
        <w:spacing w:after="0" w:line="11" w:lineRule="exact"/>
        <w:rPr>
          <w:sz w:val="20"/>
          <w:szCs w:val="20"/>
          <w:color w:val="auto"/>
        </w:rPr>
      </w:pPr>
    </w:p>
    <w:p>
      <w:pPr>
        <w:ind w:right="140"/>
        <w:spacing w:after="0" w:line="230" w:lineRule="auto"/>
        <w:rPr>
          <w:sz w:val="20"/>
          <w:szCs w:val="20"/>
          <w:color w:val="auto"/>
        </w:rPr>
      </w:pPr>
      <w:r>
        <w:rPr>
          <w:rFonts w:ascii="Arial" w:cs="Arial" w:eastAsia="Arial" w:hAnsi="Arial"/>
          <w:sz w:val="16"/>
          <w:szCs w:val="16"/>
          <w:color w:val="auto"/>
        </w:rPr>
        <w:t>Reference is made to Exhibit 3(c) of registrant's Form 10-Q as filed with the Commission on January 9, 2017, which is incorporated herein by reference.</w:t>
      </w:r>
    </w:p>
    <w:p>
      <w:pPr>
        <w:spacing w:after="0" w:line="11" w:lineRule="exact"/>
        <w:rPr>
          <w:sz w:val="20"/>
          <w:szCs w:val="20"/>
          <w:color w:val="auto"/>
        </w:rPr>
      </w:pPr>
    </w:p>
    <w:p>
      <w:pPr>
        <w:ind w:right="140"/>
        <w:spacing w:after="0" w:line="230" w:lineRule="auto"/>
        <w:rPr>
          <w:sz w:val="20"/>
          <w:szCs w:val="20"/>
          <w:color w:val="auto"/>
        </w:rPr>
      </w:pPr>
      <w:r>
        <w:rPr>
          <w:rFonts w:ascii="Arial" w:cs="Arial" w:eastAsia="Arial" w:hAnsi="Arial"/>
          <w:sz w:val="16"/>
          <w:szCs w:val="16"/>
          <w:color w:val="auto"/>
        </w:rPr>
        <w:t>Reference is made to Exhibit 3(d) of registrant's Form 10-Q as filed with the Commission on January 7, 2021, which is incorporated herein by reference.</w:t>
      </w:r>
    </w:p>
    <w:p>
      <w:pPr>
        <w:spacing w:after="0" w:line="11" w:lineRule="exact"/>
        <w:rPr>
          <w:sz w:val="20"/>
          <w:szCs w:val="20"/>
          <w:color w:val="auto"/>
        </w:rPr>
      </w:pPr>
    </w:p>
    <w:p>
      <w:pPr>
        <w:ind w:right="140"/>
        <w:spacing w:after="0" w:line="230" w:lineRule="auto"/>
        <w:rPr>
          <w:sz w:val="20"/>
          <w:szCs w:val="20"/>
          <w:color w:val="auto"/>
        </w:rPr>
      </w:pPr>
      <w:r>
        <w:rPr>
          <w:rFonts w:ascii="Arial" w:cs="Arial" w:eastAsia="Arial" w:hAnsi="Arial"/>
          <w:sz w:val="16"/>
          <w:szCs w:val="16"/>
          <w:color w:val="auto"/>
        </w:rPr>
        <w:t>Reference is made to Exhibit 3(e) of registrant's Form 10-Q as filed with the Commission on January 7, 2021, which is incorporated herein by reference.</w:t>
      </w:r>
    </w:p>
    <w:p>
      <w:pPr>
        <w:spacing w:after="0" w:line="11" w:lineRule="exact"/>
        <w:rPr>
          <w:sz w:val="20"/>
          <w:szCs w:val="20"/>
          <w:color w:val="auto"/>
        </w:rPr>
      </w:pPr>
    </w:p>
    <w:p>
      <w:pPr>
        <w:ind w:right="60"/>
        <w:spacing w:after="0" w:line="230" w:lineRule="auto"/>
        <w:rPr>
          <w:sz w:val="20"/>
          <w:szCs w:val="20"/>
          <w:color w:val="auto"/>
        </w:rPr>
      </w:pPr>
      <w:r>
        <w:rPr>
          <w:rFonts w:ascii="Arial" w:cs="Arial" w:eastAsia="Arial" w:hAnsi="Arial"/>
          <w:sz w:val="16"/>
          <w:szCs w:val="16"/>
          <w:color w:val="auto"/>
        </w:rPr>
        <w:t>Reference is made to Exhibit 22 of registrant's Form 10-K as filed with the Commission on October 26, 2022, which is incorporated herein by reference.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jc w:val="both"/>
        <w:ind w:right="680"/>
        <w:spacing w:after="0" w:line="230" w:lineRule="auto"/>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84" w:lineRule="exact"/>
        <w:rPr>
          <w:sz w:val="20"/>
          <w:szCs w:val="20"/>
          <w:color w:val="auto"/>
        </w:rPr>
      </w:pPr>
    </w:p>
    <w:p>
      <w:pPr>
        <w:sectPr>
          <w:pgSz w:w="11900" w:h="16838" w:orient="portrait"/>
          <w:cols w:equalWidth="0" w:num="2">
            <w:col w:w="6700" w:space="420"/>
            <w:col w:w="4060"/>
          </w:cols>
          <w:pgMar w:left="320" w:top="24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48" w:right="39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5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ACUITY BRANDS, INC.</w:t>
      </w:r>
    </w:p>
    <w:p>
      <w:pPr>
        <w:spacing w:after="0" w:line="147" w:lineRule="exact"/>
        <w:rPr>
          <w:sz w:val="20"/>
          <w:szCs w:val="20"/>
          <w:color w:val="auto"/>
        </w:rPr>
      </w:pPr>
    </w:p>
    <w:p>
      <w:pPr>
        <w:ind w:left="240"/>
        <w:spacing w:after="0"/>
        <w:tabs>
          <w:tab w:leader="none" w:pos="4380" w:val="left"/>
          <w:tab w:leader="none" w:pos="7380" w:val="left"/>
        </w:tabs>
        <w:rPr>
          <w:sz w:val="20"/>
          <w:szCs w:val="20"/>
          <w:color w:val="auto"/>
        </w:rPr>
      </w:pPr>
      <w:r>
        <w:rPr>
          <w:rFonts w:ascii="Arial" w:cs="Arial" w:eastAsia="Arial" w:hAnsi="Arial"/>
          <w:sz w:val="16"/>
          <w:szCs w:val="16"/>
          <w:color w:val="auto"/>
        </w:rPr>
        <w:t>Date: June 29,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18415</wp:posOffset>
            </wp:positionV>
            <wp:extent cx="39858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6" w:lineRule="exact"/>
        <w:rPr>
          <w:sz w:val="20"/>
          <w:szCs w:val="20"/>
          <w:color w:val="auto"/>
        </w:rPr>
      </w:pPr>
    </w:p>
    <w:p>
      <w:pPr>
        <w:jc w:val="center"/>
        <w:ind w:left="4900"/>
        <w:spacing w:after="0"/>
        <w:rPr>
          <w:sz w:val="20"/>
          <w:szCs w:val="20"/>
          <w:color w:val="auto"/>
        </w:rPr>
      </w:pPr>
      <w:r>
        <w:rPr>
          <w:rFonts w:ascii="Arial" w:cs="Arial" w:eastAsia="Arial" w:hAnsi="Arial"/>
          <w:sz w:val="16"/>
          <w:szCs w:val="16"/>
          <w:b w:val="1"/>
          <w:bCs w:val="1"/>
          <w:color w:val="auto"/>
        </w:rPr>
        <w:t>NEIL M. ASHE</w:t>
      </w:r>
    </w:p>
    <w:p>
      <w:pPr>
        <w:jc w:val="center"/>
        <w:ind w:left="490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200" w:lineRule="exact"/>
        <w:rPr>
          <w:sz w:val="20"/>
          <w:szCs w:val="20"/>
          <w:color w:val="auto"/>
        </w:rPr>
      </w:pPr>
    </w:p>
    <w:p>
      <w:pPr>
        <w:spacing w:after="0" w:line="266" w:lineRule="exact"/>
        <w:rPr>
          <w:sz w:val="20"/>
          <w:szCs w:val="20"/>
          <w:color w:val="auto"/>
        </w:rPr>
      </w:pPr>
    </w:p>
    <w:p>
      <w:pPr>
        <w:ind w:left="240"/>
        <w:spacing w:after="0"/>
        <w:tabs>
          <w:tab w:leader="none" w:pos="4380" w:val="left"/>
          <w:tab w:leader="none" w:pos="7160" w:val="left"/>
        </w:tabs>
        <w:rPr>
          <w:sz w:val="20"/>
          <w:szCs w:val="20"/>
          <w:color w:val="auto"/>
        </w:rPr>
      </w:pPr>
      <w:r>
        <w:rPr>
          <w:rFonts w:ascii="Arial" w:cs="Arial" w:eastAsia="Arial" w:hAnsi="Arial"/>
          <w:sz w:val="16"/>
          <w:szCs w:val="16"/>
          <w:color w:val="auto"/>
        </w:rPr>
        <w:t>Date: June 29,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18415</wp:posOffset>
            </wp:positionV>
            <wp:extent cx="39858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6" w:lineRule="exact"/>
        <w:rPr>
          <w:sz w:val="20"/>
          <w:szCs w:val="20"/>
          <w:color w:val="auto"/>
        </w:rPr>
      </w:pPr>
    </w:p>
    <w:p>
      <w:pPr>
        <w:jc w:val="center"/>
        <w:ind w:left="4900"/>
        <w:spacing w:after="0"/>
        <w:rPr>
          <w:sz w:val="20"/>
          <w:szCs w:val="20"/>
          <w:color w:val="auto"/>
        </w:rPr>
      </w:pPr>
      <w:r>
        <w:rPr>
          <w:rFonts w:ascii="Arial" w:cs="Arial" w:eastAsia="Arial" w:hAnsi="Arial"/>
          <w:sz w:val="16"/>
          <w:szCs w:val="16"/>
          <w:b w:val="1"/>
          <w:bCs w:val="1"/>
          <w:color w:val="auto"/>
        </w:rPr>
        <w:t>KAREN J. HOLCOM</w:t>
      </w:r>
    </w:p>
    <w:p>
      <w:pPr>
        <w:jc w:val="center"/>
        <w:ind w:left="4900"/>
        <w:spacing w:after="0" w:line="211" w:lineRule="auto"/>
        <w:rPr>
          <w:sz w:val="20"/>
          <w:szCs w:val="20"/>
          <w:color w:val="auto"/>
        </w:rPr>
      </w:pPr>
      <w:r>
        <w:rPr>
          <w:rFonts w:ascii="Arial" w:cs="Arial" w:eastAsia="Arial" w:hAnsi="Arial"/>
          <w:sz w:val="16"/>
          <w:szCs w:val="16"/>
          <w:b w:val="1"/>
          <w:bCs w:val="1"/>
          <w:color w:val="auto"/>
        </w:rPr>
        <w:t>SENIOR VICE PRESIDENT AND</w:t>
      </w:r>
    </w:p>
    <w:p>
      <w:pPr>
        <w:jc w:val="center"/>
        <w:ind w:left="4900"/>
        <w:spacing w:after="0" w:line="211" w:lineRule="auto"/>
        <w:rPr>
          <w:sz w:val="20"/>
          <w:szCs w:val="20"/>
          <w:color w:val="auto"/>
        </w:rPr>
      </w:pPr>
      <w:r>
        <w:rPr>
          <w:rFonts w:ascii="Arial" w:cs="Arial" w:eastAsia="Arial" w:hAnsi="Arial"/>
          <w:sz w:val="16"/>
          <w:szCs w:val="16"/>
          <w:b w:val="1"/>
          <w:bCs w:val="1"/>
          <w:color w:val="auto"/>
        </w:rPr>
        <w:t>CHIEF FINANCIAL OFFICER (Principal Financial and</w:t>
      </w:r>
    </w:p>
    <w:p>
      <w:pPr>
        <w:jc w:val="center"/>
        <w:ind w:left="4900"/>
        <w:spacing w:after="0"/>
        <w:rPr>
          <w:sz w:val="20"/>
          <w:szCs w:val="20"/>
          <w:color w:val="auto"/>
        </w:rPr>
      </w:pPr>
      <w:r>
        <w:rPr>
          <w:rFonts w:ascii="Arial" w:cs="Arial" w:eastAsia="Arial" w:hAnsi="Arial"/>
          <w:sz w:val="16"/>
          <w:szCs w:val="16"/>
          <w:b w:val="1"/>
          <w:b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248" w:right="4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 Neil M. Ashe, certify that:</w:t>
      </w:r>
    </w:p>
    <w:p>
      <w:pPr>
        <w:spacing w:after="0" w:line="11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Acuity Brands, Inc.;</w:t>
      </w:r>
    </w:p>
    <w:p>
      <w:pPr>
        <w:spacing w:after="0" w:line="117" w:lineRule="exact"/>
        <w:rPr>
          <w:rFonts w:ascii="Arial" w:cs="Arial" w:eastAsia="Arial" w:hAnsi="Arial"/>
          <w:sz w:val="18"/>
          <w:szCs w:val="18"/>
          <w:color w:val="auto"/>
        </w:rPr>
      </w:pPr>
    </w:p>
    <w:p>
      <w:pPr>
        <w:ind w:left="660" w:right="8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12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660" w:right="12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hanging="644"/>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540" w:hanging="644"/>
        <w:spacing w:after="0" w:line="285" w:lineRule="auto"/>
        <w:tabs>
          <w:tab w:leader="none" w:pos="13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7"/>
          <w:szCs w:val="17"/>
          <w:color w:val="auto"/>
        </w:rPr>
      </w:pPr>
    </w:p>
    <w:p>
      <w:pPr>
        <w:ind w:left="1300" w:right="300" w:hanging="644"/>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300" w:right="60" w:hanging="644"/>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34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300" w:right="440" w:hanging="644"/>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300" w:right="780" w:hanging="644"/>
        <w:spacing w:after="0" w:line="275"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June 29, 2023</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2321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21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02"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31(b)</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 Karen J. Holcom, certify that:</w:t>
      </w:r>
    </w:p>
    <w:p>
      <w:pPr>
        <w:spacing w:after="0" w:line="11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Acuity Brands, Inc.;</w:t>
      </w:r>
    </w:p>
    <w:p>
      <w:pPr>
        <w:spacing w:after="0" w:line="117" w:lineRule="exact"/>
        <w:rPr>
          <w:rFonts w:ascii="Arial" w:cs="Arial" w:eastAsia="Arial" w:hAnsi="Arial"/>
          <w:sz w:val="18"/>
          <w:szCs w:val="18"/>
          <w:color w:val="auto"/>
        </w:rPr>
      </w:pPr>
    </w:p>
    <w:p>
      <w:pPr>
        <w:ind w:left="660" w:right="8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12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660" w:right="12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hanging="644"/>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540" w:hanging="644"/>
        <w:spacing w:after="0" w:line="285"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7"/>
          <w:szCs w:val="17"/>
          <w:color w:val="auto"/>
        </w:rPr>
      </w:pPr>
    </w:p>
    <w:p>
      <w:pPr>
        <w:ind w:left="1300" w:right="300" w:hanging="644"/>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300" w:right="60" w:hanging="644"/>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34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300" w:right="440" w:hanging="644"/>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300" w:right="780" w:hanging="644"/>
        <w:spacing w:after="0" w:line="275"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June 29, 2023</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3686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1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02"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32(a)</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Pursuant to 18 U.S.C. Section 1350, as adopted pursuant to 906 of the Sarbanes-Oxley Act of 2002, and in connection with the Quarterly Report on Form 10-Q of Acuity Brands, Inc. (the “Corporation”) for the quarter ended May 31, 2023, as filed with the Securities and Exchange Commission on the date hereof (the “Report”), the undersigned, the Chairman, President and Chief Executive Officer of the Corporation, certifies that:</w:t>
      </w:r>
    </w:p>
    <w:p>
      <w:pPr>
        <w:spacing w:after="0" w:line="82"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75"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2061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29, 2023</w:t>
      </w:r>
    </w:p>
    <w:p>
      <w:pPr>
        <w:spacing w:after="0" w:line="212"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886"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32(b)</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Pursuant to 18 U.S.C. Section 1350, as adopted pursuant to 906 of the Sarbanes-Oxley Act of 2002, and in connection with the Quarterly Report on Form 10-Q of Acuity Brands, Inc. (the “Corporation”) for the quarter ended May 31, 2023, as filed with the Securities and Exchange Commission on the date hereof (the “Report”), the undersigned, the Senior Vice President and Chief Financial Officer of the Corporation, certifies that:</w:t>
      </w:r>
    </w:p>
    <w:p>
      <w:pPr>
        <w:spacing w:after="0" w:line="82"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75"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3432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29, 2023</w:t>
      </w:r>
    </w:p>
    <w:p>
      <w:pPr>
        <w:spacing w:after="0" w:line="212"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lowerRoman"/>
      <w:start w:val="2"/>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66" Type="http://schemas.openxmlformats.org/officeDocument/2006/relationships/hyperlink" Target="http://www.sec.gov/Archives/edgar/data/1144215/000119312507208062/dex31.htm" TargetMode="External"/><Relationship Id="rId67" Type="http://schemas.openxmlformats.org/officeDocument/2006/relationships/hyperlink" Target="http://www.sec.gov/Archives/edgar/data/1144215/000119312507208062/dex32.htm" TargetMode="External"/><Relationship Id="rId68" Type="http://schemas.openxmlformats.org/officeDocument/2006/relationships/hyperlink" Target="http://www.sec.gov/Archives/edgar/data/1144215/000114421517000005/ex3ccertificateofamendment.htm" TargetMode="External"/><Relationship Id="rId69" Type="http://schemas.openxmlformats.org/officeDocument/2006/relationships/hyperlink" Target="http://www.sec.gov/Archives/edgar/data/1144215/000114421521000008/ayi-20201130xex3d.htm" TargetMode="External"/><Relationship Id="rId70" Type="http://schemas.openxmlformats.org/officeDocument/2006/relationships/hyperlink" Target="http://www.sec.gov/Archives/edgar/data/1144215/000114421521000008/ayi-20201130xex3e.htm" TargetMode="External"/><Relationship Id="rId71" Type="http://schemas.openxmlformats.org/officeDocument/2006/relationships/hyperlink" Target="http://www.sec.gov/Archives/edgar/data/1144215/000114421522000097/ayi-20220831x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2023-06-29T06:46:53Z</dcterms:created>
  <dcterms:modified xsi:type="dcterms:W3CDTF">2023-06-29T06:46:53Z</dcterms:modified>
</cp:coreProperties>
</file>