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280" w:type="dxa"/>
        <w:tblCellMar>
          <w:top w:w="0" w:type="dxa"/>
          <w:left w:w="0" w:type="dxa"/>
          <w:bottom w:w="0" w:type="dxa"/>
          <w:right w:w="0" w:type="dxa"/>
        </w:tblCellMar>
      </w:tblPr>
      <w:tr>
        <w:trPr>
          <w:trHeight w:val="306"/>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262"/>
        </w:trPr>
        <w:tc>
          <w:tcPr>
            <w:tcW w:w="1200" w:type="dxa"/>
            <w:vAlign w:val="bottom"/>
          </w:tcPr>
          <w:p>
            <w:pPr>
              <w:spacing w:after="0"/>
              <w:rPr>
                <w:sz w:val="22"/>
                <w:szCs w:val="22"/>
                <w:color w:val="auto"/>
              </w:rPr>
            </w:pPr>
          </w:p>
        </w:tc>
        <w:tc>
          <w:tcPr>
            <w:tcW w:w="8460" w:type="dxa"/>
            <w:vAlign w:val="bottom"/>
          </w:tcPr>
          <w:p>
            <w:pPr>
              <w:jc w:val="center"/>
              <w:ind w:right="90"/>
              <w:spacing w:after="0"/>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399"/>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272"/>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rPr>
              <w:t>(Mark One)</w:t>
            </w:r>
          </w:p>
        </w:tc>
        <w:tc>
          <w:tcPr>
            <w:tcW w:w="8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For the quarterly period ended February 28, 2022.</w:t>
            </w:r>
          </w:p>
        </w:tc>
        <w:tc>
          <w:tcPr>
            <w:tcW w:w="0" w:type="dxa"/>
            <w:vAlign w:val="bottom"/>
          </w:tcPr>
          <w:p>
            <w:pPr>
              <w:spacing w:after="0"/>
              <w:rPr>
                <w:sz w:val="1"/>
                <w:szCs w:val="1"/>
                <w:color w:val="auto"/>
              </w:rPr>
            </w:pPr>
          </w:p>
        </w:tc>
      </w:tr>
      <w:tr>
        <w:trPr>
          <w:trHeight w:val="290"/>
        </w:trPr>
        <w:tc>
          <w:tcPr>
            <w:tcW w:w="1200" w:type="dxa"/>
            <w:vAlign w:val="bottom"/>
            <w:vMerge w:val="restart"/>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transition period from to .</w:t>
            </w:r>
          </w:p>
        </w:tc>
        <w:tc>
          <w:tcPr>
            <w:tcW w:w="0" w:type="dxa"/>
            <w:vAlign w:val="bottom"/>
          </w:tcPr>
          <w:p>
            <w:pPr>
              <w:spacing w:after="0"/>
              <w:rPr>
                <w:sz w:val="1"/>
                <w:szCs w:val="1"/>
                <w:color w:val="auto"/>
              </w:rPr>
            </w:pP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1"/>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42"/>
        </w:trPr>
        <w:tc>
          <w:tcPr>
            <w:tcW w:w="3960" w:type="dxa"/>
            <w:vAlign w:val="bottom"/>
          </w:tcPr>
          <w:p>
            <w:pPr>
              <w:jc w:val="center"/>
              <w:ind w:right="2008"/>
              <w:spacing w:after="0" w:line="143"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43"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96"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2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65"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34,580,432 shares as of April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120" w:type="dxa"/>
            <w:vAlign w:val="bottom"/>
            <w:gridSpan w:val="9"/>
            <w:vMerge w:val="restart"/>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120" w:type="dxa"/>
            <w:vAlign w:val="bottom"/>
            <w:gridSpan w:val="9"/>
            <w:vMerge w:val="continue"/>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2">
              <w:r>
                <w:rPr>
                  <w:rFonts w:ascii="Arial" w:cs="Arial" w:eastAsia="Arial" w:hAnsi="Arial"/>
                  <w:sz w:val="16"/>
                  <w:szCs w:val="16"/>
                  <w:color w:val="0000FF"/>
                </w:rPr>
                <w:t>Financial Statements</w:t>
              </w:r>
            </w:hyperlink>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 -- February 28, 2022 (Unaudited) and August 31, 2021</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(Unaudited) -- Three and six months ended February 28, 2022 and</w:t>
              </w:r>
            </w:hyperlink>
          </w:p>
        </w:tc>
        <w:tc>
          <w:tcPr>
            <w:tcW w:w="1040" w:type="dxa"/>
            <w:vAlign w:val="bottom"/>
            <w:gridSpan w:val="4"/>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ind w:left="60"/>
              <w:spacing w:after="0" w:line="182" w:lineRule="exact"/>
              <w:rPr>
                <w:rFonts w:ascii="Arial" w:cs="Arial" w:eastAsia="Arial" w:hAnsi="Arial"/>
                <w:sz w:val="16"/>
                <w:szCs w:val="16"/>
                <w:color w:val="0000FF"/>
              </w:rPr>
            </w:pPr>
            <w:hyperlink w:anchor="page3">
              <w:r>
                <w:rPr>
                  <w:rFonts w:ascii="Arial" w:cs="Arial" w:eastAsia="Arial" w:hAnsi="Arial"/>
                  <w:sz w:val="16"/>
                  <w:szCs w:val="16"/>
                  <w:color w:val="0000FF"/>
                </w:rPr>
                <w:t>2021</w:t>
              </w:r>
            </w:hyperlink>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4"/>
          </w:tcPr>
          <w:p>
            <w:pPr>
              <w:ind w:left="60"/>
              <w:spacing w:after="0" w:line="176" w:lineRule="exact"/>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 (Unaudited) -- Six months ended February 28, 2022 and 2021</w:t>
              </w:r>
            </w:hyperlink>
          </w:p>
        </w:tc>
        <w:tc>
          <w:tcPr>
            <w:tcW w:w="1040" w:type="dxa"/>
            <w:vAlign w:val="bottom"/>
            <w:gridSpan w:val="4"/>
          </w:tcPr>
          <w:p>
            <w:pPr>
              <w:jc w:val="right"/>
              <w:spacing w:after="0" w:line="176" w:lineRule="exact"/>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5">
              <w:r>
                <w:rPr>
                  <w:rFonts w:ascii="Arial" w:cs="Arial" w:eastAsia="Arial" w:hAnsi="Arial"/>
                  <w:sz w:val="16"/>
                  <w:szCs w:val="16"/>
                  <w:color w:val="0000FF"/>
                </w:rPr>
                <w:t>Notes to Consolidated Financial Statements (Unaudited)</w:t>
              </w:r>
            </w:hyperlink>
          </w:p>
        </w:tc>
        <w:tc>
          <w:tcPr>
            <w:tcW w:w="1040" w:type="dxa"/>
            <w:vAlign w:val="bottom"/>
            <w:gridSpan w:val="4"/>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6">
              <w:r>
                <w:rPr>
                  <w:rFonts w:ascii="Arial" w:cs="Arial" w:eastAsia="Arial" w:hAnsi="Arial"/>
                  <w:sz w:val="16"/>
                  <w:szCs w:val="16"/>
                  <w:color w:val="0000FF"/>
                </w:rPr>
                <w:t>Note 1 — Description of Business and Basis of Presentation</w:t>
              </w:r>
            </w:hyperlink>
          </w:p>
        </w:tc>
        <w:tc>
          <w:tcPr>
            <w:tcW w:w="1040" w:type="dxa"/>
            <w:vAlign w:val="bottom"/>
            <w:gridSpan w:val="4"/>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2 — Significant Accounting Policies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7">
              <w:r>
                <w:rPr>
                  <w:rFonts w:ascii="Arial" w:cs="Arial" w:eastAsia="Arial" w:hAnsi="Arial"/>
                  <w:sz w:val="16"/>
                  <w:szCs w:val="16"/>
                  <w:color w:val="0000FF"/>
                </w:rPr>
                <w:t>Note 3 — Acquisitions</w:t>
              </w:r>
            </w:hyperlink>
          </w:p>
        </w:tc>
        <w:tc>
          <w:tcPr>
            <w:tcW w:w="1040" w:type="dxa"/>
            <w:vAlign w:val="bottom"/>
            <w:gridSpan w:val="4"/>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4 — New Accounting Pronouncements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8">
              <w:r>
                <w:rPr>
                  <w:rFonts w:ascii="Arial" w:cs="Arial" w:eastAsia="Arial" w:hAnsi="Arial"/>
                  <w:sz w:val="16"/>
                  <w:szCs w:val="16"/>
                  <w:color w:val="0000FF"/>
                </w:rPr>
                <w:t>Note 5 — Fair Value Measurements</w:t>
              </w:r>
            </w:hyperlink>
          </w:p>
        </w:tc>
        <w:tc>
          <w:tcPr>
            <w:tcW w:w="1040" w:type="dxa"/>
            <w:vAlign w:val="bottom"/>
            <w:gridSpan w:val="4"/>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9">
              <w:r>
                <w:rPr>
                  <w:rFonts w:ascii="Arial" w:cs="Arial" w:eastAsia="Arial" w:hAnsi="Arial"/>
                  <w:sz w:val="16"/>
                  <w:szCs w:val="16"/>
                  <w:color w:val="0000FF"/>
                </w:rPr>
                <w:t>Note 6 — Inventories</w:t>
              </w:r>
            </w:hyperlink>
          </w:p>
        </w:tc>
        <w:tc>
          <w:tcPr>
            <w:tcW w:w="1040" w:type="dxa"/>
            <w:vAlign w:val="bottom"/>
            <w:gridSpan w:val="4"/>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7 — Property, Plant, and Equipment</w:t>
              </w:r>
            </w:hyperlink>
          </w:p>
        </w:tc>
        <w:tc>
          <w:tcPr>
            <w:tcW w:w="1040" w:type="dxa"/>
            <w:vAlign w:val="bottom"/>
            <w:gridSpan w:val="4"/>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0">
              <w:r>
                <w:rPr>
                  <w:rFonts w:ascii="Arial" w:cs="Arial" w:eastAsia="Arial" w:hAnsi="Arial"/>
                  <w:sz w:val="16"/>
                  <w:szCs w:val="16"/>
                  <w:color w:val="0000FF"/>
                </w:rPr>
                <w:t>Note 8 — Goodwill and Intangible Assets</w:t>
              </w:r>
            </w:hyperlink>
          </w:p>
        </w:tc>
        <w:tc>
          <w:tcPr>
            <w:tcW w:w="1040" w:type="dxa"/>
            <w:vAlign w:val="bottom"/>
            <w:gridSpan w:val="4"/>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1">
              <w:r>
                <w:rPr>
                  <w:rFonts w:ascii="Arial" w:cs="Arial" w:eastAsia="Arial" w:hAnsi="Arial"/>
                  <w:sz w:val="16"/>
                  <w:szCs w:val="16"/>
                  <w:color w:val="0000FF"/>
                </w:rPr>
                <w:t>Note 9 — Other Current Liabilities</w:t>
              </w:r>
            </w:hyperlink>
          </w:p>
        </w:tc>
        <w:tc>
          <w:tcPr>
            <w:tcW w:w="1040" w:type="dxa"/>
            <w:vAlign w:val="bottom"/>
            <w:gridSpan w:val="4"/>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1">
              <w:r>
                <w:rPr>
                  <w:rFonts w:ascii="Arial" w:cs="Arial" w:eastAsia="Arial" w:hAnsi="Arial"/>
                  <w:sz w:val="16"/>
                  <w:szCs w:val="16"/>
                  <w:color w:val="0000FF"/>
                </w:rPr>
                <w:t>Note 10 — Debt and Lines of Credit</w:t>
              </w:r>
            </w:hyperlink>
          </w:p>
        </w:tc>
        <w:tc>
          <w:tcPr>
            <w:tcW w:w="1040" w:type="dxa"/>
            <w:vAlign w:val="bottom"/>
            <w:gridSpan w:val="4"/>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2">
              <w:r>
                <w:rPr>
                  <w:rFonts w:ascii="Arial" w:cs="Arial" w:eastAsia="Arial" w:hAnsi="Arial"/>
                  <w:sz w:val="16"/>
                  <w:szCs w:val="16"/>
                  <w:color w:val="0000FF"/>
                </w:rPr>
                <w:t>Note 11 — Commitments and Contingencies</w:t>
              </w:r>
            </w:hyperlink>
          </w:p>
        </w:tc>
        <w:tc>
          <w:tcPr>
            <w:tcW w:w="1040" w:type="dxa"/>
            <w:vAlign w:val="bottom"/>
            <w:gridSpan w:val="4"/>
          </w:tcPr>
          <w:p>
            <w:pPr>
              <w:jc w:val="right"/>
              <w:spacing w:after="0"/>
              <w:rPr>
                <w:rFonts w:ascii="Arial" w:cs="Arial" w:eastAsia="Arial" w:hAnsi="Arial"/>
                <w:sz w:val="16"/>
                <w:szCs w:val="16"/>
                <w:color w:val="0000FF"/>
              </w:rPr>
            </w:pPr>
            <w:hyperlink w:anchor="page12">
              <w:r>
                <w:rPr>
                  <w:rFonts w:ascii="Arial" w:cs="Arial" w:eastAsia="Arial" w:hAnsi="Arial"/>
                  <w:sz w:val="16"/>
                  <w:szCs w:val="16"/>
                  <w:color w:val="0000FF"/>
                </w:rPr>
                <w:t>11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4">
              <w:r>
                <w:rPr>
                  <w:rFonts w:ascii="Arial" w:cs="Arial" w:eastAsia="Arial" w:hAnsi="Arial"/>
                  <w:sz w:val="16"/>
                  <w:szCs w:val="16"/>
                  <w:color w:val="0000FF"/>
                </w:rPr>
                <w:t>Note 12 — Changes in Stockholders' Equity</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4">
              <w:r>
                <w:rPr>
                  <w:rFonts w:ascii="Arial" w:cs="Arial" w:eastAsia="Arial" w:hAnsi="Arial"/>
                  <w:sz w:val="16"/>
                  <w:szCs w:val="16"/>
                  <w:color w:val="0000FF"/>
                  <w:w w:val="89"/>
                </w:rPr>
                <w:t>13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5">
              <w:r>
                <w:rPr>
                  <w:rFonts w:ascii="Arial" w:cs="Arial" w:eastAsia="Arial" w:hAnsi="Arial"/>
                  <w:sz w:val="16"/>
                  <w:szCs w:val="16"/>
                  <w:color w:val="0000FF"/>
                </w:rPr>
                <w:t>Note 13 — Revenue Recognition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5">
              <w:r>
                <w:rPr>
                  <w:rFonts w:ascii="Arial" w:cs="Arial" w:eastAsia="Arial" w:hAnsi="Arial"/>
                  <w:sz w:val="16"/>
                  <w:szCs w:val="16"/>
                  <w:color w:val="0000FF"/>
                  <w:w w:val="89"/>
                </w:rPr>
                <w:t>13</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6">
              <w:r>
                <w:rPr>
                  <w:rFonts w:ascii="Arial" w:cs="Arial" w:eastAsia="Arial" w:hAnsi="Arial"/>
                  <w:sz w:val="16"/>
                  <w:szCs w:val="16"/>
                  <w:color w:val="0000FF"/>
                </w:rPr>
                <w:t>Note 14 — Share-based Payments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6">
              <w:r>
                <w:rPr>
                  <w:rFonts w:ascii="Arial" w:cs="Arial" w:eastAsia="Arial" w:hAnsi="Arial"/>
                  <w:sz w:val="16"/>
                  <w:szCs w:val="16"/>
                  <w:color w:val="0000FF"/>
                  <w:w w:val="89"/>
                </w:rPr>
                <w:t>14</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15 — Pension Plans</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7">
              <w:r>
                <w:rPr>
                  <w:rFonts w:ascii="Arial" w:cs="Arial" w:eastAsia="Arial" w:hAnsi="Arial"/>
                  <w:sz w:val="16"/>
                  <w:szCs w:val="16"/>
                  <w:color w:val="0000FF"/>
                </w:rPr>
                <w:t>Note 16 — Earnings Per Share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7">
              <w:r>
                <w:rPr>
                  <w:rFonts w:ascii="Arial" w:cs="Arial" w:eastAsia="Arial" w:hAnsi="Arial"/>
                  <w:sz w:val="16"/>
                  <w:szCs w:val="16"/>
                  <w:color w:val="0000FF"/>
                  <w:w w:val="89"/>
                </w:rPr>
                <w:t>15</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8">
              <w:r>
                <w:rPr>
                  <w:rFonts w:ascii="Arial" w:cs="Arial" w:eastAsia="Arial" w:hAnsi="Arial"/>
                  <w:sz w:val="16"/>
                  <w:szCs w:val="16"/>
                  <w:color w:val="0000FF"/>
                </w:rPr>
                <w:t>Note 17 — Comprehensive Income</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19">
              <w:r>
                <w:rPr>
                  <w:rFonts w:ascii="Arial" w:cs="Arial" w:eastAsia="Arial" w:hAnsi="Arial"/>
                  <w:sz w:val="16"/>
                  <w:szCs w:val="16"/>
                  <w:color w:val="0000FF"/>
                </w:rPr>
                <w:t>Note 18 — Segment Information</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19">
              <w:r>
                <w:rPr>
                  <w:rFonts w:ascii="Arial" w:cs="Arial" w:eastAsia="Arial" w:hAnsi="Arial"/>
                  <w:sz w:val="16"/>
                  <w:szCs w:val="16"/>
                  <w:color w:val="0000FF"/>
                  <w:w w:val="89"/>
                </w:rPr>
                <w:t>17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rFonts w:ascii="Arial" w:cs="Arial" w:eastAsia="Arial" w:hAnsi="Arial"/>
                <w:sz w:val="16"/>
                <w:szCs w:val="16"/>
                <w:color w:val="0000FF"/>
              </w:rPr>
            </w:pPr>
            <w:hyperlink w:anchor="page20">
              <w:r>
                <w:rPr>
                  <w:rFonts w:ascii="Arial" w:cs="Arial" w:eastAsia="Arial" w:hAnsi="Arial"/>
                  <w:sz w:val="16"/>
                  <w:szCs w:val="16"/>
                  <w:color w:val="0000FF"/>
                </w:rPr>
                <w:t>Note 19 — Subsequent Event</w:t>
              </w:r>
            </w:hyperlink>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rFonts w:ascii="Arial" w:cs="Arial" w:eastAsia="Arial" w:hAnsi="Arial"/>
                <w:sz w:val="16"/>
                <w:szCs w:val="16"/>
                <w:color w:val="0000FF"/>
                <w:w w:val="89"/>
              </w:rPr>
            </w:pPr>
            <w:hyperlink w:anchor="page20">
              <w:r>
                <w:rPr>
                  <w:rFonts w:ascii="Arial" w:cs="Arial" w:eastAsia="Arial" w:hAnsi="Arial"/>
                  <w:sz w:val="16"/>
                  <w:szCs w:val="16"/>
                  <w:color w:val="0000FF"/>
                  <w:w w:val="89"/>
                </w:rPr>
                <w:t>18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Item 2.</w:t>
              </w:r>
            </w:hyperlink>
          </w:p>
        </w:tc>
        <w:tc>
          <w:tcPr>
            <w:tcW w:w="9000" w:type="dxa"/>
            <w:vAlign w:val="bottom"/>
            <w:gridSpan w:val="4"/>
          </w:tcPr>
          <w:p>
            <w:pPr>
              <w:ind w:left="60"/>
              <w:spacing w:after="0"/>
              <w:rPr>
                <w:rFonts w:ascii="Arial" w:cs="Arial" w:eastAsia="Arial" w:hAnsi="Arial"/>
                <w:sz w:val="16"/>
                <w:szCs w:val="16"/>
                <w:color w:val="0000FF"/>
              </w:rPr>
            </w:pPr>
            <w:hyperlink w:anchor="page20">
              <w:r>
                <w:rPr>
                  <w:rFonts w:ascii="Arial" w:cs="Arial" w:eastAsia="Arial" w:hAnsi="Arial"/>
                  <w:sz w:val="16"/>
                  <w:szCs w:val="16"/>
                  <w:color w:val="0000FF"/>
                </w:rPr>
                <w:t>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16"/>
                <w:szCs w:val="16"/>
                <w:color w:val="0000FF"/>
              </w:rPr>
            </w:pPr>
            <w:hyperlink w:anchor="page20">
              <w:r>
                <w:rPr>
                  <w:rFonts w:ascii="Arial" w:cs="Arial" w:eastAsia="Arial" w:hAnsi="Arial"/>
                  <w:sz w:val="16"/>
                  <w:szCs w:val="16"/>
                  <w:color w:val="0000FF"/>
                </w:rPr>
                <w:t>19</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3.</w:t>
              </w:r>
            </w:hyperlink>
          </w:p>
        </w:tc>
        <w:tc>
          <w:tcPr>
            <w:tcW w:w="9000" w:type="dxa"/>
            <w:vAlign w:val="bottom"/>
            <w:gridSpan w:val="4"/>
          </w:tcPr>
          <w:p>
            <w:pPr>
              <w:ind w:left="60"/>
              <w:spacing w:after="0"/>
              <w:rPr>
                <w:rFonts w:ascii="Arial" w:cs="Arial" w:eastAsia="Arial" w:hAnsi="Arial"/>
                <w:sz w:val="16"/>
                <w:szCs w:val="16"/>
                <w:color w:val="0000FF"/>
              </w:rPr>
            </w:pPr>
            <w:hyperlink w:anchor="page29">
              <w:r>
                <w:rPr>
                  <w:rFonts w:ascii="Arial" w:cs="Arial" w:eastAsia="Arial" w:hAnsi="Arial"/>
                  <w:sz w:val="16"/>
                  <w:szCs w:val="16"/>
                  <w:color w:val="0000FF"/>
                </w:rPr>
                <w:t>Quantitative and Qualitative Disclosures about Market Risk</w:t>
              </w:r>
            </w:hyperlink>
          </w:p>
        </w:tc>
        <w:tc>
          <w:tcPr>
            <w:tcW w:w="10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4.</w:t>
              </w:r>
            </w:hyperlink>
          </w:p>
        </w:tc>
        <w:tc>
          <w:tcPr>
            <w:tcW w:w="9000" w:type="dxa"/>
            <w:vAlign w:val="bottom"/>
            <w:gridSpan w:val="4"/>
          </w:tcPr>
          <w:p>
            <w:pPr>
              <w:ind w:left="60"/>
              <w:spacing w:after="0"/>
              <w:rPr>
                <w:rFonts w:ascii="Arial" w:cs="Arial" w:eastAsia="Arial" w:hAnsi="Arial"/>
                <w:sz w:val="16"/>
                <w:szCs w:val="16"/>
                <w:color w:val="0000FF"/>
              </w:rPr>
            </w:pPr>
            <w:hyperlink w:anchor="page29">
              <w:r>
                <w:rPr>
                  <w:rFonts w:ascii="Arial" w:cs="Arial" w:eastAsia="Arial" w:hAnsi="Arial"/>
                  <w:sz w:val="16"/>
                  <w:szCs w:val="16"/>
                  <w:color w:val="0000FF"/>
                </w:rPr>
                <w:t>Controls and Procedures</w:t>
              </w:r>
            </w:hyperlink>
          </w:p>
        </w:tc>
        <w:tc>
          <w:tcPr>
            <w:tcW w:w="1040" w:type="dxa"/>
            <w:vAlign w:val="bottom"/>
            <w:gridSpan w:val="4"/>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29">
              <w:r>
                <w:rPr>
                  <w:rFonts w:ascii="Arial" w:cs="Arial" w:eastAsia="Arial" w:hAnsi="Arial"/>
                  <w:sz w:val="16"/>
                  <w:szCs w:val="16"/>
                  <w:b w:val="1"/>
                  <w:bCs w:val="1"/>
                  <w:color w:val="0000FF"/>
                </w:rPr>
                <w:t>Part II. OTHER INFORMATION</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w:t>
              </w:r>
            </w:hyperlink>
          </w:p>
        </w:tc>
        <w:tc>
          <w:tcPr>
            <w:tcW w:w="9000" w:type="dxa"/>
            <w:vAlign w:val="bottom"/>
            <w:gridSpan w:val="4"/>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Legal Proceedings</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1a.</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Risk Factors</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2.</w:t>
              </w:r>
            </w:hyperlink>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Unregistered Sales of Equity Securities and Use of Proceeds</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5.</w:t>
              </w:r>
            </w:hyperlink>
          </w:p>
        </w:tc>
        <w:tc>
          <w:tcPr>
            <w:tcW w:w="9000" w:type="dxa"/>
            <w:vAlign w:val="bottom"/>
            <w:gridSpan w:val="4"/>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Other Information</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6.</w:t>
              </w:r>
            </w:hyperlink>
          </w:p>
        </w:tc>
        <w:tc>
          <w:tcPr>
            <w:tcW w:w="9000" w:type="dxa"/>
            <w:vAlign w:val="bottom"/>
            <w:gridSpan w:val="4"/>
          </w:tcPr>
          <w:p>
            <w:pPr>
              <w:ind w:left="60"/>
              <w:spacing w:after="0"/>
              <w:rPr>
                <w:rFonts w:ascii="Arial" w:cs="Arial" w:eastAsia="Arial" w:hAnsi="Arial"/>
                <w:sz w:val="16"/>
                <w:szCs w:val="16"/>
                <w:color w:val="0000FF"/>
              </w:rPr>
            </w:pPr>
            <w:hyperlink w:anchor="page30">
              <w:r>
                <w:rPr>
                  <w:rFonts w:ascii="Arial" w:cs="Arial" w:eastAsia="Arial" w:hAnsi="Arial"/>
                  <w:sz w:val="16"/>
                  <w:szCs w:val="16"/>
                  <w:color w:val="0000FF"/>
                </w:rPr>
                <w:t>Exhibits</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6"/>
                <w:szCs w:val="16"/>
                <w:b w:val="1"/>
                <w:bCs w:val="1"/>
                <w:color w:val="0000FF"/>
              </w:rPr>
            </w:pPr>
            <w:hyperlink w:anchor="page30">
              <w:r>
                <w:rPr>
                  <w:rFonts w:ascii="Arial" w:cs="Arial" w:eastAsia="Arial" w:hAnsi="Arial"/>
                  <w:sz w:val="16"/>
                  <w:szCs w:val="16"/>
                  <w:b w:val="1"/>
                  <w:bCs w:val="1"/>
                  <w:color w:val="0000FF"/>
                </w:rPr>
                <w:t>INDEX TO EXHIBITS</w:t>
              </w:r>
            </w:hyperlink>
          </w:p>
        </w:tc>
        <w:tc>
          <w:tcPr>
            <w:tcW w:w="1040" w:type="dxa"/>
            <w:vAlign w:val="bottom"/>
            <w:gridSpan w:val="4"/>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SIGNATURES</w:t>
              </w:r>
            </w:hyperlink>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30</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February 28, 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2021</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$1.2 and $1.2, respectively</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546.8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571.8</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1,544.3</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264.1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269.1</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1,092.4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3"/>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accrued liabilities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692.2</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494.7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89"/>
        </w:trPr>
        <w:tc>
          <w:tcPr>
            <w:tcW w:w="7280" w:type="dxa"/>
            <w:vAlign w:val="bottom"/>
          </w:tcPr>
          <w:p>
            <w:pPr>
              <w:ind w:left="20"/>
              <w:spacing w:after="0"/>
              <w:rPr>
                <w:sz w:val="20"/>
                <w:szCs w:val="20"/>
                <w:color w:val="auto"/>
              </w:rPr>
            </w:pPr>
            <w:r>
              <w:rPr>
                <w:rFonts w:ascii="Arial" w:cs="Arial" w:eastAsia="Arial" w:hAnsi="Arial"/>
                <w:sz w:val="14"/>
                <w:szCs w:val="14"/>
                <w:color w:val="auto"/>
              </w:rPr>
              <w:t>Accrued pension liabilities</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1,574.9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1,530.6</w:t>
            </w:r>
          </w:p>
        </w:tc>
        <w:tc>
          <w:tcPr>
            <w:tcW w:w="0" w:type="dxa"/>
            <w:vAlign w:val="bottom"/>
          </w:tcPr>
          <w:p>
            <w:pPr>
              <w:spacing w:after="0"/>
              <w:rPr>
                <w:sz w:val="1"/>
                <w:szCs w:val="1"/>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20" w:type="dxa"/>
            <w:vAlign w:val="bottom"/>
          </w:tcPr>
          <w:p>
            <w:pPr>
              <w:spacing w:after="0"/>
              <w:rPr>
                <w:sz w:val="16"/>
                <w:szCs w:val="16"/>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$0.01 par value; 500,000,000 shares authorized; 54,199,410 and 54,018,978 issued,</w:t>
            </w:r>
          </w:p>
        </w:tc>
        <w:tc>
          <w:tcPr>
            <w:tcW w:w="22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220" w:type="dxa"/>
            <w:vAlign w:val="bottom"/>
            <w:shd w:val="clear" w:color="auto" w:fill="CCEEFF"/>
          </w:tcPr>
          <w:p>
            <w:pPr>
              <w:spacing w:after="0"/>
              <w:rPr>
                <w:sz w:val="15"/>
                <w:szCs w:val="15"/>
                <w:color w:val="auto"/>
              </w:rPr>
            </w:pPr>
          </w:p>
        </w:tc>
        <w:tc>
          <w:tcPr>
            <w:tcW w:w="1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Paid-in capital</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1,015.6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2,810.3</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89"/>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of 19,425,436 and 18,826,611 shares, respectively</w:t>
            </w:r>
          </w:p>
        </w:tc>
        <w:tc>
          <w:tcPr>
            <w:tcW w:w="2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(1,663.7)</w:t>
            </w:r>
          </w:p>
        </w:tc>
        <w:tc>
          <w:tcPr>
            <w:tcW w:w="0" w:type="dxa"/>
            <w:vAlign w:val="bottom"/>
          </w:tcPr>
          <w:p>
            <w:pPr>
              <w:spacing w:after="0"/>
              <w:rPr>
                <w:sz w:val="1"/>
                <w:szCs w:val="1"/>
                <w:color w:val="auto"/>
              </w:rPr>
            </w:pPr>
          </w:p>
        </w:tc>
      </w:tr>
      <w:tr>
        <w:trPr>
          <w:trHeight w:val="18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2,044.5</w:t>
            </w:r>
          </w:p>
        </w:tc>
        <w:tc>
          <w:tcPr>
            <w:tcW w:w="0" w:type="dxa"/>
            <w:vAlign w:val="bottom"/>
          </w:tcPr>
          <w:p>
            <w:pPr>
              <w:spacing w:after="0"/>
              <w:rPr>
                <w:sz w:val="1"/>
                <w:szCs w:val="1"/>
                <w:color w:val="auto"/>
              </w:rPr>
            </w:pPr>
          </w:p>
        </w:tc>
      </w:tr>
      <w:tr>
        <w:trPr>
          <w:trHeight w:val="208"/>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2022</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2021</w:t>
            </w:r>
          </w:p>
        </w:tc>
        <w:tc>
          <w:tcPr>
            <w:tcW w:w="1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28, 2022</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2021</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1,568.6</w:t>
            </w: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529.8</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899.5</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491.4</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176.7</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2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7"/>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5"/>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 items, net of tax</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w:t>
            </w:r>
          </w:p>
        </w:tc>
      </w:tr>
      <w:tr>
        <w:trPr>
          <w:trHeight w:val="20"/>
        </w:trPr>
        <w:tc>
          <w:tcPr>
            <w:tcW w:w="5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2021</w:t>
            </w: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122.5</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Gain on sale of property, plant, and equipment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Issuance of long-term debt</w:t>
            </w:r>
          </w:p>
        </w:tc>
        <w:tc>
          <w:tcPr>
            <w:tcW w:w="2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493.9</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(397.1)</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(338.3)</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(253.6)</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lighting, lighting controls, building management systems, and location-aware applications.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3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Lumniaire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and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the three and six months ended February 28, 2022 and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ISG delivers products and services that make spaces smarter, safer, and greener. ISG offers building management systems and location-aware applications and sells predominantly to system integrators. Our building management system includes products for controlling heating, ventilation, and air conditioning (“HVAC”), lighting, shades, and building access that deliver end-to-end optimization of those building systems. Atrius</w:t>
      </w:r>
      <w:r>
        <w:rPr>
          <w:rFonts w:ascii="Arial" w:cs="Arial" w:eastAsia="Arial" w:hAnsi="Arial"/>
          <w:sz w:val="23"/>
          <w:szCs w:val="23"/>
          <w:color w:val="auto"/>
          <w:vertAlign w:val="superscript"/>
        </w:rPr>
        <w:t>TM</w:t>
      </w:r>
      <w:r>
        <w:rPr>
          <w:rFonts w:ascii="Arial" w:cs="Arial" w:eastAsia="Arial" w:hAnsi="Arial"/>
          <w:sz w:val="18"/>
          <w:szCs w:val="18"/>
          <w:color w:val="auto"/>
        </w:rPr>
        <w:t>, our intelligent building platform,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capability through both software and hardware updates. Customers of ISG primarily include system integrators as well as retail stores, airports, and enterprise campuses throughout North America and select international locations. ISG products and solutions are marketed under numerous brand names, including but not limited to Distech Controls®, Atrius</w:t>
      </w:r>
      <w:r>
        <w:rPr>
          <w:rFonts w:ascii="Arial" w:cs="Arial" w:eastAsia="Arial" w:hAnsi="Arial"/>
          <w:sz w:val="23"/>
          <w:szCs w:val="23"/>
          <w:color w:val="auto"/>
          <w:vertAlign w:val="superscript"/>
        </w:rPr>
        <w:t>TM</w:t>
      </w:r>
      <w:r>
        <w:rPr>
          <w:rFonts w:ascii="Arial" w:cs="Arial" w:eastAsia="Arial" w:hAnsi="Arial"/>
          <w:sz w:val="18"/>
          <w:szCs w:val="18"/>
          <w:color w:val="auto"/>
        </w:rPr>
        <w:t>, and Rockpile Ventures.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the three and six months ended February 28, 2022 and 2021.</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28, 2022, our consolidated comprehensive income for the three and six months ended February 28, 2022 and 2021, and our consolidated cash flows for the six months ended February 28, 2022 and 2021. Certain information and footnote disclosures normally included in our annual financial statements prepared in accordance with U.S. GAAP have been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2021 and notes thereto included in our Annual Report on Form 10-K filed with the Securities and Exchange Commission (the “SEC”) on October 27, 2021 (File No. 001-16583) (“Form 10-K”).</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and six months ended February 28, 2022 are not necessarily indicative of the results to be expected for the full fiscal 2022 year due primarily to continued uncertainty of general economic conditions that may impact our key end markets for the remainder of fiscal 2022, seasonality, and the impact of any acquisitions, among other reasons. We are uncertain of the future impact of the ongoing COVID-19 pandemic or recovery of prior deterioration in economic conditions to our sales channels, supply chain, manufacturing, and distribution as well as overall construction, renovation, and consumer spending. Additionally, 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have recast prior period segment and disaggregated revenue information to conform to the current year presentation. See the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 No other material reclassifications occurred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discussion relates to fiscal 2021 acquisitions. There were no acquisitions during fiscal 2022; the $10.2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working capital settlements for fiscal 2021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ams OSRAM's North American Digital Systems Business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0E101A"/>
        </w:rPr>
        <w:t>July 1, 2021, using cash on hand, we acquired certain assets and liabilities of ams OSRAM’s North American Digital Systems business</w:t>
      </w:r>
      <w:r>
        <w:rPr>
          <w:rFonts w:ascii="Arial" w:cs="Arial" w:eastAsia="Arial" w:hAnsi="Arial"/>
          <w:sz w:val="18"/>
          <w:szCs w:val="18"/>
          <w:color w:val="auto"/>
        </w:rPr>
        <w:t xml:space="preserve"> </w:t>
      </w:r>
      <w:r>
        <w:rPr>
          <w:rFonts w:ascii="Arial" w:cs="Arial" w:eastAsia="Arial" w:hAnsi="Arial"/>
          <w:sz w:val="18"/>
          <w:szCs w:val="18"/>
          <w:color w:val="0E101A"/>
        </w:rPr>
        <w:t>(“OSRAM DS”). This acquisition is intended to enhance our LED driver and controls technology portfolio and accelerate our innovation, expand our access to market through a more fulsome original equipment manufacturer (“OEM”) product offering, and give us more control over our supply chain.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Rockpile Ventures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accounted for the acquisitions of Rockpile Ventures and OSRAM DS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and acquisition-related costs were expensed as incurred. The aggregate purchase price of these acquisitions reflects preliminary goodwill of $10.6 million and definite-lived customer-based intangible assets of $6.7 million, which have a preliminary useful life of approximately 11 years. Goodwill recognized from these acquisitions is comprised primarily of expected synergies from obtaining more control over our supply chain and technology, combining the operations of the acquired business with our operations, and acquiring the associated trained workforce. As of February 28, 2022, goodwill from these acquisitions totaling $7.5 million is expected to be tax deductible. Amounts recognized for these acquisitions are deemed to be provisional until disclosed otherwise, as we continue to gather information related to the identification and valuation of acquired assets and liabilities, including but not limited to, acquired interests in technology startups, tax-related items, final net working capital purchase adjustments, if any, and the residual impacts on the valuation of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or our fiscal 2022. Most amendments within the standard are required to be applied on a prospective basis, while certain amendments must be applied on a retrospective or modified retrospective basis. We adopted ASU 2019-11 as of September 1, 2021 as required by the standard. This standard did not have a material effect on our financial condition,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xml:space="preserve"> (“ASU 2021-08”)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2021, the FASB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We are currently assessing the impacts of ASU 2021-08 to determine whether we will adopt early or in fiscal 2024. Amendments within the standard are required to be applied on a prospective basis from the date of adoption. We will apply the provisions of ASU 2021-08 after adoption to future acquisitions, if 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 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$475.5 million and $491.3 million as of February 28, 2022 and August 31, 2021, respectively.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hold a small number of investments in equity and debt financial instruments totaling $9.9 million and $5.3 million as of February 28, 2022 and August 31, 2021, respectively. We generally account for these investments at fair value on a recurring basis. Changes in the fair values of these financial instruments during the three and six months ended February 28, 2022 and 2021 were not material to our financial condition, results of operations, or cash flows.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strategic equity investments represent less than a 20% ownership interest in each of the privately-held entities, and we do not exercise significant influence or control any of the entities. Certain of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During the first quarter of fiscal 2021, we recorded an impairment charge of $4.0 million for one of these investments as a recapitalization of the underlying company diluted our holding value. The impairment charge is reflected in </w:t>
      </w:r>
      <w:r>
        <w:rPr>
          <w:rFonts w:ascii="Arial" w:cs="Arial" w:eastAsia="Arial" w:hAnsi="Arial"/>
          <w:sz w:val="18"/>
          <w:szCs w:val="18"/>
          <w:i w:val="1"/>
          <w:iCs w:val="1"/>
          <w:color w:val="auto"/>
        </w:rPr>
        <w:t xml:space="preserve">Miscellaneous (income) expense, net </w:t>
      </w:r>
      <w:r>
        <w:rPr>
          <w:rFonts w:ascii="Arial" w:cs="Arial" w:eastAsia="Arial" w:hAnsi="Arial"/>
          <w:sz w:val="18"/>
          <w:szCs w:val="18"/>
          <w:color w:val="auto"/>
        </w:rPr>
        <w:t>for the six months ended February 28, 2021 within our</w:t>
      </w:r>
      <w:r>
        <w:rPr>
          <w:rFonts w:ascii="Arial" w:cs="Arial" w:eastAsia="Arial" w:hAnsi="Arial"/>
          <w:sz w:val="18"/>
          <w:szCs w:val="18"/>
          <w:i w:val="1"/>
          <w:iCs w:val="1"/>
          <w:color w:val="auto"/>
        </w:rPr>
        <w:t xml:space="preserve"> Consolidated Statements of Comprehensive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The estimated fair value of our senior unsecured public notes was $ 461.3 million and $496.5 million as of February 28, 2022 and August 31, 2021, respectively. The decrease in fair value is due to increases in market bond yields since the end of fiscal 2021.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details on our long-term borrowings.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285" w:lineRule="auto"/>
        <w:tabs>
          <w:tab w:leader="none" w:pos="140" w:val="left"/>
        </w:tabs>
        <w:numPr>
          <w:ilvl w:val="0"/>
          <w:numId w:val="1"/>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198.0</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845.3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r>
      <w:tr>
        <w:trPr>
          <w:trHeight w:val="21"/>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three months ended February 28, 2022, we sold one building previously classified as held for sale with a carrying value of $6.6 million for a gain of approximately $2.3 million reflected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amortization expense for definite-lived intangible assets of $10.3 million and $10.1 million during the three months ended February 28, 2022 and 2021, respectively, and $20.6 million and $20.2 million during the six months ended February 28, 2022 and 2021, respectively. Amortization expense is generally recorded on a straight-line basis and is expected to be approximately $41.2 million in fiscal 2022, $40.5 million in fiscal 2023, $40.0 million in fiscal 2024, $31.9 million in fiscal 2025, and $29.1 million in fiscal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1,022.2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as of February 28, 2022</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1,020.2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1,092.4</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February 28, 2021</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1,015.4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71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ind w:left="640" w:hanging="308"/>
        <w:spacing w:after="0" w:line="187" w:lineRule="auto"/>
        <w:tabs>
          <w:tab w:leader="none" w:pos="6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87" w:lineRule="auto"/>
        <w:tabs>
          <w:tab w:leader="none" w:pos="6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Includes accruals for income, property, sales and use, and value added taxes.</w:t>
      </w:r>
    </w:p>
    <w:p>
      <w:pPr>
        <w:ind w:left="640" w:hanging="308"/>
        <w:spacing w:after="0" w:line="187" w:lineRule="auto"/>
        <w:tabs>
          <w:tab w:leader="none" w:pos="6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60" w:hanging="328"/>
        <w:spacing w:after="0" w:line="213" w:lineRule="auto"/>
        <w:tabs>
          <w:tab w:leader="none" w:pos="653"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 xml:space="preserve">Includes an accrual of $15.8 million as of February 28, 2022, related to the securities class action matter. 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 xml:space="preserve">Notes to Consolidated Financial Statements </w:t>
      </w:r>
      <w:r>
        <w:rPr>
          <w:rFonts w:ascii="Arial" w:cs="Arial" w:eastAsia="Arial" w:hAnsi="Arial"/>
          <w:sz w:val="14"/>
          <w:szCs w:val="14"/>
          <w:color w:val="auto"/>
        </w:rPr>
        <w:t>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bear interest at a rate of 2.150% per annum and were issued at a price equal to 99.737% of their face value. Interest on the Unsecured Notes is paid semi-annually in arrears on June 15 and December 15 of each year. The Unsecured Notes are fully and unconditionally guaranteed on a senior unsecured basis by Acuity Brands, Inc. and ABL IP Holding LLC, a wholly-owned subsidiary of Acuity Brands, Inc. We recorded $4.8 million of deferred issuance costs related to the Unsecured Notes as a direct deduction from the face amount of the Unsecured Notes. These issuance costs are amortized over the 10-year term of the Unsecured Notes. As of February 28, 2022, the balance of the Unsecured Notes net of unamortized discount and deferred issuance costs was $494.7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29, 2018, we entered into a credit agreement (the “Credit Agreement”) with a syndicate of banks that provides us with a $400.0 million five-year unsecured revolving credit facility (the “Revolving Credit Facility”). We had no borrowings outstanding under the Revolving Credit Facility as of February 28, 2022 or August 31, 2021. The Credit Agreement expires in June 2023, and we plan to enter into a new agreement prior to this expiration.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with such margin ranging from 0.000% to 0.375%.</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27, 2017, the U.K. Financial Conduct Authority, which regulates LIBOR, announced that it will phase out rates for the calculation of LIBOR. As a result of this change, certain LIBOR tenors and currencies were eliminated on December 31, 2021 with all other tenors and currencies of LIBOR anticipated to be eliminated on June 30, 2023.</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 annual facility fee. The annual facility fee is payable quarterly, in arrears, and is determined by our leverage ratio. The annual facility fee ranges from 0.125% to 0.250% of the aggregate $400.0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financial covenants under the Credit Agreement as of February 28, 2022. As of February 28, 2022, we had outstanding letters of credit totaling $4.1 million, primarily for securing collateral requirements under our casualty insurance programs. At February 28, 2022, we had additional borrowing capacity under the Credit Agreement of $395.9 million under the most restrictive covenant in effect at the time, which represents the full amount of the Revolving Credit Facility less the outstanding letters of credit of $4.1 million issued under the Revolving Credit Facility.</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76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February 28, 2021</w:t>
            </w: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6.9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5"/>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w w:val="97"/>
              </w:rPr>
              <w:t>(0.3)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35"/>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w w:val="98"/>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center"/>
              <w:ind w:left="1339"/>
              <w:spacing w:after="0"/>
              <w:rPr>
                <w:sz w:val="20"/>
                <w:szCs w:val="20"/>
                <w:color w:val="auto"/>
              </w:rPr>
            </w:pPr>
            <w:r>
              <w:rPr>
                <w:rFonts w:ascii="Arial" w:cs="Arial" w:eastAsia="Arial" w:hAnsi="Arial"/>
                <w:sz w:val="16"/>
                <w:szCs w:val="16"/>
                <w:color w:val="auto"/>
                <w:w w:val="98"/>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28, 2022,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other than the items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generally have a standard warranty term of five years that assures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financial position, and cash flows.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Six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February 28, 2022</w:t>
            </w: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2021</w:t>
            </w:r>
          </w:p>
        </w:tc>
      </w:tr>
      <w:tr>
        <w:trPr>
          <w:trHeight w:val="208"/>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center"/>
              <w:ind w:left="12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center"/>
              <w:ind w:left="1239"/>
              <w:spacing w:after="0"/>
              <w:rPr>
                <w:sz w:val="20"/>
                <w:szCs w:val="20"/>
                <w:color w:val="auto"/>
              </w:rPr>
            </w:pPr>
            <w:r>
              <w:rPr>
                <w:rFonts w:ascii="Arial" w:cs="Arial" w:eastAsia="Arial" w:hAnsi="Arial"/>
                <w:sz w:val="16"/>
                <w:szCs w:val="16"/>
                <w:color w:val="auto"/>
                <w:w w:val="96"/>
              </w:rPr>
              <w:t>16.1</w:t>
            </w:r>
          </w:p>
        </w:tc>
      </w:tr>
      <w:tr>
        <w:trPr>
          <w:trHeight w:val="215"/>
        </w:trPr>
        <w:tc>
          <w:tcPr>
            <w:tcW w:w="200" w:type="dxa"/>
            <w:vAlign w:val="bottom"/>
          </w:tcPr>
          <w:p>
            <w:pPr>
              <w:spacing w:after="0"/>
              <w:rPr>
                <w:sz w:val="18"/>
                <w:szCs w:val="18"/>
                <w:color w:val="auto"/>
              </w:rPr>
            </w:pPr>
          </w:p>
        </w:tc>
        <w:tc>
          <w:tcPr>
            <w:tcW w:w="1800" w:type="dxa"/>
            <w:vAlign w:val="bottom"/>
          </w:tcPr>
          <w:p>
            <w:pPr>
              <w:jc w:val="center"/>
              <w:ind w:left="12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left="1239"/>
              <w:spacing w:after="0"/>
              <w:rPr>
                <w:sz w:val="20"/>
                <w:szCs w:val="20"/>
                <w:color w:val="auto"/>
              </w:rPr>
            </w:pPr>
            <w:r>
              <w:rPr>
                <w:rFonts w:ascii="Arial" w:cs="Arial" w:eastAsia="Arial" w:hAnsi="Arial"/>
                <w:sz w:val="16"/>
                <w:szCs w:val="16"/>
                <w:color w:val="auto"/>
                <w:w w:val="96"/>
              </w:rPr>
              <w:t>10.1</w:t>
            </w:r>
          </w:p>
        </w:tc>
      </w:tr>
      <w:tr>
        <w:trPr>
          <w:trHeight w:val="217"/>
        </w:trPr>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w w:val="95"/>
              </w:rPr>
              <w:t>(11.4)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rPr>
              <w:t>(11.0)</w:t>
            </w: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w w:val="96"/>
              </w:rPr>
              <w:t>15.2</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-316865</wp:posOffset>
            </wp:positionV>
            <wp:extent cx="71062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October 5, 2021, the parties to the shareholder class action litigation previously disclosed (and further described below) executed a term sheet for settlement of the litigation, subject to documentation of the settlement and approval of the District Court after notice to class members. On December 2, 2021, the lead plaintiff in the case filed an unopposed motion seeking preliminary approval of the settlement which attaches the settlement stipulation and exhibits thereto. If the settlement is approved, we expect that the agreed-upon settlement payment of $15.8 million will be funded entirely by applicable Directors and Officers liability insurance. As such, we do not anticipate a significant net loss or cash outflow as a result of the settlement of this matter. As of February 28, 2022, we reflected a liability for the settlement amount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a corresponding receivable for the offsetting insurance proceeds within </w:t>
      </w:r>
      <w:r>
        <w:rPr>
          <w:rFonts w:ascii="Arial" w:cs="Arial" w:eastAsia="Arial" w:hAnsi="Arial"/>
          <w:sz w:val="18"/>
          <w:szCs w:val="18"/>
          <w:i w:val="1"/>
          <w:iCs w:val="1"/>
          <w:color w:val="auto"/>
        </w:rPr>
        <w:t>Prepayments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current assets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case was originally filed on January 3, 2018,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which supersedes the initial complaints. The Consolidated Complaint is brought on behalf of all persons who purchased our common stock between October 7, 2015 and April 3, 2017 and alleges that we and certain of our former officers/executives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unspecified monetary damages, costs, and attorneys’ fees. We dispute the allegations in the complaints.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The Eleventh Circuit Court of Appeals granted the Company permission to file an interlocutory appeal of the District Court’s class certification order, and the briefing of that appeal has been completed. On October 7, 2021, the Eleventh Circuit Court of Appeals entered an order holding the appeal from the class certification order in abeyance pending a decision from the District Court concerning approval of the proposed settlement.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 2021, certain alleged shareholders of the Company filed a putative derivative complaint in the United States District Court for the Northern District of Georgia asserting claims against three of the individuals named as defendants in the above securities action for breach of fiduciary duty and certain other claims arising out of the alleged facts and circumstances upon which the claims in the above securities class action are based (the “Derivative Complaint”). The Company is named as a nominal defendant, and the plaintiffs seek on behalf of the Company unspecified damages from the individual defendants and other relief. Prior to filing the Derivative Complaint, the derivative plaintiffs sent letters to the Company’s Board of Directors (the “Board”) demanding that the Company investigate and pursue substantially the same claims against the individual defendants that are asserted in the Derivative Complaint. The Company’s Board formed a demand evaluation committee consisting of independent directors to investigate these matters and make a recommendation to the Board regarding the best interests of the Company in connection therewith. The committee’s work is ongoing. On December 14, 2021, the Company filed a motion to stay the derivative action pending the conclusion of the related securities class action or, in the alternative, to dismiss the derivative action without prejudice as premature, given the demand evaluation committee’s ongoing work. Also on December 14, 2021, the individual defendants filed a motion to dismiss the Derivative Complaint for failure to adequately plead any claim for relief against them.</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Estimating an amount or range of possible losses or gains resulting from litigation proceedings is inherently difficult, particularly where the matters involve indeterminate claims for monetary damages and are in the stages of the proceedings where key evidential and legal issues have not been resolved. For these reasons, we are currently unable to predict the ultimate timing or outcome of or reasonably estimate the possible losses or gains or a range of possible losses or gains resulting from the matters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50"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6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9"/>
                <w:szCs w:val="9"/>
                <w:color w:val="auto"/>
              </w:rPr>
            </w:pPr>
          </w:p>
        </w:tc>
        <w:tc>
          <w:tcPr>
            <w:tcW w:w="136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Treasury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2021</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2021</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2,072.9</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2022</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9"/>
                <w:szCs w:val="9"/>
                <w:color w:val="auto"/>
              </w:rPr>
            </w:pPr>
          </w:p>
        </w:tc>
        <w:tc>
          <w:tcPr>
            <w:tcW w:w="1360" w:type="dxa"/>
            <w:vAlign w:val="bottom"/>
            <w:gridSpan w:val="2"/>
          </w:tcPr>
          <w:p>
            <w:pPr>
              <w:jc w:val="center"/>
              <w:ind w:right="200"/>
              <w:spacing w:after="0" w:line="105"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Treasury</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963.6</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Cumulative effect of adoption of ASC 326</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2020</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2,577.7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4"/>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2022</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from the dates presented.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Revenue recognized from beginning balances of contract liabilities during the six months ended February 28, 2022 totaled $5.2 million.</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February 28, 2022 and consist primarily of orders for physical goods that have not yet been shipped.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and directly to large corporate accounts.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60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2022</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2022</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2021</w:t>
            </w: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614.3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549.9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1,251.1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1,109.4</w:t>
            </w: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99.7</w:t>
            </w: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5"/>
        </w:trPr>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ISG</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1,568.6</w:t>
            </w: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stock units, and restricted stock (all part of our equity incentive plan), as well as stock units representing certain deferrals into our director deferred compensation plan or our supplemental deferred savings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6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2022</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2022</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2021</w:t>
            </w: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excess tax benefits of $4.4 million related to share-based payment awards during the six months ended February 28, 2022.</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620" w:type="dxa"/>
            <w:vAlign w:val="bottom"/>
            <w:gridSpan w:val="4"/>
          </w:tcPr>
          <w:p>
            <w:pPr>
              <w:ind w:left="1020"/>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2022</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February 28, 2021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2022</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February 28, 2021</w:t>
            </w: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98"/>
              </w:rPr>
              <w:t>2.5</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1680" w:type="dxa"/>
            <w:vAlign w:val="bottom"/>
          </w:tcPr>
          <w:p>
            <w:pPr>
              <w:jc w:val="center"/>
              <w:ind w:left="1219"/>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ind w:left="1199"/>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ind w:left="12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left="1219"/>
              <w:spacing w:after="0"/>
              <w:rPr>
                <w:sz w:val="20"/>
                <w:szCs w:val="20"/>
                <w:color w:val="auto"/>
              </w:rPr>
            </w:pPr>
            <w:r>
              <w:rPr>
                <w:rFonts w:ascii="Arial" w:cs="Arial" w:eastAsia="Arial" w:hAnsi="Arial"/>
                <w:sz w:val="16"/>
                <w:szCs w:val="16"/>
                <w:color w:val="auto"/>
                <w:w w:val="98"/>
              </w:rPr>
              <w:t>3.1</w:t>
            </w: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w w:val="97"/>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119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rPr>
              <w:t>(6.6)</w:t>
            </w:r>
          </w:p>
        </w:tc>
      </w:tr>
      <w:tr>
        <w:trPr>
          <w:trHeight w:val="215"/>
        </w:trPr>
        <w:tc>
          <w:tcPr>
            <w:tcW w:w="35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60" w:type="dxa"/>
            <w:vAlign w:val="bottom"/>
          </w:tcPr>
          <w:p>
            <w:pPr>
              <w:spacing w:after="0"/>
              <w:rPr>
                <w:sz w:val="18"/>
                <w:szCs w:val="18"/>
                <w:color w:val="auto"/>
              </w:rPr>
            </w:pPr>
          </w:p>
        </w:tc>
        <w:tc>
          <w:tcPr>
            <w:tcW w:w="1680" w:type="dxa"/>
            <w:vAlign w:val="bottom"/>
          </w:tcPr>
          <w:p>
            <w:pPr>
              <w:jc w:val="center"/>
              <w:ind w:left="1219"/>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ind w:left="1199"/>
              <w:spacing w:after="0"/>
              <w:rPr>
                <w:sz w:val="20"/>
                <w:szCs w:val="20"/>
                <w:color w:val="auto"/>
              </w:rPr>
            </w:pPr>
            <w:r>
              <w:rPr>
                <w:rFonts w:ascii="Arial" w:cs="Arial" w:eastAsia="Arial" w:hAnsi="Arial"/>
                <w:sz w:val="16"/>
                <w:szCs w:val="16"/>
                <w:color w:val="auto"/>
                <w:w w:val="98"/>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ind w:left="12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left="1219"/>
              <w:spacing w:after="0"/>
              <w:rPr>
                <w:sz w:val="20"/>
                <w:szCs w:val="20"/>
                <w:color w:val="auto"/>
              </w:rPr>
            </w:pPr>
            <w:r>
              <w:rPr>
                <w:rFonts w:ascii="Arial" w:cs="Arial" w:eastAsia="Arial" w:hAnsi="Arial"/>
                <w:sz w:val="16"/>
                <w:szCs w:val="16"/>
                <w:color w:val="auto"/>
                <w:w w:val="98"/>
              </w:rPr>
              <w:t>1.4</w:t>
            </w: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98"/>
              </w:rPr>
              <w:t>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left="1199"/>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w w:val="98"/>
              </w:rPr>
              <w:t>2.7</w:t>
            </w:r>
          </w:p>
        </w:tc>
      </w:tr>
      <w:tr>
        <w:trPr>
          <w:trHeight w:val="210"/>
        </w:trPr>
        <w:tc>
          <w:tcPr>
            <w:tcW w:w="356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w w:val="98"/>
              </w:rPr>
              <w:t>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w w:val="98"/>
              </w:rPr>
              <w:t>3.1</w:t>
            </w: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2022</w:t>
            </w: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2021</w:t>
            </w: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2022</w:t>
            </w:r>
          </w:p>
        </w:tc>
        <w:tc>
          <w:tcPr>
            <w:tcW w:w="200" w:type="dxa"/>
            <w:vAlign w:val="bottom"/>
          </w:tcPr>
          <w:p>
            <w:pPr>
              <w:spacing w:after="0"/>
              <w:rPr>
                <w:sz w:val="15"/>
                <w:szCs w:val="15"/>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28, 2021</w:t>
            </w:r>
          </w:p>
        </w:tc>
        <w:tc>
          <w:tcPr>
            <w:tcW w:w="0" w:type="dxa"/>
            <w:vAlign w:val="bottom"/>
          </w:tcPr>
          <w:p>
            <w:pPr>
              <w:spacing w:after="0"/>
              <w:rPr>
                <w:sz w:val="1"/>
                <w:szCs w:val="1"/>
                <w:color w:val="auto"/>
              </w:rPr>
            </w:pPr>
          </w:p>
        </w:tc>
      </w:tr>
      <w:tr>
        <w:trPr>
          <w:trHeight w:val="20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3880" w:type="dxa"/>
            <w:vAlign w:val="bottom"/>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c>
          <w:tcPr>
            <w:tcW w:w="3780" w:type="dxa"/>
            <w:vAlign w:val="bottom"/>
            <w:gridSpan w:val="3"/>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580" w:type="dxa"/>
            <w:vAlign w:val="bottom"/>
          </w:tcPr>
          <w:p>
            <w:pPr>
              <w:spacing w:after="0"/>
              <w:rPr>
                <w:sz w:val="18"/>
                <w:szCs w:val="18"/>
                <w:color w:val="auto"/>
              </w:rPr>
            </w:pPr>
          </w:p>
        </w:tc>
        <w:tc>
          <w:tcPr>
            <w:tcW w:w="194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February 28, 2022</w:t>
            </w: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2021</w:t>
            </w:r>
          </w:p>
        </w:tc>
        <w:tc>
          <w:tcPr>
            <w:tcW w:w="100" w:type="dxa"/>
            <w:vAlign w:val="bottom"/>
          </w:tcPr>
          <w:p>
            <w:pPr>
              <w:spacing w:after="0"/>
              <w:rPr>
                <w:sz w:val="18"/>
                <w:szCs w:val="18"/>
                <w:color w:val="auto"/>
              </w:rPr>
            </w:pPr>
          </w:p>
        </w:tc>
        <w:tc>
          <w:tcPr>
            <w:tcW w:w="194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February 28, 2022</w:t>
            </w: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2021</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1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Other comprehensive income (loss) items include foreign currency translation and pension adjustments.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8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5"/>
                <w:szCs w:val="15"/>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8"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2022</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2021</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4.8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840" w:type="dxa"/>
            <w:vAlign w:val="bottom"/>
          </w:tcPr>
          <w:p>
            <w:pPr>
              <w:jc w:val="center"/>
              <w:ind w:left="48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0.9</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6.4</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6.0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2022</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2021</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(7.1)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6"/>
                <w:szCs w:val="16"/>
                <w:color w:val="auto"/>
              </w:rPr>
            </w:pPr>
          </w:p>
        </w:tc>
        <w:tc>
          <w:tcPr>
            <w:tcW w:w="840" w:type="dxa"/>
            <w:vAlign w:val="bottom"/>
          </w:tcPr>
          <w:p>
            <w:pPr>
              <w:jc w:val="center"/>
              <w:ind w:left="488"/>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(3.9)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third quarter of fiscal 2021, we completed a realignment of our operations and structure to better support our business strategy. As a result, beginning in the third quarter of fiscal 2021, we now report our financial results of operations in two reportable segments, ABL and ISG, consistent with how our chief operating decision maker currently evaluates operating results, assesses performance, and allocates resources within the Company. We have recast historical information to conform to the current segment structure.</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Additionally, we do not allocate net interest expense, net miscellaneous expense, special charges, or assets to our segments. Accordingly, this information is not used by the chief operating decision maker to make operating decisions and assess performance and is therefore excluded from our disclosures.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3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6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February 28, 2022</w:t>
            </w: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863.1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ind w:left="102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909.1</w:t>
            </w: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w:t>
            </w:r>
          </w:p>
        </w:tc>
      </w:tr>
      <w:tr>
        <w:trPr>
          <w:trHeight w:val="216"/>
        </w:trPr>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February 28, 2021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776.6</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91.0</w:t>
            </w: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February 28, 2022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1,746.7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ind w:left="102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1,835.2</w:t>
            </w: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47.9</w:t>
            </w:r>
          </w:p>
        </w:tc>
      </w:tr>
      <w:tr>
        <w:trPr>
          <w:trHeight w:val="216"/>
        </w:trPr>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Six Months Ended February 28, 2021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1,568.6</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176.7</w:t>
            </w: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3"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8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2022</w:t>
            </w: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February 28, 2021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2022</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2021</w:t>
            </w: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w:t>
            </w: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Operating profit - ISG</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176.7</w:t>
            </w: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5"/>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(income) expense,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35"/>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0E101A"/>
        </w:rPr>
        <w:t xml:space="preserve">On </w:t>
      </w:r>
      <w:r>
        <w:rPr>
          <w:rFonts w:ascii="Arial" w:cs="Arial" w:eastAsia="Arial" w:hAnsi="Arial"/>
          <w:sz w:val="18"/>
          <w:szCs w:val="18"/>
          <w:color w:val="000000"/>
        </w:rPr>
        <w:t>March 31, 2022</w:t>
      </w:r>
      <w:r>
        <w:rPr>
          <w:rFonts w:ascii="Arial" w:cs="Arial" w:eastAsia="Arial" w:hAnsi="Arial"/>
          <w:sz w:val="18"/>
          <w:szCs w:val="18"/>
          <w:color w:val="0E101A"/>
        </w:rPr>
        <w:t xml:space="preserve">, the Board of Directors authorized the repurchase of additional shares of our common stock, bringing our total authorization to five million shares. Refer to </w:t>
      </w:r>
      <w:r>
        <w:rPr>
          <w:rFonts w:ascii="Arial" w:cs="Arial" w:eastAsia="Arial" w:hAnsi="Arial"/>
          <w:sz w:val="18"/>
          <w:szCs w:val="18"/>
          <w:i w:val="1"/>
          <w:iCs w:val="1"/>
          <w:color w:val="0E101A"/>
        </w:rPr>
        <w:t>Part II, Item 5. Other Information</w:t>
      </w:r>
      <w:r>
        <w:rPr>
          <w:rFonts w:ascii="Arial" w:cs="Arial" w:eastAsia="Arial" w:hAnsi="Arial"/>
          <w:sz w:val="18"/>
          <w:szCs w:val="18"/>
          <w:color w:val="0E101A"/>
        </w:rPr>
        <w:t xml:space="preserve"> for further details.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February 28, 2022 and for the three and six months ended February 28, 2022 and 2021.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Brands, Inc.'s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31, 2021, filed with the Securities and Exchange Commission (the “SEC”) on October 27, 2021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the world more brilliant, productive, and connected. We achieve growth through the development of innovative new products and services, including lighting, lighting controls, building management systems, and location-aware applications.</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achieve customer-focused efficiencies that allow us to increase market share and deliver superior returns. We look to aggressively deploy capital to grow the business and to enter attractive new verticals.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and six months ended February 28, 2022 are not necessarily indicative of the results to be expected for the full fiscal 2022 year due primarily to continued uncertainty of general economic conditions that may impact our key end markets for fiscal 2022, seasonality, and the impact of any acquisitions, among other reasons. We are uncertain of the future impact of the ongoing COVID-19 pandemic or recovery of prior deterioration in economic conditions to our sales channels, supply chain, manufacturing, and distribution as well as overall construction, renovation, and consumer spending. Additionally, 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 from operations or to access certain capital markets, including banks, is necessary to meet our capital allocation priorities, which are to reinvest in our organic growth, make strategic acquisitions and investments, pay dividends, and repurchase shares. Sufficient cash flow generation is also critical to fund our operations in the short and long-term and to maintain compliance with covenants contained in our financing agreements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long-term debt, payments for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within our Annual Report filed on Form 10-K. We believe that we will be able to meet our liquidity needs over the next 12 months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February 28, 2022 was $475.5 million, a decrease of $15.8 million from August 31, 2021. Cash generated from operating activities and cash on-hand were used during the current year to fund our capital allocation priorities as discussed below.</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$127.3 million of cash flows from operating activities during the six months ended February 28, 2022 compared with $212.6 million in the prior-year period, a decrease of $85.3 million. This decline was due primarily to increased operating working capital, as we managed our inventory levels to support growth and insulate production facilities from inconsistent supply availability.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our various financing arrangements, including the terms of our $400.0 million five-year unsecured revolving credit facility (“Revolving Credit Facility”) as well as the $500.0 million aggregate principal amount of 2.150% senior unsecured notes due December 15, 2030 (the “Unsecured Notes”). At February 28, 2022, our outstanding debt balance was $494.7 million compared to our cash position of $475.5 million. We were in compliance with all financial covenants under our financing arrangements as of February 28, 2022.</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February 28, 2022, we had additional borrowing capacity under the Revolving Credit Facility of $ 395.9 million under the most restrictive covenant in effect at the time, which represents the full amount of the Revolving Credit Facility less the outstanding letters of credit of $4.1 million issued under the facility. As of February 28, 2022, our cash on hand combined with the additional borrowing capacity under the Revolving Credit Facility totaled $871.4 million.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2022</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1,172.0</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213.4</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645.5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595.1</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Six Months Ended February</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99"/>
              <w:spacing w:after="0"/>
              <w:rPr>
                <w:sz w:val="20"/>
                <w:szCs w:val="20"/>
                <w:color w:val="auto"/>
              </w:rPr>
            </w:pPr>
            <w:r>
              <w:rPr>
                <w:rFonts w:ascii="Arial" w:cs="Arial" w:eastAsia="Arial" w:hAnsi="Arial"/>
                <w:sz w:val="16"/>
                <w:szCs w:val="16"/>
                <w:b w:val="1"/>
                <w:bCs w:val="1"/>
                <w:color w:val="auto"/>
              </w:rPr>
              <w:t>28, 2022</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1,552.8</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640.7</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business for growth, to invest in mergers and acquisitions, to maintain our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Investments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invested $24.1 million and $ 21.2 million during the six months ended February 28, 2022 and 2021, respectively, in property, plant, and equipment, primarily related to investments in new and enhanced information technology capabilities, tooling, equipment, and facility enhancements. We currently expect to invest approximately 1.5% of net sales on capital expenditures during fiscal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and Investments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There were no acquisitions during the first half of fiscal 2022. The $10.2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working capital settlements for fiscal 2021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$9.3 million ($0.26 per share) and $9.7 million ($ 0.26 per share) during the six months ended February 28, 2022 and 2021,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first half of fiscal 2022, we repurchased 0.6 million shares of our outstanding common stock for $109.1 million. Total cash outflows for share repurchases during the six months ended February 28, 2022 were $108.0 million. We expect to repurchase shares on an opportunistic basis subject to various factors including stock price, Company performance, market conditions, and other possible uses of cash. As of February 28, 2022, the maximum number of shares that may yet be repurchased under the share repurchase program authorized by the Board equaled 3.2 million shares. On March 31, 2022, the Board authorized the repurchase of additional shares of our common stock, bringing our total authorization to five million shares. Refer to </w:t>
      </w:r>
      <w:r>
        <w:rPr>
          <w:rFonts w:ascii="Arial" w:cs="Arial" w:eastAsia="Arial" w:hAnsi="Arial"/>
          <w:sz w:val="18"/>
          <w:szCs w:val="18"/>
          <w:i w:val="1"/>
          <w:iCs w:val="1"/>
          <w:color w:val="auto"/>
        </w:rPr>
        <w:t>Part II, Item 5. Other Information</w:t>
      </w:r>
      <w:r>
        <w:rPr>
          <w:rFonts w:ascii="Arial" w:cs="Arial" w:eastAsia="Arial" w:hAnsi="Arial"/>
          <w:sz w:val="18"/>
          <w:szCs w:val="18"/>
          <w:color w:val="auto"/>
        </w:rPr>
        <w:t xml:space="preserve"> for further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policies to screen associates, contractors, and vendors for COVID-19 symptoms upon entering our manufacturing, distribution, and open-office facilities in the United States, Mexico, and other locations as permitted by law. We have also implemented one-way traffic flows, additional cleaning requirements for common spaces, mandatory face coverings, hand sanitizer stations, socially-distanced workspaces, and self-serve pay stations within our cafeterias to mitigate the spread of the virus. Additionally, we have required certain employees whose job functions can be performed remotely to work primarily from home.</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operating results. Although our facilities are open, a resurgence in COVID-19 cases, including as a result of new variants,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were paid in December 2021, and the remaining deferrals are due in December 2022.</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 for further details regarding the potential impacts of COVID-19 to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2022 Compared with Second Quarter of Fiscal 2021</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2022 and 2021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080" w:type="dxa"/>
            <w:vAlign w:val="bottom"/>
          </w:tcPr>
          <w:p>
            <w:pPr>
              <w:spacing w:after="0"/>
              <w:rPr>
                <w:sz w:val="11"/>
                <w:szCs w:val="11"/>
                <w:color w:val="auto"/>
              </w:rPr>
            </w:pPr>
          </w:p>
        </w:tc>
        <w:tc>
          <w:tcPr>
            <w:tcW w:w="13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February 28, 2022</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2021</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0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909.1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529.8</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20.4 %</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379.3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189"/>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43.4 %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(170) bps</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277.0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102.3</w:t>
            </w: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89"/>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11.3 %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11.7 %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(40) bps</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(income) expense, net</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0" w:type="dxa"/>
            <w:vAlign w:val="bottom"/>
          </w:tcPr>
          <w:p>
            <w:pPr>
              <w:spacing w:after="0"/>
              <w:rPr>
                <w:sz w:val="1"/>
                <w:szCs w:val="1"/>
                <w:color w:val="auto"/>
              </w:rPr>
            </w:pPr>
          </w:p>
        </w:tc>
      </w:tr>
      <w:tr>
        <w:trPr>
          <w:trHeight w:val="189"/>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10.8 %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10.6 %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183"/>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23.3 %</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23.5 %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75.3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February 28, 2022 increased $132.5 million, or 17.1%, to $909.1 million compared with $776.6 million in the prior-year period. Both our ABL and ISG segments benefited from recent price increases as well as higher volumes. Revenues from acquired companies contributed an almost 4% increase in sales compared to the prior year. Changes in foreign currency rates did not have a meaningful impact on net sales for the second quarter of fiscal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second quarter of fiscal 2022 increased $42.6 million, or 12.7%, to $379.3 million compared with $336.7 million in the prior-year period, while gross profit margin decreased 170 basis points to 41.7% from 43.4%. Throughout the current quarter, material and conversion costs as well as freight costs continued to escalate, which we were able to offset through price increases and product and productivity improvements. Gross profit margin was also unfavorably impacted by the near-term dilutive effects of recent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distribution, and administrative expenses ("SD&amp;A") expenses for the three months ended February 28, 2022 were $277.0 million compared with $245.4 million in the prior-year period, an increase of $31.6 million, or 12.9%. The increase in SD&amp;A expense was due primarily to higher outbound freight and commissions costs associated with higher sales as well as increased employee-related costs due in part to recent acquisitions. SD&amp;A expenses for the second quarter of fiscal 2022 were 30.5% of net sales compared with 31.6% for the prior-year period due primarily to improved leveraging of our operating costs.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profit for the second quarter of fiscal 2022 was $102.3 million (11.3% of net sales) compared with $91.0 million (11.7% of net sales) for the prior-year period, an increase of $11.3 million, or 12.4%. The increase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was due primarily to higher gross profit associated with the increase in sales, partially offset by higher SD&amp;A expenses. The operating profit margin decrease of 40 bps year over year was due primarily to our decline in gross profit margin as well as the unfavorable impact of acquisitions on our operating expenses. These declines were partially offset by improved leveraging of operating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expense consists of net interest expense and net miscellaneous (income) expense, which includes non-service related components of net periodic pension cost, gains and losses associated with foreign currency-related transactions, and non-operating gains and losses.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$6.0 million and $6.6 million for the three months ended February 28, 2022 and 2021, respectively.</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income of $1.9 million for the three months ended February 28, 2022 and net miscellaneous expense of $2.2 million for the three months ended February 28, 2021. The year-over-year change in net miscellaneous (income) expense was largely due to gains and losses on foreign currency-related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effective income tax rate was 23.3% and 23.5% for the three months ended February 28, 2022 and 2021, respectively. We currently estimate that our blended consolidated effective income tax rate, before any discrete items, will be approximately 23% for fiscal 2022, assuming the rates in our taxing jurisdictions remain generally consistent throughout the year.</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three months ended February 28, 2022 increased $12.4 million, or 19.7%, to $75.3 million from $62.9 million reported for the prior-year period. The increase in net income resulted primarily from an increased operating profit compared to the prior-year period. Diluted earnings per share for the three months ended February 28, 2022 increased $0.39, or 22.4%, to $2.13 compared with diluted earnings per share of $1.74 for the prior-year period. This increase reflects higher net income as well as lower outstanding diluted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 February 28, 2022 and 2021 (in millions). We have recast historical information to conform to the current segment structure.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February 28, 2022</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February 28, 2021</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863.1</w:t>
            </w:r>
          </w:p>
        </w:tc>
        <w:tc>
          <w:tcPr>
            <w:tcW w:w="10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736.8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17.1 %</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ABL net sales for the three months ended February 28, 2022 increased $126.3 million, or 17.1%, to $863.1 million compared with $736.8 million in the prior-year period. Sales within the independent and direct network channels increased due primarily to benefits from recent price increases as well as higher volumes. Additionally, sales within the corporate accounts channel increased year over year as some large accounts began previously deferred maintenance and renovations. Acquisitions contributed an almost 4% increase in sales compared to the prior year and are reflected within the other sales channel in ABL's disaggregated revenue. Operating profit for ABL was $116.5 million (13.5% of ABL net sales) for the three months ended February 28, 2022 compared to $102.0 million (13.8% of ABL net sales) in the prior-year period, an increase of $14.5 million. The increase in operating profit was due primarily to contributions from higher sales partially offset by increased materials and freight costs as well as higher operating costs to support the increase in sales.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ISG net sales for the three months ended February 28, 2022 increased $6.7 million, or 15.5%, to $50.0 million compared with $ 43.3 million in the prior-year period driven primarily by strong demand for building and heating, ventilation, and air-conditioning controls as well as price increases. ISG operating profit was $1.2 million for the three months ended February 28, 2022 compared to $0.8 million in the prior-year period, an increase of $0.4 million. This increase was due primarily to contributions from higher sales, partially offset by increased employee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2022 Compared with First Six Months of Fiscal 2021</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2022 and 2021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2022</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2021</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1,835.2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1,568.6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1,070.1</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899.5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19.0 %</w:t>
            </w: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765.1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89"/>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42.7 %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(100) bps</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547.7</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2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217.4</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176.7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r>
        <w:trPr>
          <w:trHeight w:val="189"/>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11.8 %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Miscellaneous (income) expense, net</w:t>
            </w:r>
          </w:p>
        </w:tc>
        <w:tc>
          <w:tcPr>
            <w:tcW w:w="4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207.1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89"/>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11.3 %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10.3 %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183"/>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21.3 %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24.1 %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162.9</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33.0 %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39.4 %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NM - not meaningful</w:t>
            </w: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six months ended February 28, 2022 increased $266.6 million, or 17.0%, to $1.84 billion compared with $1.57 billion in the prior-year period. Both our ABL and ISG segments benefited from recent price increases as well as higher volumes. Revenues from acquired companies contributed an almost 4% increase in sales compared to the prior year. Changes in foreign currency rates did not have a meaningful impact on net sales for the first six months of fiscal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six months ended February 28, 2022 increased $96.0 million, or 14.3%, to $765.1 million compared with $ 669.1 million in the prior-year period. Gross profit margin decreased 100 basis points to 41.7% for the six months ended February 28, 2022 compared with 42.7% in the prior-year period. Throughout the first six months of fiscal 2022, material and conversion costs as well as freight costs continued to escalate, which we were able to offset through price increases and product and productivity improvements. Gross profit margin was also unfavorably impacted by the near-term dilutive effects of recent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SD&amp;A expenses for the six months ended February 28, 2022 were $ 547.7 million compared with $491.4 million in the prior-year period, an increase of $56.3 million, or 11.5%. The increase in SD&amp;A expense was due primarily to higher outbound freight and commissions costs associated with higher sales as well as increased employee-related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costs due in part to recent acquisitions. SD&amp;A expenses for the first six months of fiscal 2022 were 29.8% of net sales compared with 31.3% for the prior-year period due primarily to improved leveraging of our operating costs.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the first six months of fiscal 2022 was $217.4 million (11.8% of net sales) compared with $176.7 million (11.3% of net sales) for the prior-year period, an increase of $40.7 million, or 23.0%. The increase in operating profit was due primarily to higher gross profit associated with the increase in sales, partially offset by higher SD&amp;A expenses. The operating profit margin increase of 50 bps year over year was the result of improved leveraging of operating costs, partially offset by lower gross profit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expense consists of net interest expense and net miscellaneous (income) expense, which includes non-service related components of net periodic pension cost, gains and losses associated with foreign currency-related transactions, and non-operating gains and losses.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$11.9 million and $11.5 million for the six months ended February 28, 2022 and 2021, respectively.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reported net miscellaneous income of $1.6 million for the six months ended February 28, 2022 and net miscellaneous expense of $3.8 million for the six months ended February 28, 2021. During the first six months of fiscal 2021, we recorded an impairment charge of $4.0 million for an unconsolidated equity investment. Further details regarding the impairment charge are included in the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 Excluding the impairment, the year-over-year change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miscellaneous (income) expense was largely due to gains and losses on foreign currency-related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income tax rate was 21.3% and 24.1% for the six months ended February 28, 2022 and 2021, respectively. The decrease in the effective income tax rate was primarily due to favorable discrete items recognized in the first quarter of fiscal 2022 related to excess tax benefits on share-based payments. We currently estimate that our blended consolidated effective income tax rate, before any discrete items, will be approximately 23% for fiscal 2022, assuming the rates in our taxing jurisdictions remain generally consistent throughout the year.</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first six months of fiscal 2022 increased $40.4 million, or 33.0%, to $162.9 million from $122.5 million reported for the prior-year period. The increase in net income was due primarily to an increased operating profit. Diluted earnings per share for the six months ended February 28, 2022 increased $ 1.30 to $4.60 compared with diluted earnings per share of $3.30 for the prior-year period. This increase reflects higher net income as well as lower outstanding diluted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six months ended February 28, 2022 and 2021 (in millions). We have recast historical information to conform to the current segment structure.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Increase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2022</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2021</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1,746.7</w:t>
            </w:r>
          </w:p>
        </w:tc>
        <w:tc>
          <w:tcPr>
            <w:tcW w:w="8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1,490.4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256.3</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17.2 %</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244.6</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14.0 %</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357.1 %</w:t>
            </w: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ABL net sales for the six months ended February 28, 2022 increased 17.2% compared with the prior-year period. Sales within the independent and direct network channels increased due primarily to benefits from recent price increases as well as higher volumes. Additionally, sales within the corporate accounts channel increased year over year as some large accounts began previously deferred maintenance and renovations. Acquisitions contributed an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almost 4% increase in sales compared to the prior year and are reflected within the other sales channel in ABL's disaggregated revenue. These increases were partially offset by declines in the retail sales channel. Operating profit for ABL was $244.6 million (14.0% of ABL net sales) for the six months ended February 28, 2022 compared to $200.4 million (13.4% of ABL net sales) in the prior-year period, an increase of $ 44.2 million. The increase in operating profit was due primarily to contributions from higher sales partially offset by increased materials and freight costs as well as higher operating costs to support the increase in sales.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six months ended February 28, 2022 increased 14.6% compared with the prior-year period primarily driven by strong demand for building and heating, ventilation, and air-conditioning controls as well as price increases. ISG operating profit was $ 3.2 million for the six months ended February 28, 2022 compared with $0.7 million in the prior-year period, an increase of $2.5 million. This increase was due primarily to contributions from higher sales, partially offset by increased employee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including our expected margins and ability to leverage operating costs, liquidity, capital structure, capital expenditures, investments, share repurchases, and dividends; (b) expectations about the impact of any changes in demand, including improvements in our end markets, as well as volatility, challenges, and uncertainty in general economic conditions; (c) expectations about volatility in raw material, purchased finished goods, and transportation costs as well as component and labor availability; (d) our ability to execute and realize benefits from initiatives related to streamlining our operations and integrating recent acquisitions, realize synergies from acquisitions, capitalize on growth opportunities, introduce innovative products and services, and realize benefits from sustainability initiatives; (e) our estimate of our fiscal 2022 effective income tax rate, results of operations, and cash flows; (f) our estimate of future amortization expense; (g) our ability to achieve our long-term financial goals and measures; (h) our expectations about the resolution of securities class action and other legal matters; (i) our expectations about our ability to enter into a new credit agreement prior to the expiration of the current agreement as well as any impacts of the phase out of the London Inter-Bank Offered Rate (“LIBOR”); and (j) our expectations of the impact of the ongoing COVID-19 pandemic and the conflict between Russia and Ukraine.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28, 2022.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February 28, 2022.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half of fiscal 2021, we acquired Rockpile Ventures and ams OSRAM's North American Digital Systems business (“OSRAM DS”), collectively the (“2021 Acquisitions”).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the 2021 Acquisitions' internal control over financial reporting as of February 28, 2022. We began integrating the 2021 Acquisitions into our existing control procedures from their respective dates of acquisition. We do not anticipate the integration of the acquired companies to result in changes that would materially affect our internal control over financial reporting. As of and for the three and six months ended February 28, 2022, the 2021 Acquisitions constituted less than 4% of each of the Company’s consolidated assets, stockholders' equity, net sales, and pre-tax income.</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six months ended February 28, 2022,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23, 2020, the Board of Directors (the “Board”) authorized the repurchase of up to six million shares of our common stock. As of February 28, 2022, the maximum number of shares that may yet be repurchased under the share repurchase program authorized by the Board equaled 3.2 million shares. The following table reflects activity related to equity securities we repurchased during the quarter ended February 28,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39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Purchases of Equity Securities</w:t>
            </w:r>
          </w:p>
        </w:tc>
        <w:tc>
          <w:tcPr>
            <w:tcW w:w="2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40" w:type="dxa"/>
            <w:vAlign w:val="bottom"/>
            <w:vMerge w:val="continue"/>
          </w:tcPr>
          <w:p>
            <w:pPr>
              <w:spacing w:after="0"/>
              <w:rPr>
                <w:sz w:val="13"/>
                <w:szCs w:val="13"/>
                <w:color w:val="auto"/>
              </w:rPr>
            </w:pP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12/1/2021 through 12/31/2021</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3,537,798</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1/1/2022 through 1/31/2022</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168,299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194.81</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168,299</w:t>
            </w:r>
          </w:p>
        </w:tc>
        <w:tc>
          <w:tcPr>
            <w:tcW w:w="1940" w:type="dxa"/>
            <w:vAlign w:val="bottom"/>
          </w:tcPr>
          <w:p>
            <w:pPr>
              <w:jc w:val="right"/>
              <w:spacing w:after="0"/>
              <w:rPr>
                <w:sz w:val="20"/>
                <w:szCs w:val="20"/>
                <w:color w:val="auto"/>
              </w:rPr>
            </w:pPr>
            <w:r>
              <w:rPr>
                <w:rFonts w:ascii="Arial" w:cs="Arial" w:eastAsia="Arial" w:hAnsi="Arial"/>
                <w:sz w:val="16"/>
                <w:szCs w:val="16"/>
                <w:color w:val="auto"/>
              </w:rPr>
              <w:t>3,369,499</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2/1/2022 through 2/28/2022</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130,100</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180.71</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130,100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3,239,399</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298,399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188.66</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298,399</w:t>
            </w:r>
          </w:p>
        </w:tc>
        <w:tc>
          <w:tcPr>
            <w:tcW w:w="1940" w:type="dxa"/>
            <w:vAlign w:val="bottom"/>
          </w:tcPr>
          <w:p>
            <w:pPr>
              <w:jc w:val="right"/>
              <w:spacing w:after="0"/>
              <w:rPr>
                <w:sz w:val="20"/>
                <w:szCs w:val="20"/>
                <w:color w:val="auto"/>
              </w:rPr>
            </w:pPr>
            <w:r>
              <w:rPr>
                <w:rFonts w:ascii="Arial" w:cs="Arial" w:eastAsia="Arial" w:hAnsi="Arial"/>
                <w:sz w:val="16"/>
                <w:szCs w:val="16"/>
                <w:color w:val="auto"/>
              </w:rPr>
              <w:t>3,239,399</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March 31, 2022, the Board of Directors (the “Board”) declared a quarterly dividend of $0.13 per share. The dividend is payable on May 2, 2022 to stockholders of record on April 18,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28, 2022, the maximum number of shares that may yet be repurchased under the share repurchase program authorized by the Board equaled 3.2 million shares. W</w:t>
      </w:r>
      <w:r>
        <w:rPr>
          <w:rFonts w:ascii="Arial" w:cs="Arial" w:eastAsia="Arial" w:hAnsi="Arial"/>
          <w:sz w:val="18"/>
          <w:szCs w:val="18"/>
          <w:color w:val="0E101A"/>
        </w:rPr>
        <w:t>e repurchased an additional 0.2 million shares of our common stock from March 1, 2022 through</w:t>
      </w:r>
      <w:r>
        <w:rPr>
          <w:rFonts w:ascii="Arial" w:cs="Arial" w:eastAsia="Arial" w:hAnsi="Arial"/>
          <w:sz w:val="18"/>
          <w:szCs w:val="18"/>
          <w:color w:val="auto"/>
        </w:rPr>
        <w:t xml:space="preserve"> </w:t>
      </w:r>
      <w:r>
        <w:rPr>
          <w:rFonts w:ascii="Arial" w:cs="Arial" w:eastAsia="Arial" w:hAnsi="Arial"/>
          <w:sz w:val="18"/>
          <w:szCs w:val="18"/>
          <w:color w:val="0E101A"/>
        </w:rPr>
        <w:t xml:space="preserve">March 30, 2022, leaving 3.0 million shares available for repurchase under the October 2020 authorization. On </w:t>
      </w:r>
      <w:r>
        <w:rPr>
          <w:rFonts w:ascii="Arial" w:cs="Arial" w:eastAsia="Arial" w:hAnsi="Arial"/>
          <w:sz w:val="18"/>
          <w:szCs w:val="18"/>
          <w:color w:val="000000"/>
        </w:rPr>
        <w:t>March 31, 2022</w:t>
      </w:r>
      <w:r>
        <w:rPr>
          <w:rFonts w:ascii="Arial" w:cs="Arial" w:eastAsia="Arial" w:hAnsi="Arial"/>
          <w:sz w:val="18"/>
          <w:szCs w:val="18"/>
          <w:color w:val="0E101A"/>
        </w:rPr>
        <w:t xml:space="preserve">, the Board authorized the repurchase of an additional two million shares of our common stock, bringing our total authorization to five million shares. </w:t>
      </w:r>
      <w:r>
        <w:rPr>
          <w:rFonts w:ascii="Arial" w:cs="Arial" w:eastAsia="Arial" w:hAnsi="Arial"/>
          <w:sz w:val="18"/>
          <w:szCs w:val="18"/>
          <w:color w:val="000000"/>
        </w:rPr>
        <w:t>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0">
        <w:r>
          <w:rPr>
            <w:rFonts w:ascii="Arial" w:cs="Arial" w:eastAsia="Arial" w:hAnsi="Arial"/>
            <w:sz w:val="18"/>
            <w:szCs w:val="18"/>
            <w:u w:val="single" w:color="auto"/>
            <w:color w:val="0000FF"/>
          </w:rPr>
          <w:t>Index to Exhibits</w:t>
        </w:r>
      </w:hyperlink>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14"/>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399"/>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r:id="rId61">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Incorporation of Acuity Brands, Inc. (formerly Acuity</w:t>
              </w:r>
            </w:hyperlink>
          </w:p>
        </w:tc>
        <w:tc>
          <w:tcPr>
            <w:tcW w:w="560" w:type="dxa"/>
            <w:vAlign w:val="bottom"/>
            <w:gridSpan w:val="10"/>
          </w:tcPr>
          <w:p>
            <w:pPr>
              <w:jc w:val="right"/>
              <w:ind w:right="80"/>
              <w:spacing w:after="0" w:line="142" w:lineRule="exact"/>
              <w:rPr>
                <w:rFonts w:ascii="Arial" w:cs="Arial" w:eastAsia="Arial" w:hAnsi="Arial"/>
                <w:sz w:val="16"/>
                <w:szCs w:val="16"/>
                <w:color w:val="0000FF"/>
                <w:w w:val="90"/>
              </w:rPr>
            </w:pPr>
            <w:hyperlink r:id="rId61">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8"/>
          </w:tcPr>
          <w:p>
            <w:pPr>
              <w:spacing w:after="0"/>
              <w:rPr>
                <w:rFonts w:ascii="Arial" w:cs="Arial" w:eastAsia="Arial" w:hAnsi="Arial"/>
                <w:sz w:val="16"/>
                <w:szCs w:val="16"/>
                <w:color w:val="0000FF"/>
              </w:rPr>
            </w:pPr>
            <w:hyperlink r:id="rId62">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8"/>
              </w:rPr>
            </w:pPr>
            <w:hyperlink r:id="rId62">
              <w:r>
                <w:rPr>
                  <w:rFonts w:ascii="Arial" w:cs="Arial" w:eastAsia="Arial" w:hAnsi="Arial"/>
                  <w:sz w:val="16"/>
                  <w:szCs w:val="16"/>
                  <w:color w:val="0000FF"/>
                  <w:w w:val="98"/>
                </w:rPr>
                <w:t>Incorporation of Acuity Brands, Inc., dated as of January</w:t>
              </w:r>
            </w:hyperlink>
          </w:p>
        </w:tc>
        <w:tc>
          <w:tcPr>
            <w:tcW w:w="28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6,</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62">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18"/>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9"/>
          </w:tcPr>
          <w:p>
            <w:pPr>
              <w:spacing w:after="0" w:line="142" w:lineRule="exact"/>
              <w:rPr>
                <w:rFonts w:ascii="Arial" w:cs="Arial" w:eastAsia="Arial" w:hAnsi="Arial"/>
                <w:sz w:val="16"/>
                <w:szCs w:val="16"/>
                <w:color w:val="0000FF"/>
                <w:w w:val="98"/>
              </w:rPr>
            </w:pPr>
            <w:hyperlink r:id="rId63">
              <w:r>
                <w:rPr>
                  <w:rFonts w:ascii="Arial" w:cs="Arial" w:eastAsia="Arial" w:hAnsi="Arial"/>
                  <w:sz w:val="16"/>
                  <w:szCs w:val="16"/>
                  <w:color w:val="0000FF"/>
                  <w:w w:val="98"/>
                </w:rPr>
                <w:t>Incorporation of Acuity Brands, Inc., dated as of January</w:t>
              </w:r>
            </w:hyperlink>
          </w:p>
        </w:tc>
        <w:tc>
          <w:tcPr>
            <w:tcW w:w="340" w:type="dxa"/>
            <w:vAlign w:val="bottom"/>
            <w:gridSpan w:val="7"/>
          </w:tcPr>
          <w:p>
            <w:pPr>
              <w:jc w:val="right"/>
              <w:ind w:right="60"/>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3">
              <w:r>
                <w:rPr>
                  <w:rFonts w:ascii="Arial" w:cs="Arial" w:eastAsia="Arial" w:hAnsi="Arial"/>
                  <w:sz w:val="16"/>
                  <w:szCs w:val="16"/>
                  <w:color w:val="0000FF"/>
                  <w:w w:val="99"/>
                </w:rPr>
                <w:t>2021.</w:t>
              </w:r>
            </w:hyperlink>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18"/>
          </w:tcPr>
          <w:p>
            <w:pPr>
              <w:spacing w:after="0"/>
              <w:rPr>
                <w:rFonts w:ascii="Arial" w:cs="Arial" w:eastAsia="Arial" w:hAnsi="Arial"/>
                <w:sz w:val="16"/>
                <w:szCs w:val="16"/>
                <w:color w:val="0000FF"/>
              </w:rPr>
            </w:pPr>
            <w:hyperlink r:id="rId64">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as of January 7, 2021.</w:t>
              </w:r>
            </w:hyperlink>
          </w:p>
        </w:tc>
        <w:tc>
          <w:tcPr>
            <w:tcW w:w="2720" w:type="dxa"/>
            <w:vAlign w:val="bottom"/>
            <w:gridSpan w:val="14"/>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24"/>
                <w:szCs w:val="24"/>
                <w:color w:val="auto"/>
              </w:rPr>
            </w:pPr>
          </w:p>
        </w:tc>
        <w:tc>
          <w:tcPr>
            <w:tcW w:w="4340" w:type="dxa"/>
            <w:vAlign w:val="bottom"/>
            <w:gridSpan w:val="18"/>
          </w:tcPr>
          <w:p>
            <w:pPr>
              <w:spacing w:after="0"/>
              <w:rPr>
                <w:rFonts w:ascii="Arial" w:cs="Arial" w:eastAsia="Arial" w:hAnsi="Arial"/>
                <w:sz w:val="16"/>
                <w:szCs w:val="16"/>
                <w:color w:val="0000FF"/>
              </w:rPr>
            </w:pPr>
            <w:hyperlink r:id="rId65">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8"/>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Certification of the Chief Executive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8"/>
              </w:rPr>
            </w:pPr>
            <w:hyperlink w:anchor="page33">
              <w:r>
                <w:rPr>
                  <w:rFonts w:ascii="Arial" w:cs="Arial" w:eastAsia="Arial" w:hAnsi="Arial"/>
                  <w:sz w:val="16"/>
                  <w:szCs w:val="16"/>
                  <w:color w:val="0000FF"/>
                  <w:w w:val="98"/>
                </w:rPr>
                <w:t>pursuant to Section 302 of the Sarbanes-Oxley Act of 2002.</w:t>
              </w:r>
            </w:hyperlink>
          </w:p>
        </w:tc>
        <w:tc>
          <w:tcPr>
            <w:tcW w:w="8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1"/>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of the Chief Financial Officer of the Company</w:t>
              </w:r>
            </w:hyperlink>
          </w:p>
        </w:tc>
        <w:tc>
          <w:tcPr>
            <w:tcW w:w="200" w:type="dxa"/>
            <w:vAlign w:val="bottom"/>
            <w:gridSpan w:val="7"/>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8"/>
          </w:tcPr>
          <w:p>
            <w:pPr>
              <w:spacing w:after="0" w:line="142" w:lineRule="exact"/>
              <w:rPr>
                <w:rFonts w:ascii="Arial" w:cs="Arial" w:eastAsia="Arial" w:hAnsi="Arial"/>
                <w:sz w:val="16"/>
                <w:szCs w:val="16"/>
                <w:color w:val="0000FF"/>
              </w:rPr>
            </w:pPr>
            <w:hyperlink w:anchor="page34">
              <w:r>
                <w:rPr>
                  <w:rFonts w:ascii="Arial" w:cs="Arial" w:eastAsia="Arial" w:hAnsi="Arial"/>
                  <w:sz w:val="16"/>
                  <w:szCs w:val="16"/>
                  <w:color w:val="0000FF"/>
                </w:rPr>
                <w:t>pursuant to Section 302 of the Sarbanes-Oxley Act of 2002.</w:t>
              </w:r>
            </w:hyperlink>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6"/>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of the Chief Executive Officer of the Company</w:t>
              </w:r>
            </w:hyperlink>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35">
              <w:r>
                <w:rPr>
                  <w:rFonts w:ascii="Arial" w:cs="Arial" w:eastAsia="Arial" w:hAnsi="Arial"/>
                  <w:sz w:val="16"/>
                  <w:szCs w:val="16"/>
                  <w:color w:val="0000FF"/>
                </w:rPr>
                <w:t>pursuant to 18 U.S.C. Section 1350, as adopted pursuant</w:t>
              </w:r>
            </w:hyperlink>
          </w:p>
        </w:tc>
        <w:tc>
          <w:tcPr>
            <w:tcW w:w="140" w:type="dxa"/>
            <w:vAlign w:val="bottom"/>
            <w:gridSpan w:val="5"/>
          </w:tcPr>
          <w:p>
            <w:pPr>
              <w:jc w:val="right"/>
              <w:ind w:right="40"/>
              <w:spacing w:after="0" w:line="142" w:lineRule="exact"/>
              <w:rPr>
                <w:rFonts w:ascii="Arial" w:cs="Arial" w:eastAsia="Arial" w:hAnsi="Arial"/>
                <w:sz w:val="13"/>
                <w:szCs w:val="13"/>
                <w:color w:val="0000FF"/>
                <w:w w:val="73"/>
              </w:rPr>
            </w:pPr>
            <w:hyperlink w:anchor="page35">
              <w:r>
                <w:rPr>
                  <w:rFonts w:ascii="Arial" w:cs="Arial" w:eastAsia="Arial" w:hAnsi="Arial"/>
                  <w:sz w:val="13"/>
                  <w:szCs w:val="13"/>
                  <w:color w:val="0000FF"/>
                  <w:w w:val="73"/>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35">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of the Chief Financial Officer of the Company</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pursuant to 18 U.S.C. Section 1350, as adopted pursuant</w:t>
              </w:r>
            </w:hyperlink>
          </w:p>
        </w:tc>
        <w:tc>
          <w:tcPr>
            <w:tcW w:w="200" w:type="dxa"/>
            <w:vAlign w:val="bottom"/>
            <w:gridSpan w:val="7"/>
          </w:tcPr>
          <w:p>
            <w:pPr>
              <w:jc w:val="right"/>
              <w:ind w:right="40"/>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to</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r>
      <w:tr>
        <w:trPr>
          <w:trHeight w:val="234"/>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8"/>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8"/>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2020, which is incorporated herein by reference.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2020, which is incorporated herein by reference.</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27, 2021,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April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April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242" w:right="4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540" w:hanging="644"/>
        <w:spacing w:after="0" w:line="268" w:lineRule="auto"/>
        <w:tabs>
          <w:tab w:leader="none" w:pos="129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540" w:hanging="644"/>
        <w:spacing w:after="0" w:line="268"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2022, as filed with the Securities and Exchange Commission on the date hereof (the “Report”), the undersigned, the Chairman, President and Chief Executive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5, 2022</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2022, as filed with the Securities and Exchange Commission on the date hereof (the “Report”), the undersigned, the Senior Vice President and Chief Financial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5, 2022</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60" Type="http://schemas.openxmlformats.org/officeDocument/2006/relationships/hyperlink" Target="http://www.sec.gov/Archives/edgar/data/1144215/000119312507208062/dex31.htm" TargetMode="External"/><Relationship Id="rId61" Type="http://schemas.openxmlformats.org/officeDocument/2006/relationships/hyperlink" Target="http://www.sec.gov/Archives/edgar/data/1144215/000119312507208062/dex32.htm" TargetMode="External"/><Relationship Id="rId62" Type="http://schemas.openxmlformats.org/officeDocument/2006/relationships/hyperlink" Target="http://www.sec.gov/Archives/edgar/data/1144215/000114421517000005/ex3ccertificateofamendment.htm" TargetMode="External"/><Relationship Id="rId63" Type="http://schemas.openxmlformats.org/officeDocument/2006/relationships/hyperlink" Target="http://www.sec.gov/Archives/edgar/data/1144215/000114421521000008/ayi-20201130xex3d.htm" TargetMode="External"/><Relationship Id="rId64" Type="http://schemas.openxmlformats.org/officeDocument/2006/relationships/hyperlink" Target="http://www.sec.gov/Archives/edgar/data/1144215/000114421521000008/ayi-20201130xex3e.htm" TargetMode="External"/><Relationship Id="rId65" Type="http://schemas.openxmlformats.org/officeDocument/2006/relationships/hyperlink" Target="http://www.sec.gov/Archives/edgar/data/1144215/000114421520000125/ayi-2020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2022-04-05T06:53:13Z</dcterms:created>
  <dcterms:modified xsi:type="dcterms:W3CDTF">2022-04-05T06:53:13Z</dcterms:modified>
</cp:coreProperties>
</file>