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30"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59"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25, 2026</w:t>
      </w:r>
    </w:p>
    <w:p>
      <w:pPr>
        <w:spacing w:after="0" w:line="33"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ACUITY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90"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45" w:lineRule="exact"/>
        <w:rPr>
          <w:sz w:val="24"/>
          <w:szCs w:val="24"/>
          <w:color w:val="auto"/>
        </w:rPr>
      </w:pPr>
    </w:p>
    <w:tbl>
      <w:tblPr>
        <w:tblLayout w:type="fixed"/>
        <w:tblInd w:w="1340" w:type="dxa"/>
        <w:tblCellMar>
          <w:top w:w="0" w:type="dxa"/>
          <w:left w:w="0" w:type="dxa"/>
          <w:bottom w:w="0" w:type="dxa"/>
          <w:right w:w="0" w:type="dxa"/>
        </w:tblCellMar>
      </w:tblPr>
      <w:tr>
        <w:trPr>
          <w:trHeight w:val="223"/>
        </w:trPr>
        <w:tc>
          <w:tcPr>
            <w:tcW w:w="2600" w:type="dxa"/>
            <w:vAlign w:val="bottom"/>
          </w:tcPr>
          <w:p>
            <w:pPr>
              <w:jc w:val="center"/>
              <w:ind w:right="725"/>
              <w:spacing w:after="0"/>
              <w:rPr>
                <w:sz w:val="20"/>
                <w:szCs w:val="20"/>
                <w:color w:val="auto"/>
              </w:rPr>
            </w:pPr>
            <w:r>
              <w:rPr>
                <w:rFonts w:ascii="Arial" w:cs="Arial" w:eastAsia="Arial" w:hAnsi="Arial"/>
                <w:sz w:val="16"/>
                <w:szCs w:val="16"/>
                <w:b w:val="1"/>
                <w:bCs w:val="1"/>
                <w:color w:val="auto"/>
              </w:rPr>
              <w:t>Delaware</w:t>
            </w:r>
          </w:p>
        </w:tc>
        <w:tc>
          <w:tcPr>
            <w:tcW w:w="3520" w:type="dxa"/>
            <w:vAlign w:val="bottom"/>
          </w:tcPr>
          <w:p>
            <w:pPr>
              <w:jc w:val="right"/>
              <w:ind w:right="1384"/>
              <w:spacing w:after="0"/>
              <w:rPr>
                <w:sz w:val="20"/>
                <w:szCs w:val="20"/>
                <w:color w:val="auto"/>
              </w:rPr>
            </w:pPr>
            <w:r>
              <w:rPr>
                <w:rFonts w:ascii="Arial" w:cs="Arial" w:eastAsia="Arial" w:hAnsi="Arial"/>
                <w:sz w:val="16"/>
                <w:szCs w:val="16"/>
                <w:b w:val="1"/>
                <w:bCs w:val="1"/>
                <w:color w:val="auto"/>
              </w:rPr>
              <w:t>001-16583</w:t>
            </w:r>
          </w:p>
        </w:tc>
        <w:tc>
          <w:tcPr>
            <w:tcW w:w="2100" w:type="dxa"/>
            <w:vAlign w:val="bottom"/>
          </w:tcPr>
          <w:p>
            <w:pPr>
              <w:jc w:val="center"/>
              <w:ind w:left="905"/>
              <w:spacing w:after="0"/>
              <w:rPr>
                <w:sz w:val="20"/>
                <w:szCs w:val="20"/>
                <w:color w:val="auto"/>
              </w:rPr>
            </w:pPr>
            <w:r>
              <w:rPr>
                <w:rFonts w:ascii="Arial" w:cs="Arial" w:eastAsia="Arial" w:hAnsi="Arial"/>
                <w:sz w:val="16"/>
                <w:szCs w:val="16"/>
                <w:b w:val="1"/>
                <w:bCs w:val="1"/>
                <w:color w:val="auto"/>
              </w:rPr>
              <w:t>58-2632672</w:t>
            </w:r>
          </w:p>
        </w:tc>
      </w:tr>
      <w:tr>
        <w:trPr>
          <w:trHeight w:val="143"/>
        </w:trPr>
        <w:tc>
          <w:tcPr>
            <w:tcW w:w="2600" w:type="dxa"/>
            <w:vAlign w:val="bottom"/>
          </w:tcPr>
          <w:p>
            <w:pPr>
              <w:jc w:val="center"/>
              <w:ind w:right="725"/>
              <w:spacing w:after="0" w:line="143" w:lineRule="exact"/>
              <w:rPr>
                <w:sz w:val="20"/>
                <w:szCs w:val="20"/>
                <w:color w:val="auto"/>
              </w:rPr>
            </w:pPr>
            <w:r>
              <w:rPr>
                <w:rFonts w:ascii="Arial" w:cs="Arial" w:eastAsia="Arial" w:hAnsi="Arial"/>
                <w:sz w:val="14"/>
                <w:szCs w:val="14"/>
                <w:i w:val="1"/>
                <w:iCs w:val="1"/>
                <w:color w:val="auto"/>
              </w:rPr>
              <w:t>(State or other jurisdiction of</w:t>
            </w:r>
          </w:p>
        </w:tc>
        <w:tc>
          <w:tcPr>
            <w:tcW w:w="3520" w:type="dxa"/>
            <w:vAlign w:val="bottom"/>
          </w:tcPr>
          <w:p>
            <w:pPr>
              <w:jc w:val="center"/>
              <w:ind w:right="104"/>
              <w:spacing w:after="0" w:line="143" w:lineRule="exact"/>
              <w:rPr>
                <w:sz w:val="20"/>
                <w:szCs w:val="20"/>
                <w:color w:val="auto"/>
              </w:rPr>
            </w:pPr>
            <w:r>
              <w:rPr>
                <w:rFonts w:ascii="Arial" w:cs="Arial" w:eastAsia="Arial" w:hAnsi="Arial"/>
                <w:sz w:val="14"/>
                <w:szCs w:val="14"/>
                <w:i w:val="1"/>
                <w:iCs w:val="1"/>
                <w:color w:val="auto"/>
              </w:rPr>
              <w:t>(Commission File Number)</w:t>
            </w:r>
          </w:p>
        </w:tc>
        <w:tc>
          <w:tcPr>
            <w:tcW w:w="2100" w:type="dxa"/>
            <w:vAlign w:val="bottom"/>
          </w:tcPr>
          <w:p>
            <w:pPr>
              <w:jc w:val="center"/>
              <w:ind w:left="905"/>
              <w:spacing w:after="0" w:line="143" w:lineRule="exact"/>
              <w:rPr>
                <w:sz w:val="20"/>
                <w:szCs w:val="20"/>
                <w:color w:val="auto"/>
              </w:rPr>
            </w:pPr>
            <w:r>
              <w:rPr>
                <w:rFonts w:ascii="Arial" w:cs="Arial" w:eastAsia="Arial" w:hAnsi="Arial"/>
                <w:sz w:val="14"/>
                <w:szCs w:val="14"/>
                <w:i w:val="1"/>
                <w:iCs w:val="1"/>
                <w:color w:val="auto"/>
              </w:rPr>
              <w:t>(IRS Employer</w:t>
            </w:r>
          </w:p>
        </w:tc>
      </w:tr>
      <w:tr>
        <w:trPr>
          <w:trHeight w:val="188"/>
        </w:trPr>
        <w:tc>
          <w:tcPr>
            <w:tcW w:w="2600" w:type="dxa"/>
            <w:vAlign w:val="bottom"/>
          </w:tcPr>
          <w:p>
            <w:pPr>
              <w:jc w:val="center"/>
              <w:ind w:right="725"/>
              <w:spacing w:after="0"/>
              <w:rPr>
                <w:sz w:val="20"/>
                <w:szCs w:val="20"/>
                <w:color w:val="auto"/>
              </w:rPr>
            </w:pPr>
            <w:r>
              <w:rPr>
                <w:rFonts w:ascii="Arial" w:cs="Arial" w:eastAsia="Arial" w:hAnsi="Arial"/>
                <w:sz w:val="14"/>
                <w:szCs w:val="14"/>
                <w:i w:val="1"/>
                <w:iCs w:val="1"/>
                <w:color w:val="auto"/>
              </w:rPr>
              <w:t>incorporation)</w:t>
            </w:r>
          </w:p>
        </w:tc>
        <w:tc>
          <w:tcPr>
            <w:tcW w:w="3520" w:type="dxa"/>
            <w:vAlign w:val="bottom"/>
          </w:tcPr>
          <w:p>
            <w:pPr>
              <w:spacing w:after="0"/>
              <w:rPr>
                <w:sz w:val="16"/>
                <w:szCs w:val="16"/>
                <w:color w:val="auto"/>
              </w:rPr>
            </w:pPr>
          </w:p>
        </w:tc>
        <w:tc>
          <w:tcPr>
            <w:tcW w:w="2100" w:type="dxa"/>
            <w:vAlign w:val="bottom"/>
          </w:tcPr>
          <w:p>
            <w:pPr>
              <w:jc w:val="center"/>
              <w:ind w:left="905"/>
              <w:spacing w:after="0"/>
              <w:rPr>
                <w:sz w:val="20"/>
                <w:szCs w:val="20"/>
                <w:color w:val="auto"/>
              </w:rPr>
            </w:pPr>
            <w:r>
              <w:rPr>
                <w:rFonts w:ascii="Arial" w:cs="Arial" w:eastAsia="Arial" w:hAnsi="Arial"/>
                <w:sz w:val="14"/>
                <w:szCs w:val="14"/>
                <w:i w:val="1"/>
                <w:iCs w:val="1"/>
                <w:color w:val="auto"/>
              </w:rPr>
              <w:t>Identification No.)</w:t>
            </w:r>
          </w:p>
        </w:tc>
      </w:tr>
    </w:tbl>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1170 Peachtree Street, N.E., Suite 1200, Atlanta, Georgia 30309</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(404) 853-1400</w:t>
      </w:r>
    </w:p>
    <w:p>
      <w:pPr>
        <w:spacing w:after="0" w:line="24"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8" w:lineRule="exact"/>
        <w:rPr>
          <w:sz w:val="24"/>
          <w:szCs w:val="24"/>
          <w:color w:val="auto"/>
        </w:rPr>
      </w:pPr>
    </w:p>
    <w:p>
      <w:pPr>
        <w:ind w:left="5440"/>
        <w:spacing w:after="0"/>
        <w:rPr>
          <w:sz w:val="20"/>
          <w:szCs w:val="20"/>
          <w:color w:val="auto"/>
        </w:rPr>
      </w:pPr>
      <w:r>
        <w:rPr>
          <w:rFonts w:ascii="Arial" w:cs="Arial" w:eastAsia="Arial" w:hAnsi="Arial"/>
          <w:sz w:val="14"/>
          <w:szCs w:val="14"/>
          <w:b w:val="1"/>
          <w:bCs w:val="1"/>
          <w:color w:val="auto"/>
        </w:rPr>
        <w:t>None</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77" w:lineRule="exact"/>
        <w:rPr>
          <w:sz w:val="24"/>
          <w:szCs w:val="24"/>
          <w:color w:val="auto"/>
        </w:rPr>
      </w:pPr>
    </w:p>
    <w:p>
      <w:pPr>
        <w:ind w:right="280"/>
        <w:spacing w:after="0" w:line="293"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7"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660" w:hanging="328"/>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660" w:hanging="328"/>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660" w:hanging="328"/>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45"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52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$0.01 par value per share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AYI</w:t>
            </w:r>
          </w:p>
        </w:tc>
        <w:tc>
          <w:tcPr>
            <w:tcW w:w="44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210" w:lineRule="exact"/>
        <w:rPr>
          <w:sz w:val="24"/>
          <w:szCs w:val="24"/>
          <w:color w:val="auto"/>
        </w:rPr>
      </w:pPr>
    </w:p>
    <w:p>
      <w:pPr>
        <w:ind w:right="560"/>
        <w:spacing w:after="0" w:line="28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5" w:lineRule="exact"/>
        <w:rPr>
          <w:sz w:val="24"/>
          <w:szCs w:val="24"/>
          <w:color w:val="auto"/>
        </w:rPr>
      </w:pPr>
    </w:p>
    <w:p>
      <w:pPr>
        <w:ind w:right="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1261110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25, 2026, Acuity Inc. (“we,” “our,” “us,” “the Company,” or similar references) issued a press release containing information about our results of operations for our fiscal quarter ended May 31, 2026. A copy of the press release is attached as Exhibit 99.1 to this Current Report on Form 8-K, which is incorporated herein by reference. The information contained in this paragraph, as well as Exhibit 99.1 referenced herein, shall not be deemed “filed” for purposes of Section 18 of the Securities Exchange Act of 1934, as amended, nor shall they be deemed incorporated by reference in any filing under the Securities Act of 1933, as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20" w:lineRule="exact"/>
        <w:rPr>
          <w:sz w:val="20"/>
          <w:szCs w:val="20"/>
          <w:color w:val="auto"/>
        </w:rPr>
      </w:pPr>
    </w:p>
    <w:p>
      <w:pPr>
        <w:ind w:left="560" w:hanging="534"/>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u w:val="single" w:color="auto"/>
          <w:color w:val="0000FF"/>
        </w:rPr>
        <w:t>Press Release dated June 25, 2026.</w:t>
      </w:r>
    </w:p>
    <w:p>
      <w:pPr>
        <w:spacing w:after="0" w:line="32" w:lineRule="exact"/>
        <w:rPr>
          <w:sz w:val="20"/>
          <w:szCs w:val="20"/>
          <w:color w:val="auto"/>
        </w:rPr>
      </w:pPr>
    </w:p>
    <w:p>
      <w:pPr>
        <w:ind w:left="780" w:hanging="741"/>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June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ACUITY INC.</w:t>
      </w:r>
    </w:p>
    <w:p>
      <w:pPr>
        <w:spacing w:after="0" w:line="239" w:lineRule="exact"/>
        <w:rPr>
          <w:sz w:val="20"/>
          <w:szCs w:val="20"/>
          <w:color w:val="auto"/>
        </w:rPr>
      </w:pPr>
    </w:p>
    <w:p>
      <w:pPr>
        <w:ind w:left="7340"/>
        <w:spacing w:after="0"/>
        <w:tabs>
          <w:tab w:leader="none" w:pos="7820" w:val="left"/>
        </w:tabs>
        <w:rPr>
          <w:sz w:val="20"/>
          <w:szCs w:val="20"/>
          <w:color w:val="auto"/>
        </w:rPr>
      </w:pPr>
      <w:r>
        <w:rPr>
          <w:rFonts w:ascii="Arial" w:cs="Arial" w:eastAsia="Arial" w:hAnsi="Arial"/>
          <w:sz w:val="18"/>
          <w:szCs w:val="18"/>
          <w:color w:val="auto"/>
        </w:rPr>
        <w:t>By:</w:t>
        <w:tab/>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17780</wp:posOffset>
            </wp:positionV>
            <wp:extent cx="2168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Karen J. Holcom</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Senior Vice President and Chief Financial</w:t>
      </w:r>
    </w:p>
    <w:p>
      <w:pPr>
        <w:ind w:left="784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0" w:right="339"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18"/>
          <w:szCs w:val="18"/>
          <w:color w:val="auto"/>
        </w:rPr>
        <w:t>Press Release</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Charlotte McLaughlin</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27" w:lineRule="exact"/>
        <w:rPr>
          <w:sz w:val="20"/>
          <w:szCs w:val="20"/>
          <w:color w:val="auto"/>
        </w:rPr>
      </w:pPr>
    </w:p>
    <w:p>
      <w:pPr>
        <w:ind w:right="8400" w:firstLine="8"/>
        <w:spacing w:after="0" w:line="323" w:lineRule="auto"/>
        <w:tabs>
          <w:tab w:leader="none" w:pos="517" w:val="left"/>
        </w:tabs>
        <w:numPr>
          <w:ilvl w:val="0"/>
          <w:numId w:val="4"/>
        </w:numPr>
        <w:rPr>
          <w:rFonts w:ascii="Arial" w:cs="Arial" w:eastAsia="Arial" w:hAnsi="Arial"/>
          <w:sz w:val="19"/>
          <w:szCs w:val="19"/>
          <w:color w:val="auto"/>
        </w:rPr>
      </w:pPr>
      <w:r>
        <w:rPr>
          <w:rFonts w:ascii="Arial" w:cs="Arial" w:eastAsia="Arial" w:hAnsi="Arial"/>
          <w:sz w:val="19"/>
          <w:szCs w:val="19"/>
          <w:color w:val="auto"/>
        </w:rPr>
        <w:t>853-1456 investorrelations@acuityinc.com</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April Appling</w:t>
      </w:r>
    </w:p>
    <w:p>
      <w:pPr>
        <w:spacing w:after="0" w:line="30" w:lineRule="exact"/>
        <w:rPr>
          <w:sz w:val="20"/>
          <w:szCs w:val="20"/>
          <w:color w:val="auto"/>
        </w:rPr>
      </w:pPr>
    </w:p>
    <w:p>
      <w:pPr>
        <w:ind w:right="5500"/>
        <w:spacing w:after="0" w:line="295" w:lineRule="auto"/>
        <w:rPr>
          <w:sz w:val="20"/>
          <w:szCs w:val="20"/>
          <w:color w:val="auto"/>
        </w:rPr>
      </w:pPr>
      <w:r>
        <w:rPr>
          <w:rFonts w:ascii="Arial" w:cs="Arial" w:eastAsia="Arial" w:hAnsi="Arial"/>
          <w:sz w:val="20"/>
          <w:szCs w:val="20"/>
          <w:color w:val="auto"/>
        </w:rPr>
        <w:t>Senior Vice President, Corporate Marketing and Communications corporatecommunications@acuityinc.com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Acuity Reports Fiscal 2026 Third-Quarter Results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Solid Execution Delivers Sales Growth, EPS Improvement and Strong Cash Flow</w:t>
      </w:r>
    </w:p>
    <w:p>
      <w:pPr>
        <w:spacing w:after="0" w:line="24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Delivered Net Sales of $1.2B, an Increase of 2% Compared to the Prior Year</w:t>
      </w:r>
    </w:p>
    <w:p>
      <w:pPr>
        <w:spacing w:after="0" w:line="134" w:lineRule="exact"/>
        <w:rPr>
          <w:rFonts w:ascii="Arial" w:cs="Arial" w:eastAsia="Arial" w:hAnsi="Arial"/>
          <w:sz w:val="20"/>
          <w:szCs w:val="20"/>
          <w:b w:val="1"/>
          <w:bCs w:val="1"/>
          <w:color w:val="auto"/>
        </w:rPr>
      </w:pPr>
    </w:p>
    <w:p>
      <w:pPr>
        <w:ind w:left="660" w:right="20" w:hanging="328"/>
        <w:spacing w:after="0" w:line="312" w:lineRule="auto"/>
        <w:tabs>
          <w:tab w:leader="none" w:pos="685"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Delivered Operating Profit of $193M, Up 38% Compared to the Prior Year; Grew Adjusted Operating Profit to $224M, Up 1% Compared to the Prior Year</w:t>
      </w:r>
    </w:p>
    <w:p>
      <w:pPr>
        <w:spacing w:after="0" w:line="23" w:lineRule="exact"/>
        <w:rPr>
          <w:rFonts w:ascii="Arial" w:cs="Arial" w:eastAsia="Arial" w:hAnsi="Arial"/>
          <w:sz w:val="20"/>
          <w:szCs w:val="20"/>
          <w:b w:val="1"/>
          <w:bCs w:val="1"/>
          <w:color w:val="auto"/>
        </w:rPr>
      </w:pPr>
    </w:p>
    <w:p>
      <w:pPr>
        <w:ind w:left="660" w:hanging="328"/>
        <w:spacing w:after="0" w:line="312" w:lineRule="auto"/>
        <w:tabs>
          <w:tab w:leader="none" w:pos="658"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Delivered Diluted EPS of $4.56, Up 46% Compared to the Prior Year; Grew Adjusted Diluted EPS to $5.31, Up 4% Compared to the Prior Year</w:t>
      </w:r>
    </w:p>
    <w:p>
      <w:pPr>
        <w:spacing w:after="0" w:line="200" w:lineRule="exact"/>
        <w:rPr>
          <w:sz w:val="20"/>
          <w:szCs w:val="20"/>
          <w:color w:val="auto"/>
        </w:rPr>
      </w:pPr>
    </w:p>
    <w:p>
      <w:pPr>
        <w:spacing w:after="0" w:line="31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ATLANTA, June 25, 2026 - Acuity Inc. (NYSE: AYI), ("Acuity"), a market-leading industrial technology company, delivered net sales of $1.2 billion in the third quarter, ended May 31, 2026, an increase of $19.4 million, or 1.6 percent, compared to the prior year.</w:t>
      </w:r>
    </w:p>
    <w:p>
      <w:pPr>
        <w:spacing w:after="0" w:line="18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"We demonstrated solid execution in our third quarter of fiscal 2026," stated Neil Ashe, Chairman, President and Chief Executive Officer of Acuity Inc. "We grew net sales, we expanded our adjusted operating profit and we increased our adjusted diluted earnings per share. We generated strong cash flow and allocated capital effectively."</w:t>
      </w:r>
    </w:p>
    <w:p>
      <w:pPr>
        <w:spacing w:after="0" w:line="199"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During the third quarter of fiscal 2026, we received $6.4 million in tariff refunds in Acuity Brands Lighting, which are reflected as non-GAAP adjustments in our results.</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Operating profit was $193.3 million in the third quarter of fiscal 2026, an increase of $53.5 million, or 38.3 percent, compared to the prior year. Operating profit as a percent of net sales was 16.1 percent in the third quarter of fiscal 2026, an increase of 420 basis points compared to the prior year. Adjusted operating profit was $223.5 million in the third quarter of fiscal 2026, an increase of $1.8 million, or 0.8 percent, compared to the prior year. Adjusted operating profit as a percent of net sales was 18.7 percent in the third quarter of fiscal 2026, a decrease of 10 basis points compared to the prior year.</w:t>
      </w:r>
    </w:p>
    <w:p>
      <w:pPr>
        <w:spacing w:after="0" w:line="20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Diluted earnings per share was $4.56 in the third quarter of fiscal 2026, an increase of $1.44, or 46.2 percent, compared to the prior year. Adjusted diluted earnings per share was $5.31 in the third quarter of fiscal 2026, an increase of $0.19, or 3.7 percent.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75" w:right="339" w:bottom="1440" w:gutter="0" w:footer="0" w:header="0"/>
        </w:sectPr>
      </w:pPr>
    </w:p>
    <w:bookmarkStart w:id="4" w:name="page5"/>
    <w:bookmarkEnd w:id="4"/>
    <w:p>
      <w:pPr>
        <w:jc w:val="right"/>
        <w:ind w:right="20"/>
        <w:spacing w:after="0"/>
        <w:rPr>
          <w:sz w:val="20"/>
          <w:szCs w:val="20"/>
          <w:color w:val="auto"/>
        </w:rPr>
      </w:pPr>
      <w:r>
        <w:rPr>
          <w:rFonts w:ascii="Arial" w:cs="Arial" w:eastAsia="Arial" w:hAnsi="Arial"/>
          <w:sz w:val="18"/>
          <w:szCs w:val="18"/>
          <w:color w:val="auto"/>
        </w:rPr>
        <w:t>Press Release</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Performance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Acuity Brands Lighting ("ABL")</w:t>
      </w:r>
    </w:p>
    <w:p>
      <w:pPr>
        <w:spacing w:after="0" w:line="270"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ABL generated net sales of $905.2 million in the third quarter of fiscal 2026, a decrease of $18.0 million, or 1.9 percent, compared to the prior year.</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Operating profit was $160.6 million in the third quarter of fiscal 2026, an increase of $26.6 million, or 19.9 percent, compared to the prior year. Operating profit as a percent of ABL net sales was 17.7 percent in the third quarter of fiscal 2026, an increase of 320 basis points compared to the prior year. Adjusted operating profit was $164.6 million in the third quarter of fiscal 2026, a decrease of $9.3 million, or 5.3 percent, compared to the prior year. Adjusted operating profit as a percent of ABL net sales was 18.2 percent in the third quarter of fiscal 2026, a decrease of 60 basis points compared to the prior year.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Acuity Intelligent Spaces ("AIS")</w:t>
      </w:r>
    </w:p>
    <w:p>
      <w:pPr>
        <w:spacing w:after="0" w:line="256"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AIS generated net sales of $303.5 million in the third quarter of fiscal 2026, an increase of $39.4 million, or 14.9 percent, compared to the prior year.</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Operating profit was $56.5 million in the third quarter of fiscal 2026, an increase of $29.1 million, or 106.2 percent, compared to the prior year. Operating profit as a percent of AIS net sales was 18.6 percent in the third quarter of fiscal 2026, an increase of 820 basis points compared to the prior year. Adjusted operating profit was $76.3 million in the third quarter of fiscal 2026, an increase of $14.0 million, or 22.5 percent, compared to the prior year. Adjusted operating profit as a percent of AIS net sales was 25.1 percent in the third quarter of fiscal 2026, an increase of 150 basis points compared to the prior year.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and Capital Allocation</w:t>
      </w:r>
    </w:p>
    <w:p>
      <w:pPr>
        <w:spacing w:after="0" w:line="272"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Net cash from operating activities was $520.2 million for the first nine months of fiscal 2026. Year to date, we repurchased approximately 766,000 shares of common stock for a total of $230 million.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Call Details</w:t>
      </w:r>
    </w:p>
    <w:p>
      <w:pPr>
        <w:spacing w:after="0" w:line="27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We will host a conference call at 8:00 a.m. ET today, Thursday, June 25, 2026. Neil Ashe, Chief Executive Officer of Acuity Inc. will lead the call. The conference call and earnings release can be accessed via our Investor Relations section of our website at www.investors.acuityinc.com. A replay of the call will also be posted to the Investor Relations website within two hours of the completion of the conference call and will be available on the website for a limited time.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Acuity</w:t>
      </w:r>
    </w:p>
    <w:p>
      <w:pPr>
        <w:spacing w:after="0" w:line="272"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Acuity Inc. (NYSE: AYI) is a market-leading industrial technology company. We use technology to solve problems in spaces, light and more things to come. Through our two business segments, Acuity Brands Lighting (ABL) and Acuity Intelligent Spaces (AIS), we design, manufacture, and bring to market products and services that make a valuable difference in people’s lives.</w:t>
      </w:r>
    </w:p>
    <w:p>
      <w:pPr>
        <w:spacing w:after="0" w:line="166"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We achieve growth through the development of innovative new products and services, including lighting, lighting controls, building management solutions, and an audio, video and control platform. We focus 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69" w:right="339" w:bottom="1440" w:gutter="0" w:footer="0" w:header="0"/>
        </w:sectPr>
      </w:pPr>
    </w:p>
    <w:bookmarkStart w:id="5" w:name="page6"/>
    <w:bookmarkEnd w:id="5"/>
    <w:p>
      <w:pPr>
        <w:jc w:val="right"/>
        <w:ind w:right="20"/>
        <w:spacing w:after="0"/>
        <w:rPr>
          <w:sz w:val="20"/>
          <w:szCs w:val="20"/>
          <w:color w:val="auto"/>
        </w:rPr>
      </w:pPr>
      <w:r>
        <w:rPr>
          <w:rFonts w:ascii="Arial" w:cs="Arial" w:eastAsia="Arial" w:hAnsi="Arial"/>
          <w:sz w:val="18"/>
          <w:szCs w:val="18"/>
          <w:color w:val="auto"/>
        </w:rPr>
        <w:t>Press Release</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35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customer outcomes and drive growth and productivity to increase market share and deliver superior returns. We look to aggressively deploy capital to grow the business and to enter attractive new verticals.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Acuity Inc. is based in Atlanta, Georgia, with operations across North America, Europe and Asia. The Company is powered by approximately 13,000 dedicated and talented associates. Visit us at www.acuityinc.com.</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72"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This news release includes the following non-generally accepted accounting principles (“GAAP”) financial measures: "adjusted gross profit", "adjusted gross profit margin", “adjusted operating profit” and “adjusted operating profit margin” for total company and by segment; for total company only we additionally include: “adjusted net income;” “adjusted diluted EPS;” “earnings before interest, taxes, depreciation and amortization (“EBITDA”);" "EBITDA margin;" “adjusted EBITDA;” and "adjusted EBITDA margin". These non-GAAP financial measures are provided to enhance the reader's overall understanding of our current financial performance and prospects for the future. Specifically, management believes that these non-GAAP measures provide useful information to investors by excluding or adjusting items for amortization of acquired intangible assets, share-based payment expense, acquired profit in inventory, acquisition-related items, and special charges.</w:t>
      </w:r>
    </w:p>
    <w:p>
      <w:pPr>
        <w:spacing w:after="0" w:line="210"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We also provide “free cash flow” (“FCF”) to enhance the reader’s understanding of our ability to generate additional cash from its business.</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Management typically adjusts for these items for internal reviews of performance and uses the above non-GAAP measures for baseline comparative operational analysis, decision making and other activities. Management believes these non-GAAP measures provide greater comparability and enhanced visibility into our results of operations as well as comparability with many of its peers, especially those companies focused more on technology and software. Non-GAAP financial measures included in this news release should be considered in addition to, and not as a substitute for or superior to, results prepared in accordance with GAAP.</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most directly comparable GAAP measures for adjusted gross profit and adjusted gross profit margin for total company are “gross profit” and “gross profit margin,” respectively, which include the impact of acquired profit in inventory and tariff refunds. Adjusted gross profit margin is adjusted gross profit divided by net sales for total company and by segment. The most directly comparable GAAP measures for adjusted operating profit and adjusted operating profit margin for total company and by segment are “operating profit” and “operating profit margin,” respectively, which include the impact of amortization of acquired intangible assets, share-based payment expense, acquired profit in inventory, acquisition-related costs, special charges, and tariff refunds. Adjusted operating profit margin is adjusted operating profit divided by net sales for total company and by segment. The most directly comparable GAAP measures for adjusted net income and adjusted diluted EPS are “net income” and “diluted EPS,” respectively, which include the impact of amortization of acquired intangible assets, share-based payment expense, acquired profit in inventory, acquisition-related costs, special charges, and tariff refunds. Adjusted diluted EPS is adjusted net income divided by diluted weighted average shares outstanding. The most directly comparable GAAP measure for EBITDA is “net income”, which includes the impact of net interest expense, income taxes, depreciation and amortization of acquired intangible assets. EBITDA margin is EBITDA divided by net sales for total company. The most directly comparable GAAP measure for adjusted EBITDA is “net income”, which includes the impact of net interest expense, income taxes, depreciation, amortization of acquired intangible assets, share-based payment expense, acquired profit in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69" w:right="339" w:bottom="1440" w:gutter="0" w:footer="0" w:header="0"/>
        </w:sectPr>
      </w:pPr>
    </w:p>
    <w:bookmarkStart w:id="6" w:name="page7"/>
    <w:bookmarkEnd w:id="6"/>
    <w:p>
      <w:pPr>
        <w:jc w:val="right"/>
        <w:ind w:right="20"/>
        <w:spacing w:after="0"/>
        <w:rPr>
          <w:sz w:val="20"/>
          <w:szCs w:val="20"/>
          <w:color w:val="auto"/>
        </w:rPr>
      </w:pPr>
      <w:r>
        <w:rPr>
          <w:rFonts w:ascii="Arial" w:cs="Arial" w:eastAsia="Arial" w:hAnsi="Arial"/>
          <w:sz w:val="18"/>
          <w:szCs w:val="18"/>
          <w:color w:val="auto"/>
        </w:rPr>
        <w:t>Press Release</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inventory, acquisition-related items, special charges, miscellaneous (income) expense, net, and tariff refunds. Adjusted EBITDA margin is adjusted EBITDA divided by net sales for total company. A reconciliation of each measure to the most directly comparable GAAP measure is available in this news release.</w:t>
      </w:r>
    </w:p>
    <w:p>
      <w:pPr>
        <w:spacing w:after="0" w:line="199"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We define FCF as net cash provided by operating activities less purchases of property, plant and equipment. A calculation of this measure is available in this news release.</w:t>
      </w:r>
    </w:p>
    <w:p>
      <w:pPr>
        <w:spacing w:after="0" w:line="16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non-GAAP financial measures may not be comparable to similarly titled non-GAAP financial measures used by other companies, have limitations as an analytical tool, and should not be considered in isolation or as a substitute for GAAP financial measures. Our presentation of such measures, which may include adjustments to exclude unusual or non-recurring items, should not be construed as an inference that our future results will be unaffected by other unusual or non-recurring items.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Information</w:t>
      </w:r>
    </w:p>
    <w:p>
      <w:pPr>
        <w:spacing w:after="0" w:line="258"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include, but are not limited to, statements that describe or relate to our plans, initiatives, projections, vision, goals, targets, commitments, expectations, objectives, prospects, strategies, or financial outlook, and the assumptions underlying or relating thereto. In some cases, we may use words such as “expect,” “believe,” “intend,” “anticipate,” “estimate,” “forecast,” “indicate,” “project,” “predict,” “plan,” “may,” “will,” “could,” “should,” “would,” “potential,” and words of similar meaning, as well as other words or expressions referencing future events, conditions, or circumstances, to identify forward-looking statements. We intend these forward-looking statements to be covered by the safe harbor provisions for forward-looking statements contained in the Act. Forward-looking statements are not guarantees of future performance. Our forward-looking statements are based on our current beliefs, expectations, and assumptions, which may not prove to be accurate, and are subject to known and unknown risks and uncertainties, assumptions, and other important factors, many of which are outside of our control and any of which could cause our actual results to differ materially from those expressed or implied by the forward-looking statements. These risks and uncertainties are discussed in our filings with the U.S. Securities and Exchange Commission, including our most recent annual report on Form 10-K (including, but not limited to, the sections titled "Risk Factors" and "Management's Discussion and Analysis of Financial Condition and Results of Operations"), quarterly reports on Form 10-Q, and current reports on Form 8-K. Any forward-looking statement speaks only as of the date on which it is made. This press release is not comprehensive, and for that reason, should be read in conjunction with such filings. You are cautioned not to place undue reliance on any forward-looking statements. Except as required by law, we undertake no obligation to publicly update or release any revisions to these forward-looking statements to reflect any events or circumstances after the date of this press release or to reflect the occurrence of unanticipated events, whether as a result of new information, future events, or otherwise.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6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Press Release</w:t>
            </w:r>
          </w:p>
        </w:tc>
        <w:tc>
          <w:tcPr>
            <w:tcW w:w="0" w:type="dxa"/>
            <w:vAlign w:val="bottom"/>
          </w:tcPr>
          <w:p>
            <w:pPr>
              <w:spacing w:after="0"/>
              <w:rPr>
                <w:sz w:val="1"/>
                <w:szCs w:val="1"/>
                <w:color w:val="auto"/>
              </w:rPr>
            </w:pPr>
          </w:p>
        </w:tc>
      </w:tr>
      <w:tr>
        <w:trPr>
          <w:trHeight w:val="239"/>
        </w:trPr>
        <w:tc>
          <w:tcPr>
            <w:tcW w:w="7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760"/>
        </w:trPr>
        <w:tc>
          <w:tcPr>
            <w:tcW w:w="7620" w:type="dxa"/>
            <w:vAlign w:val="bottom"/>
          </w:tcPr>
          <w:p>
            <w:pPr>
              <w:jc w:val="center"/>
              <w:ind w:left="3466"/>
              <w:spacing w:after="0"/>
              <w:rPr>
                <w:sz w:val="20"/>
                <w:szCs w:val="20"/>
                <w:color w:val="auto"/>
              </w:rPr>
            </w:pPr>
            <w:r>
              <w:rPr>
                <w:rFonts w:ascii="Arial" w:cs="Arial" w:eastAsia="Arial" w:hAnsi="Arial"/>
                <w:sz w:val="18"/>
                <w:szCs w:val="18"/>
                <w:b w:val="1"/>
                <w:bCs w:val="1"/>
                <w:color w:val="auto"/>
                <w:w w:val="99"/>
              </w:rPr>
              <w:t>ACUITY INC.</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900" w:type="dxa"/>
            <w:vAlign w:val="bottom"/>
            <w:gridSpan w:val="2"/>
          </w:tcPr>
          <w:p>
            <w:pPr>
              <w:jc w:val="center"/>
              <w:ind w:left="3186"/>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20" w:type="dxa"/>
            <w:vAlign w:val="bottom"/>
          </w:tcPr>
          <w:p>
            <w:pPr>
              <w:jc w:val="center"/>
              <w:ind w:left="3466"/>
              <w:spacing w:after="0"/>
              <w:rPr>
                <w:sz w:val="20"/>
                <w:szCs w:val="20"/>
                <w:color w:val="auto"/>
              </w:rPr>
            </w:pPr>
            <w:r>
              <w:rPr>
                <w:rFonts w:ascii="Arial" w:cs="Arial" w:eastAsia="Arial" w:hAnsi="Arial"/>
                <w:sz w:val="18"/>
                <w:szCs w:val="18"/>
                <w:i w:val="1"/>
                <w:iCs w:val="1"/>
                <w:color w:val="auto"/>
                <w:w w:val="99"/>
              </w:rPr>
              <w:t>(In millions, except per-share data)</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7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May 31, 2026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b w:val="1"/>
                <w:bCs w:val="1"/>
                <w:color w:val="auto"/>
              </w:rPr>
              <w:t>August 31, 2025</w:t>
            </w:r>
          </w:p>
        </w:tc>
        <w:tc>
          <w:tcPr>
            <w:tcW w:w="0" w:type="dxa"/>
            <w:vAlign w:val="bottom"/>
          </w:tcPr>
          <w:p>
            <w:pPr>
              <w:spacing w:after="0"/>
              <w:rPr>
                <w:sz w:val="1"/>
                <w:szCs w:val="1"/>
                <w:color w:val="auto"/>
              </w:rPr>
            </w:pPr>
          </w:p>
        </w:tc>
      </w:tr>
      <w:tr>
        <w:trPr>
          <w:trHeight w:val="195"/>
        </w:trPr>
        <w:tc>
          <w:tcPr>
            <w:tcW w:w="7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i w:val="1"/>
                <w:iCs w:val="1"/>
                <w:color w:val="auto"/>
              </w:rPr>
              <w:t>(unaudited)</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20" w:type="dxa"/>
            <w:vAlign w:val="bottom"/>
          </w:tcPr>
          <w:p>
            <w:pPr>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411.9</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422.5</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4"/>
                <w:szCs w:val="14"/>
                <w:color w:val="auto"/>
              </w:rPr>
              <w:t>Accounts receivable, less reserve for doubtful accounts of $7.0 and $4.3, respectively</w:t>
            </w:r>
          </w:p>
        </w:tc>
        <w:tc>
          <w:tcPr>
            <w:tcW w:w="28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610.9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593.9</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4"/>
                <w:szCs w:val="14"/>
                <w:color w:val="auto"/>
              </w:rPr>
              <w:t>Inventories</w:t>
            </w:r>
          </w:p>
        </w:tc>
        <w:tc>
          <w:tcPr>
            <w:tcW w:w="28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458.3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526.7</w:t>
            </w:r>
          </w:p>
        </w:tc>
        <w:tc>
          <w:tcPr>
            <w:tcW w:w="0" w:type="dxa"/>
            <w:vAlign w:val="bottom"/>
          </w:tcPr>
          <w:p>
            <w:pPr>
              <w:spacing w:after="0"/>
              <w:rPr>
                <w:sz w:val="1"/>
                <w:szCs w:val="1"/>
                <w:color w:val="auto"/>
              </w:rPr>
            </w:pPr>
          </w:p>
        </w:tc>
      </w:tr>
      <w:tr>
        <w:trPr>
          <w:trHeight w:val="204"/>
        </w:trPr>
        <w:tc>
          <w:tcPr>
            <w:tcW w:w="7620" w:type="dxa"/>
            <w:vAlign w:val="bottom"/>
          </w:tcPr>
          <w:p>
            <w:pPr>
              <w:ind w:left="120"/>
              <w:spacing w:after="0"/>
              <w:rPr>
                <w:sz w:val="20"/>
                <w:szCs w:val="20"/>
                <w:color w:val="auto"/>
              </w:rPr>
            </w:pPr>
            <w:r>
              <w:rPr>
                <w:rFonts w:ascii="Arial" w:cs="Arial" w:eastAsia="Arial" w:hAnsi="Arial"/>
                <w:sz w:val="14"/>
                <w:szCs w:val="14"/>
                <w:color w:val="auto"/>
              </w:rPr>
              <w:t>Prepayments and other current assets</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194"/>
        </w:trPr>
        <w:tc>
          <w:tcPr>
            <w:tcW w:w="7620" w:type="dxa"/>
            <w:vAlign w:val="bottom"/>
          </w:tcPr>
          <w:p>
            <w:pPr>
              <w:ind w:left="20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1,618.5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1,651.5</w:t>
            </w: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28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345.9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343.2</w:t>
            </w: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96.8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1,494.6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1,495.5</w:t>
            </w: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Intangible assets, net</w:t>
            </w:r>
          </w:p>
        </w:tc>
        <w:tc>
          <w:tcPr>
            <w:tcW w:w="28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1,028.9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1,099.0</w:t>
            </w: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04"/>
        </w:trPr>
        <w:tc>
          <w:tcPr>
            <w:tcW w:w="7620" w:type="dxa"/>
            <w:vAlign w:val="bottom"/>
          </w:tcPr>
          <w:p>
            <w:pPr>
              <w:spacing w:after="0"/>
              <w:rPr>
                <w:sz w:val="20"/>
                <w:szCs w:val="20"/>
                <w:color w:val="auto"/>
              </w:rPr>
            </w:pPr>
            <w:r>
              <w:rPr>
                <w:rFonts w:ascii="Arial" w:cs="Arial" w:eastAsia="Arial" w:hAnsi="Arial"/>
                <w:sz w:val="14"/>
                <w:szCs w:val="14"/>
                <w:color w:val="auto"/>
              </w:rPr>
              <w:t>Other long-term assets</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96"/>
        </w:trPr>
        <w:tc>
          <w:tcPr>
            <w:tcW w:w="762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4,635.4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4,755.2</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7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620" w:type="dxa"/>
            <w:vAlign w:val="bottom"/>
          </w:tcPr>
          <w:p>
            <w:pPr>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363.9</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454.5</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4"/>
                <w:szCs w:val="14"/>
                <w:color w:val="auto"/>
              </w:rPr>
              <w:t>Current operating lease liabilities</w:t>
            </w:r>
          </w:p>
        </w:tc>
        <w:tc>
          <w:tcPr>
            <w:tcW w:w="28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4"/>
                <w:szCs w:val="14"/>
                <w:color w:val="auto"/>
              </w:rPr>
              <w:t>Accrued compensation</w:t>
            </w:r>
          </w:p>
        </w:tc>
        <w:tc>
          <w:tcPr>
            <w:tcW w:w="28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126.4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204"/>
        </w:trPr>
        <w:tc>
          <w:tcPr>
            <w:tcW w:w="7620" w:type="dxa"/>
            <w:vAlign w:val="bottom"/>
          </w:tcPr>
          <w:p>
            <w:pPr>
              <w:ind w:left="120"/>
              <w:spacing w:after="0"/>
              <w:rPr>
                <w:sz w:val="20"/>
                <w:szCs w:val="20"/>
                <w:color w:val="auto"/>
              </w:rPr>
            </w:pPr>
            <w:r>
              <w:rPr>
                <w:rFonts w:ascii="Arial" w:cs="Arial" w:eastAsia="Arial" w:hAnsi="Arial"/>
                <w:sz w:val="14"/>
                <w:szCs w:val="14"/>
                <w:color w:val="auto"/>
              </w:rPr>
              <w:t>Other current liabilities</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271.0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258.0</w:t>
            </w:r>
          </w:p>
        </w:tc>
        <w:tc>
          <w:tcPr>
            <w:tcW w:w="0" w:type="dxa"/>
            <w:vAlign w:val="bottom"/>
          </w:tcPr>
          <w:p>
            <w:pPr>
              <w:spacing w:after="0"/>
              <w:rPr>
                <w:sz w:val="1"/>
                <w:szCs w:val="1"/>
                <w:color w:val="auto"/>
              </w:rPr>
            </w:pPr>
          </w:p>
        </w:tc>
      </w:tr>
      <w:tr>
        <w:trPr>
          <w:trHeight w:val="195"/>
        </w:trPr>
        <w:tc>
          <w:tcPr>
            <w:tcW w:w="7620" w:type="dxa"/>
            <w:vAlign w:val="bottom"/>
          </w:tcPr>
          <w:p>
            <w:pPr>
              <w:ind w:left="34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788.3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845.8</w:t>
            </w: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697.3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896.8</w:t>
            </w: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28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Accrued pension liabilities</w:t>
            </w:r>
          </w:p>
        </w:tc>
        <w:tc>
          <w:tcPr>
            <w:tcW w:w="28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02"/>
        </w:trPr>
        <w:tc>
          <w:tcPr>
            <w:tcW w:w="7620" w:type="dxa"/>
            <w:vAlign w:val="bottom"/>
          </w:tcPr>
          <w:p>
            <w:pPr>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204"/>
        </w:trPr>
        <w:tc>
          <w:tcPr>
            <w:tcW w:w="762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139.3</w:t>
            </w:r>
          </w:p>
        </w:tc>
        <w:tc>
          <w:tcPr>
            <w:tcW w:w="0" w:type="dxa"/>
            <w:vAlign w:val="bottom"/>
          </w:tcPr>
          <w:p>
            <w:pPr>
              <w:spacing w:after="0"/>
              <w:rPr>
                <w:sz w:val="1"/>
                <w:szCs w:val="1"/>
                <w:color w:val="auto"/>
              </w:rPr>
            </w:pPr>
          </w:p>
        </w:tc>
      </w:tr>
      <w:tr>
        <w:trPr>
          <w:trHeight w:val="196"/>
        </w:trPr>
        <w:tc>
          <w:tcPr>
            <w:tcW w:w="7620" w:type="dxa"/>
            <w:vAlign w:val="bottom"/>
          </w:tcPr>
          <w:p>
            <w:pPr>
              <w:ind w:left="34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1,783.9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2,030.3</w:t>
            </w:r>
          </w:p>
        </w:tc>
        <w:tc>
          <w:tcPr>
            <w:tcW w:w="0" w:type="dxa"/>
            <w:vAlign w:val="bottom"/>
          </w:tcPr>
          <w:p>
            <w:pPr>
              <w:spacing w:after="0"/>
              <w:rPr>
                <w:sz w:val="1"/>
                <w:szCs w:val="1"/>
                <w:color w:val="auto"/>
              </w:rPr>
            </w:pPr>
          </w:p>
        </w:tc>
      </w:tr>
      <w:tr>
        <w:trPr>
          <w:trHeight w:val="181"/>
        </w:trPr>
        <w:tc>
          <w:tcPr>
            <w:tcW w:w="7620" w:type="dxa"/>
            <w:vAlign w:val="bottom"/>
          </w:tcPr>
          <w:p>
            <w:pPr>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20"/>
              <w:spacing w:after="0"/>
              <w:rPr>
                <w:sz w:val="20"/>
                <w:szCs w:val="20"/>
                <w:color w:val="auto"/>
              </w:rPr>
            </w:pPr>
            <w:r>
              <w:rPr>
                <w:rFonts w:ascii="Arial" w:cs="Arial" w:eastAsia="Arial" w:hAnsi="Arial"/>
                <w:sz w:val="14"/>
                <w:szCs w:val="14"/>
                <w:color w:val="auto"/>
              </w:rPr>
              <w:t>Preferred stock, $0.01 par value per share; 50.0 shares authorized; none issued</w:t>
            </w:r>
          </w:p>
        </w:tc>
        <w:tc>
          <w:tcPr>
            <w:tcW w:w="2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4"/>
                <w:szCs w:val="14"/>
                <w:color w:val="auto"/>
              </w:rPr>
              <w:t>Common stock, $0.01 par value per share; 500.0 shares authorized; 55.0 and 54.9 issued, respectively</w:t>
            </w:r>
          </w:p>
        </w:tc>
        <w:tc>
          <w:tcPr>
            <w:tcW w:w="28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4"/>
                <w:szCs w:val="14"/>
                <w:color w:val="auto"/>
              </w:rPr>
              <w:t>Paid-in capital</w:t>
            </w:r>
          </w:p>
        </w:tc>
        <w:tc>
          <w:tcPr>
            <w:tcW w:w="28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1,178.4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1,164.7</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4"/>
                <w:szCs w:val="14"/>
                <w:color w:val="auto"/>
              </w:rPr>
              <w:t>Retained earnings</w:t>
            </w:r>
          </w:p>
        </w:tc>
        <w:tc>
          <w:tcPr>
            <w:tcW w:w="28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4,626.4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4,285.8</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204"/>
        </w:trPr>
        <w:tc>
          <w:tcPr>
            <w:tcW w:w="7620" w:type="dxa"/>
            <w:vAlign w:val="bottom"/>
          </w:tcPr>
          <w:p>
            <w:pPr>
              <w:ind w:left="120"/>
              <w:spacing w:after="0"/>
              <w:rPr>
                <w:sz w:val="20"/>
                <w:szCs w:val="20"/>
                <w:color w:val="auto"/>
              </w:rPr>
            </w:pPr>
            <w:r>
              <w:rPr>
                <w:rFonts w:ascii="Arial" w:cs="Arial" w:eastAsia="Arial" w:hAnsi="Arial"/>
                <w:sz w:val="14"/>
                <w:szCs w:val="14"/>
                <w:color w:val="auto"/>
              </w:rPr>
              <w:t>Treasury stock, at cost, of 24.9 and 24.2 shares, respectively</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(2,882.3)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(2,649.6)</w:t>
            </w:r>
          </w:p>
        </w:tc>
        <w:tc>
          <w:tcPr>
            <w:tcW w:w="0" w:type="dxa"/>
            <w:vAlign w:val="bottom"/>
          </w:tcPr>
          <w:p>
            <w:pPr>
              <w:spacing w:after="0"/>
              <w:rPr>
                <w:sz w:val="1"/>
                <w:szCs w:val="1"/>
                <w:color w:val="auto"/>
              </w:rPr>
            </w:pPr>
          </w:p>
        </w:tc>
      </w:tr>
      <w:tr>
        <w:trPr>
          <w:trHeight w:val="196"/>
        </w:trPr>
        <w:tc>
          <w:tcPr>
            <w:tcW w:w="7620" w:type="dxa"/>
            <w:vAlign w:val="bottom"/>
          </w:tcPr>
          <w:p>
            <w:pPr>
              <w:ind w:left="20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2,851.5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2,724.9</w:t>
            </w:r>
          </w:p>
        </w:tc>
        <w:tc>
          <w:tcPr>
            <w:tcW w:w="0" w:type="dxa"/>
            <w:vAlign w:val="bottom"/>
          </w:tcPr>
          <w:p>
            <w:pPr>
              <w:spacing w:after="0"/>
              <w:rPr>
                <w:sz w:val="1"/>
                <w:szCs w:val="1"/>
                <w:color w:val="auto"/>
              </w:rPr>
            </w:pPr>
          </w:p>
        </w:tc>
      </w:tr>
      <w:tr>
        <w:trPr>
          <w:trHeight w:val="196"/>
        </w:trPr>
        <w:tc>
          <w:tcPr>
            <w:tcW w:w="7620" w:type="dxa"/>
            <w:vAlign w:val="bottom"/>
          </w:tcPr>
          <w:p>
            <w:pPr>
              <w:ind w:left="34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4,635.4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4,755.2</w:t>
            </w:r>
          </w:p>
        </w:tc>
        <w:tc>
          <w:tcPr>
            <w:tcW w:w="0" w:type="dxa"/>
            <w:vAlign w:val="bottom"/>
          </w:tcPr>
          <w:p>
            <w:pPr>
              <w:spacing w:after="0"/>
              <w:rPr>
                <w:sz w:val="1"/>
                <w:szCs w:val="1"/>
                <w:color w:val="auto"/>
              </w:rPr>
            </w:pPr>
          </w:p>
        </w:tc>
      </w:tr>
      <w:tr>
        <w:trPr>
          <w:trHeight w:val="27"/>
        </w:trPr>
        <w:tc>
          <w:tcPr>
            <w:tcW w:w="7620" w:type="dxa"/>
            <w:vAlign w:val="bottom"/>
            <w:vMerge w:val="restart"/>
          </w:tcPr>
          <w:p>
            <w:pPr>
              <w:jc w:val="center"/>
              <w:ind w:left="3486"/>
              <w:spacing w:after="0"/>
              <w:rPr>
                <w:sz w:val="20"/>
                <w:szCs w:val="20"/>
                <w:color w:val="auto"/>
              </w:rPr>
            </w:pPr>
            <w:r>
              <w:rPr>
                <w:rFonts w:ascii="Arial" w:cs="Arial" w:eastAsia="Arial" w:hAnsi="Arial"/>
                <w:sz w:val="18"/>
                <w:szCs w:val="18"/>
                <w:color w:val="auto"/>
                <w:w w:val="99"/>
              </w:rPr>
              <w:t>5</w:t>
            </w: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02"/>
        </w:trPr>
        <w:tc>
          <w:tcPr>
            <w:tcW w:w="7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269" w:right="359" w:bottom="1440" w:gutter="0" w:footer="0" w:header="0"/>
        </w:sectPr>
      </w:pPr>
    </w:p>
    <w:bookmarkStart w:id="8" w:name="page9"/>
    <w:bookmarkEnd w:id="8"/>
    <w:p>
      <w:pPr>
        <w:spacing w:after="0" w:line="1" w:lineRule="exact"/>
        <w:rPr>
          <w:sz w:val="20"/>
          <w:szCs w:val="20"/>
          <w:color w:val="auto"/>
        </w:rPr>
      </w:pPr>
    </w:p>
    <w:tbl>
      <w:tblPr>
        <w:tblLayout w:type="fixed"/>
        <w:tblInd w:w="152"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Press Release</w:t>
            </w:r>
          </w:p>
        </w:tc>
        <w:tc>
          <w:tcPr>
            <w:tcW w:w="0" w:type="dxa"/>
            <w:vAlign w:val="bottom"/>
          </w:tcPr>
          <w:p>
            <w:pPr>
              <w:spacing w:after="0"/>
              <w:rPr>
                <w:sz w:val="1"/>
                <w:szCs w:val="1"/>
                <w:color w:val="auto"/>
              </w:rPr>
            </w:pPr>
          </w:p>
        </w:tc>
      </w:tr>
      <w:tr>
        <w:trPr>
          <w:trHeight w:val="239"/>
        </w:trPr>
        <w:tc>
          <w:tcPr>
            <w:tcW w:w="3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774"/>
        </w:trPr>
        <w:tc>
          <w:tcPr>
            <w:tcW w:w="3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ACUITY INC.</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420" w:type="dxa"/>
            <w:vAlign w:val="bottom"/>
            <w:gridSpan w:val="11"/>
          </w:tcPr>
          <w:p>
            <w:pPr>
              <w:jc w:val="center"/>
              <w:ind w:left="1447"/>
              <w:spacing w:after="0"/>
              <w:rPr>
                <w:sz w:val="20"/>
                <w:szCs w:val="20"/>
                <w:color w:val="auto"/>
              </w:rPr>
            </w:pPr>
            <w:r>
              <w:rPr>
                <w:rFonts w:ascii="Arial" w:cs="Arial" w:eastAsia="Arial" w:hAnsi="Arial"/>
                <w:sz w:val="18"/>
                <w:szCs w:val="18"/>
                <w:b w:val="1"/>
                <w:bCs w:val="1"/>
                <w:color w:val="auto"/>
                <w:w w:val="99"/>
              </w:rPr>
              <w:t>CONDENSED CONSOLIDATED STATEMENTS OF INCOME (Unaudited)</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3900" w:type="dxa"/>
            <w:vAlign w:val="bottom"/>
            <w:gridSpan w:val="7"/>
          </w:tcPr>
          <w:p>
            <w:pPr>
              <w:jc w:val="center"/>
              <w:ind w:right="740"/>
              <w:spacing w:after="0"/>
              <w:rPr>
                <w:sz w:val="20"/>
                <w:szCs w:val="20"/>
                <w:color w:val="auto"/>
              </w:rPr>
            </w:pPr>
            <w:r>
              <w:rPr>
                <w:rFonts w:ascii="Arial" w:cs="Arial" w:eastAsia="Arial" w:hAnsi="Arial"/>
                <w:sz w:val="18"/>
                <w:szCs w:val="18"/>
                <w:i w:val="1"/>
                <w:iCs w:val="1"/>
                <w:color w:val="auto"/>
                <w:w w:val="99"/>
              </w:rPr>
              <w:t>(In millions, except per-share data)</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7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826"/>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b w:val="1"/>
                <w:bCs w:val="1"/>
                <w:color w:val="auto"/>
              </w:rPr>
              <w:t>May 31, 2026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May 31, 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May 31, 2026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May 31, 2025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20"/>
                <w:szCs w:val="20"/>
                <w:color w:val="auto"/>
              </w:rPr>
            </w:pPr>
            <w:r>
              <w:rPr>
                <w:rFonts w:ascii="Arial" w:cs="Arial" w:eastAsia="Arial" w:hAnsi="Arial"/>
                <w:sz w:val="14"/>
                <w:szCs w:val="14"/>
                <w:color w:val="auto"/>
              </w:rPr>
              <w:t>Net sales</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1,198.0</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1,178.6</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3,397.4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3,136.5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80" w:type="dxa"/>
            <w:vAlign w:val="bottom"/>
          </w:tcPr>
          <w:p>
            <w:pPr>
              <w:spacing w:after="0"/>
              <w:rPr>
                <w:sz w:val="20"/>
                <w:szCs w:val="20"/>
                <w:color w:val="auto"/>
              </w:rPr>
            </w:pPr>
            <w:r>
              <w:rPr>
                <w:rFonts w:ascii="Arial" w:cs="Arial" w:eastAsia="Arial" w:hAnsi="Arial"/>
                <w:sz w:val="14"/>
                <w:szCs w:val="14"/>
                <w:color w:val="auto"/>
              </w:rPr>
              <w:t>Cost of products sold</w:t>
            </w:r>
          </w:p>
        </w:tc>
        <w:tc>
          <w:tcPr>
            <w:tcW w:w="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1,716.8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80" w:type="dxa"/>
            <w:vAlign w:val="bottom"/>
          </w:tcPr>
          <w:p>
            <w:pPr>
              <w:spacing w:after="0"/>
              <w:rPr>
                <w:sz w:val="20"/>
                <w:szCs w:val="20"/>
                <w:color w:val="auto"/>
              </w:rPr>
            </w:pPr>
            <w:r>
              <w:rPr>
                <w:rFonts w:ascii="Arial" w:cs="Arial" w:eastAsia="Arial" w:hAnsi="Arial"/>
                <w:sz w:val="14"/>
                <w:szCs w:val="14"/>
                <w:color w:val="auto"/>
              </w:rPr>
              <w:t>Gross profit</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606.4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570.2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1,680.6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1,487.5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4"/>
                <w:szCs w:val="14"/>
                <w:color w:val="auto"/>
              </w:rPr>
              <w:t>Selling, distribution, and administrative expenses</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413.1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400.7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1,188.0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1,074.5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80" w:type="dxa"/>
            <w:vAlign w:val="bottom"/>
          </w:tcPr>
          <w:p>
            <w:pPr>
              <w:spacing w:after="0"/>
              <w:rPr>
                <w:sz w:val="20"/>
                <w:szCs w:val="20"/>
                <w:color w:val="auto"/>
              </w:rPr>
            </w:pPr>
            <w:r>
              <w:rPr>
                <w:rFonts w:ascii="Arial" w:cs="Arial" w:eastAsia="Arial" w:hAnsi="Arial"/>
                <w:sz w:val="14"/>
                <w:szCs w:val="14"/>
                <w:color w:val="auto"/>
              </w:rPr>
              <w:t>Special charges</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80" w:type="dxa"/>
            <w:vAlign w:val="bottom"/>
          </w:tcPr>
          <w:p>
            <w:pPr>
              <w:spacing w:after="0"/>
              <w:rPr>
                <w:sz w:val="20"/>
                <w:szCs w:val="20"/>
                <w:color w:val="auto"/>
              </w:rPr>
            </w:pPr>
            <w:r>
              <w:rPr>
                <w:rFonts w:ascii="Arial" w:cs="Arial" w:eastAsia="Arial" w:hAnsi="Arial"/>
                <w:sz w:val="14"/>
                <w:szCs w:val="14"/>
                <w:color w:val="auto"/>
              </w:rPr>
              <w:t>Operating profit</w:t>
            </w:r>
          </w:p>
        </w:tc>
        <w:tc>
          <w:tcPr>
            <w:tcW w:w="6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193.3</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139.8</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486.7</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383.3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4"/>
                <w:szCs w:val="14"/>
                <w:color w:val="auto"/>
              </w:rPr>
              <w:t>Other expense (income):</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20"/>
              <w:spacing w:after="0"/>
              <w:rPr>
                <w:sz w:val="20"/>
                <w:szCs w:val="20"/>
                <w:color w:val="auto"/>
              </w:rPr>
            </w:pPr>
            <w:r>
              <w:rPr>
                <w:rFonts w:ascii="Arial" w:cs="Arial" w:eastAsia="Arial" w:hAnsi="Arial"/>
                <w:sz w:val="14"/>
                <w:szCs w:val="14"/>
                <w:color w:val="auto"/>
              </w:rPr>
              <w:t>Interest expense, net</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80" w:type="dxa"/>
            <w:vAlign w:val="bottom"/>
          </w:tcPr>
          <w:p>
            <w:pPr>
              <w:ind w:left="120"/>
              <w:spacing w:after="0"/>
              <w:rPr>
                <w:sz w:val="20"/>
                <w:szCs w:val="20"/>
                <w:color w:val="auto"/>
              </w:rPr>
            </w:pPr>
            <w:r>
              <w:rPr>
                <w:rFonts w:ascii="Arial" w:cs="Arial" w:eastAsia="Arial" w:hAnsi="Arial"/>
                <w:sz w:val="14"/>
                <w:szCs w:val="14"/>
                <w:color w:val="auto"/>
              </w:rPr>
              <w:t>Miscellaneous expense, net</w:t>
            </w:r>
          </w:p>
        </w:tc>
        <w:tc>
          <w:tcPr>
            <w:tcW w:w="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ind w:left="240"/>
              <w:spacing w:after="0"/>
              <w:rPr>
                <w:sz w:val="20"/>
                <w:szCs w:val="20"/>
                <w:color w:val="auto"/>
              </w:rPr>
            </w:pPr>
            <w:r>
              <w:rPr>
                <w:rFonts w:ascii="Arial" w:cs="Arial" w:eastAsia="Arial" w:hAnsi="Arial"/>
                <w:sz w:val="14"/>
                <w:szCs w:val="14"/>
                <w:color w:val="auto"/>
              </w:rPr>
              <w:t>Total other expense</w:t>
            </w:r>
          </w:p>
        </w:tc>
        <w:tc>
          <w:tcPr>
            <w:tcW w:w="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8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185.2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460.7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362.5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80" w:type="dxa"/>
            <w:vAlign w:val="bottom"/>
          </w:tcPr>
          <w:p>
            <w:pPr>
              <w:spacing w:after="0"/>
              <w:rPr>
                <w:sz w:val="20"/>
                <w:szCs w:val="20"/>
                <w:color w:val="auto"/>
              </w:rPr>
            </w:pPr>
            <w:r>
              <w:rPr>
                <w:rFonts w:ascii="Arial" w:cs="Arial" w:eastAsia="Arial" w:hAnsi="Arial"/>
                <w:sz w:val="14"/>
                <w:szCs w:val="14"/>
                <w:color w:val="auto"/>
              </w:rPr>
              <w:t>Income tax expense</w:t>
            </w:r>
          </w:p>
        </w:tc>
        <w:tc>
          <w:tcPr>
            <w:tcW w:w="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141.0</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98.4</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358.3</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282.6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880" w:type="dxa"/>
            <w:vAlign w:val="bottom"/>
            <w:vMerge w:val="restart"/>
          </w:tcPr>
          <w:p>
            <w:pPr>
              <w:spacing w:after="0"/>
              <w:rPr>
                <w:sz w:val="20"/>
                <w:szCs w:val="20"/>
                <w:color w:val="auto"/>
              </w:rPr>
            </w:pPr>
            <w:r>
              <w:rPr>
                <w:rFonts w:ascii="Arial" w:cs="Arial" w:eastAsia="Arial" w:hAnsi="Arial"/>
                <w:sz w:val="14"/>
                <w:szCs w:val="14"/>
                <w:color w:val="auto"/>
              </w:rPr>
              <w:t>Earnings per share</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6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43"/>
        </w:trPr>
        <w:tc>
          <w:tcPr>
            <w:tcW w:w="38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880" w:type="dxa"/>
            <w:vAlign w:val="bottom"/>
          </w:tcPr>
          <w:p>
            <w:pPr>
              <w:ind w:left="120"/>
              <w:spacing w:after="0"/>
              <w:rPr>
                <w:sz w:val="20"/>
                <w:szCs w:val="20"/>
                <w:color w:val="auto"/>
              </w:rPr>
            </w:pPr>
            <w:r>
              <w:rPr>
                <w:rFonts w:ascii="Arial" w:cs="Arial" w:eastAsia="Arial" w:hAnsi="Arial"/>
                <w:sz w:val="14"/>
                <w:szCs w:val="14"/>
                <w:color w:val="auto"/>
              </w:rPr>
              <w:t>Basic earnings per share</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11.74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9.14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880" w:type="dxa"/>
            <w:vAlign w:val="bottom"/>
            <w:vMerge w:val="restart"/>
          </w:tcPr>
          <w:p>
            <w:pPr>
              <w:ind w:left="120"/>
              <w:spacing w:after="0"/>
              <w:rPr>
                <w:sz w:val="20"/>
                <w:szCs w:val="20"/>
                <w:color w:val="auto"/>
              </w:rPr>
            </w:pPr>
            <w:r>
              <w:rPr>
                <w:rFonts w:ascii="Arial" w:cs="Arial" w:eastAsia="Arial" w:hAnsi="Arial"/>
                <w:sz w:val="14"/>
                <w:szCs w:val="14"/>
                <w:color w:val="auto"/>
              </w:rPr>
              <w:t>Basic weighted average number of shares outstanding</w:t>
            </w:r>
          </w:p>
        </w:tc>
        <w:tc>
          <w:tcPr>
            <w:tcW w:w="6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30.268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30.851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30.520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880" w:type="dxa"/>
            <w:vAlign w:val="bottom"/>
            <w:vMerge w:val="restart"/>
          </w:tcPr>
          <w:p>
            <w:pPr>
              <w:ind w:left="120"/>
              <w:spacing w:after="0"/>
              <w:rPr>
                <w:sz w:val="20"/>
                <w:szCs w:val="20"/>
                <w:color w:val="auto"/>
              </w:rPr>
            </w:pPr>
            <w:r>
              <w:rPr>
                <w:rFonts w:ascii="Arial" w:cs="Arial" w:eastAsia="Arial" w:hAnsi="Arial"/>
                <w:sz w:val="14"/>
                <w:szCs w:val="14"/>
                <w:color w:val="auto"/>
              </w:rPr>
              <w:t>Diluted earnings per share</w:t>
            </w:r>
          </w:p>
        </w:tc>
        <w:tc>
          <w:tcPr>
            <w:tcW w:w="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vMerge w:val="continue"/>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11.45</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8.92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880" w:type="dxa"/>
            <w:vAlign w:val="bottom"/>
            <w:vMerge w:val="restart"/>
          </w:tcPr>
          <w:p>
            <w:pPr>
              <w:ind w:left="120"/>
              <w:spacing w:after="0"/>
              <w:rPr>
                <w:sz w:val="20"/>
                <w:szCs w:val="20"/>
                <w:color w:val="auto"/>
              </w:rPr>
            </w:pPr>
            <w:r>
              <w:rPr>
                <w:rFonts w:ascii="Arial" w:cs="Arial" w:eastAsia="Arial" w:hAnsi="Arial"/>
                <w:sz w:val="14"/>
                <w:szCs w:val="14"/>
                <w:color w:val="auto"/>
              </w:rPr>
              <w:t>Diluted weighted average number of shares outstanding</w:t>
            </w:r>
          </w:p>
        </w:tc>
        <w:tc>
          <w:tcPr>
            <w:tcW w:w="6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30.954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31.565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31.278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31.673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880" w:type="dxa"/>
            <w:vAlign w:val="bottom"/>
            <w:vMerge w:val="restart"/>
          </w:tcPr>
          <w:p>
            <w:pPr>
              <w:spacing w:after="0"/>
              <w:rPr>
                <w:sz w:val="20"/>
                <w:szCs w:val="20"/>
                <w:color w:val="auto"/>
              </w:rPr>
            </w:pPr>
            <w:r>
              <w:rPr>
                <w:rFonts w:ascii="Arial" w:cs="Arial" w:eastAsia="Arial" w:hAnsi="Arial"/>
                <w:sz w:val="14"/>
                <w:szCs w:val="14"/>
                <w:color w:val="auto"/>
              </w:rPr>
              <w:t>Dividends declared per share</w:t>
            </w:r>
          </w:p>
        </w:tc>
        <w:tc>
          <w:tcPr>
            <w:tcW w:w="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880" w:type="dxa"/>
            <w:vAlign w:val="bottom"/>
            <w:vMerge w:val="continue"/>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0.57</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0.49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52" w:hanging="152"/>
        <w:spacing w:after="0"/>
        <w:tabs>
          <w:tab w:leader="none" w:pos="152"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Earnings per share is calculated using unrounded numbers. Amounts in the table may not recalculate exactly due to rounding.</w:t>
      </w:r>
    </w:p>
    <w:p>
      <w:pPr>
        <w:spacing w:after="0" w:line="200" w:lineRule="exact"/>
        <w:rPr>
          <w:sz w:val="20"/>
          <w:szCs w:val="20"/>
          <w:color w:val="auto"/>
        </w:rPr>
      </w:pPr>
    </w:p>
    <w:p>
      <w:pPr>
        <w:spacing w:after="0" w:line="3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12"/>
          </w:cols>
          <w:pgMar w:left="328" w:top="269"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Press Release</w:t>
            </w:r>
          </w:p>
        </w:tc>
        <w:tc>
          <w:tcPr>
            <w:tcW w:w="0" w:type="dxa"/>
            <w:vAlign w:val="bottom"/>
          </w:tcPr>
          <w:p>
            <w:pPr>
              <w:spacing w:after="0"/>
              <w:rPr>
                <w:sz w:val="1"/>
                <w:szCs w:val="1"/>
                <w:color w:val="auto"/>
              </w:rPr>
            </w:pPr>
          </w:p>
        </w:tc>
      </w:tr>
      <w:tr>
        <w:trPr>
          <w:trHeight w:val="239"/>
        </w:trPr>
        <w:tc>
          <w:tcPr>
            <w:tcW w:w="7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760"/>
        </w:trPr>
        <w:tc>
          <w:tcPr>
            <w:tcW w:w="7100" w:type="dxa"/>
            <w:vAlign w:val="bottom"/>
          </w:tcPr>
          <w:p>
            <w:pPr>
              <w:jc w:val="center"/>
              <w:ind w:left="4018"/>
              <w:spacing w:after="0"/>
              <w:rPr>
                <w:sz w:val="20"/>
                <w:szCs w:val="20"/>
                <w:color w:val="auto"/>
              </w:rPr>
            </w:pPr>
            <w:r>
              <w:rPr>
                <w:rFonts w:ascii="Arial" w:cs="Arial" w:eastAsia="Arial" w:hAnsi="Arial"/>
                <w:sz w:val="18"/>
                <w:szCs w:val="18"/>
                <w:b w:val="1"/>
                <w:bCs w:val="1"/>
                <w:color w:val="auto"/>
                <w:w w:val="99"/>
              </w:rPr>
              <w:t>ACUITY INC.</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200" w:type="dxa"/>
            <w:vAlign w:val="bottom"/>
            <w:gridSpan w:val="4"/>
          </w:tcPr>
          <w:p>
            <w:pPr>
              <w:jc w:val="center"/>
              <w:ind w:left="1918"/>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00" w:type="dxa"/>
            <w:vAlign w:val="bottom"/>
          </w:tcPr>
          <w:p>
            <w:pPr>
              <w:jc w:val="center"/>
              <w:ind w:left="4018"/>
              <w:spacing w:after="0"/>
              <w:rPr>
                <w:sz w:val="20"/>
                <w:szCs w:val="20"/>
                <w:color w:val="auto"/>
              </w:rPr>
            </w:pPr>
            <w:r>
              <w:rPr>
                <w:rFonts w:ascii="Arial" w:cs="Arial" w:eastAsia="Arial" w:hAnsi="Arial"/>
                <w:sz w:val="18"/>
                <w:szCs w:val="18"/>
                <w:i w:val="1"/>
                <w:iCs w:val="1"/>
                <w:color w:val="auto"/>
                <w:w w:val="99"/>
              </w:rPr>
              <w:t>(In millions)</w:t>
            </w: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7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4"/>
          </w:tcPr>
          <w:p>
            <w:pPr>
              <w:jc w:val="right"/>
              <w:ind w:right="121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710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Pr>
          <w:p>
            <w:pPr>
              <w:spacing w:after="0"/>
              <w:rPr>
                <w:sz w:val="18"/>
                <w:szCs w:val="18"/>
                <w:color w:val="auto"/>
              </w:rPr>
            </w:pPr>
          </w:p>
        </w:tc>
        <w:tc>
          <w:tcPr>
            <w:tcW w:w="180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31, 2026</w:t>
            </w:r>
          </w:p>
        </w:tc>
        <w:tc>
          <w:tcPr>
            <w:tcW w:w="320" w:type="dxa"/>
            <w:vAlign w:val="bottom"/>
          </w:tcPr>
          <w:p>
            <w:pPr>
              <w:spacing w:after="0"/>
              <w:rPr>
                <w:sz w:val="18"/>
                <w:szCs w:val="18"/>
                <w:color w:val="auto"/>
              </w:rPr>
            </w:pPr>
          </w:p>
        </w:tc>
        <w:tc>
          <w:tcPr>
            <w:tcW w:w="1700" w:type="dxa"/>
            <w:vAlign w:val="bottom"/>
          </w:tcPr>
          <w:p>
            <w:pPr>
              <w:jc w:val="right"/>
              <w:ind w:right="438"/>
              <w:spacing w:after="0"/>
              <w:rPr>
                <w:sz w:val="20"/>
                <w:szCs w:val="20"/>
                <w:color w:val="auto"/>
              </w:rPr>
            </w:pPr>
            <w:r>
              <w:rPr>
                <w:rFonts w:ascii="Arial" w:cs="Arial" w:eastAsia="Arial" w:hAnsi="Arial"/>
                <w:sz w:val="16"/>
                <w:szCs w:val="16"/>
                <w:b w:val="1"/>
                <w:bCs w:val="1"/>
                <w:color w:val="auto"/>
              </w:rPr>
              <w:t>May 31, 2025</w:t>
            </w:r>
          </w:p>
        </w:tc>
        <w:tc>
          <w:tcPr>
            <w:tcW w:w="0" w:type="dxa"/>
            <w:vAlign w:val="bottom"/>
          </w:tcPr>
          <w:p>
            <w:pPr>
              <w:spacing w:after="0"/>
              <w:rPr>
                <w:sz w:val="1"/>
                <w:szCs w:val="1"/>
                <w:color w:val="auto"/>
              </w:rPr>
            </w:pPr>
          </w:p>
        </w:tc>
      </w:tr>
      <w:tr>
        <w:trPr>
          <w:trHeight w:val="194"/>
        </w:trPr>
        <w:tc>
          <w:tcPr>
            <w:tcW w:w="710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358.3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282.6</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6"/>
                <w:szCs w:val="16"/>
                <w:color w:val="auto"/>
              </w:rPr>
              <w:t>Adjustments to reconcile net income to cash flows from operating activities:</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6"/>
                <w:szCs w:val="16"/>
                <w:color w:val="auto"/>
              </w:rPr>
              <w:t>Share-based payment expense</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6"/>
                <w:szCs w:val="16"/>
                <w:color w:val="auto"/>
              </w:rPr>
              <w:t>Asset impairments</w:t>
            </w:r>
          </w:p>
        </w:tc>
        <w:tc>
          <w:tcPr>
            <w:tcW w:w="30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6"/>
        </w:trPr>
        <w:tc>
          <w:tcPr>
            <w:tcW w:w="7100" w:type="dxa"/>
            <w:vAlign w:val="bottom"/>
          </w:tcPr>
          <w:p>
            <w:pPr>
              <w:ind w:left="100"/>
              <w:spacing w:after="0"/>
              <w:rPr>
                <w:sz w:val="20"/>
                <w:szCs w:val="20"/>
                <w:color w:val="auto"/>
              </w:rPr>
            </w:pPr>
            <w:r>
              <w:rPr>
                <w:rFonts w:ascii="Arial" w:cs="Arial" w:eastAsia="Arial" w:hAnsi="Arial"/>
                <w:sz w:val="16"/>
                <w:szCs w:val="16"/>
                <w:color w:val="auto"/>
              </w:rPr>
              <w:t>Changes in operating assets and liabilities, net of acquisitions</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6"/>
                <w:szCs w:val="16"/>
                <w:color w:val="auto"/>
              </w:rPr>
              <w:t>Other operating activities</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10"/>
        </w:trPr>
        <w:tc>
          <w:tcPr>
            <w:tcW w:w="710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398.9</w:t>
            </w:r>
          </w:p>
        </w:tc>
        <w:tc>
          <w:tcPr>
            <w:tcW w:w="0" w:type="dxa"/>
            <w:vAlign w:val="bottom"/>
          </w:tcPr>
          <w:p>
            <w:pPr>
              <w:spacing w:after="0"/>
              <w:rPr>
                <w:sz w:val="1"/>
                <w:szCs w:val="1"/>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6"/>
                <w:szCs w:val="16"/>
                <w:color w:val="auto"/>
              </w:rPr>
              <w:t>Acquisition of business, net of cash acquired</w:t>
            </w:r>
          </w:p>
        </w:tc>
        <w:tc>
          <w:tcPr>
            <w:tcW w:w="30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(1,189.4)</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6"/>
                <w:szCs w:val="16"/>
                <w:color w:val="auto"/>
              </w:rPr>
              <w:t>Other investing activities</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0"/>
        </w:trPr>
        <w:tc>
          <w:tcPr>
            <w:tcW w:w="7100" w:type="dxa"/>
            <w:vAlign w:val="bottom"/>
          </w:tcPr>
          <w:p>
            <w:pPr>
              <w:ind w:left="340"/>
              <w:spacing w:after="0"/>
              <w:rPr>
                <w:sz w:val="20"/>
                <w:szCs w:val="20"/>
                <w:color w:val="auto"/>
              </w:rPr>
            </w:pPr>
            <w:r>
              <w:rPr>
                <w:rFonts w:ascii="Arial" w:cs="Arial" w:eastAsia="Arial" w:hAnsi="Arial"/>
                <w:sz w:val="16"/>
                <w:szCs w:val="16"/>
                <w:color w:val="auto"/>
              </w:rPr>
              <w:t>Net cash used for investing activities</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(1,249.3)</w:t>
            </w:r>
          </w:p>
        </w:tc>
        <w:tc>
          <w:tcPr>
            <w:tcW w:w="0" w:type="dxa"/>
            <w:vAlign w:val="bottom"/>
          </w:tcPr>
          <w:p>
            <w:pPr>
              <w:spacing w:after="0"/>
              <w:rPr>
                <w:sz w:val="1"/>
                <w:szCs w:val="1"/>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6"/>
                <w:szCs w:val="16"/>
                <w:color w:val="auto"/>
              </w:rPr>
              <w:t>Borrowings on credit agreement</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6"/>
                <w:szCs w:val="16"/>
                <w:color w:val="auto"/>
              </w:rPr>
              <w:t>Borrowings from term loan</w:t>
            </w:r>
          </w:p>
        </w:tc>
        <w:tc>
          <w:tcPr>
            <w:tcW w:w="30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6"/>
                <w:szCs w:val="16"/>
                <w:color w:val="auto"/>
              </w:rPr>
              <w:t>Repayments of term loan borrowings</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6"/>
                <w:szCs w:val="16"/>
                <w:color w:val="auto"/>
              </w:rPr>
              <w:t>Repurchases of common stock</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6"/>
                <w:szCs w:val="16"/>
                <w:color w:val="auto"/>
              </w:rPr>
              <w:t>Proceeds from stock option exercises and other</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6"/>
                <w:szCs w:val="16"/>
                <w:color w:val="auto"/>
              </w:rPr>
              <w:t>Payments of taxes withheld on net settlement of equity awards</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6"/>
                <w:szCs w:val="16"/>
                <w:color w:val="auto"/>
              </w:rPr>
              <w:t>Other financing activities</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0"/>
        </w:trPr>
        <w:tc>
          <w:tcPr>
            <w:tcW w:w="7100" w:type="dxa"/>
            <w:vAlign w:val="bottom"/>
          </w:tcPr>
          <w:p>
            <w:pPr>
              <w:ind w:left="340"/>
              <w:spacing w:after="0"/>
              <w:rPr>
                <w:sz w:val="20"/>
                <w:szCs w:val="20"/>
                <w:color w:val="auto"/>
              </w:rPr>
            </w:pPr>
            <w:r>
              <w:rPr>
                <w:rFonts w:ascii="Arial" w:cs="Arial" w:eastAsia="Arial" w:hAnsi="Arial"/>
                <w:sz w:val="16"/>
                <w:szCs w:val="16"/>
                <w:color w:val="auto"/>
              </w:rPr>
              <w:t>Net cash (used for) provided by financing activities</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377.6</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(474.0)</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845.8</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40" w:top="269" w:right="339" w:bottom="1440" w:gutter="0" w:footer="0" w:header="0"/>
        </w:sectPr>
      </w:pPr>
    </w:p>
    <w:bookmarkStart w:id="10" w:name="page11"/>
    <w:bookmarkEnd w:id="10"/>
    <w:p>
      <w:pPr>
        <w:jc w:val="right"/>
        <w:ind w:right="20"/>
        <w:spacing w:after="0"/>
        <w:rPr>
          <w:sz w:val="20"/>
          <w:szCs w:val="20"/>
          <w:color w:val="auto"/>
        </w:rPr>
      </w:pPr>
      <w:r>
        <w:rPr>
          <w:rFonts w:ascii="Arial" w:cs="Arial" w:eastAsia="Arial" w:hAnsi="Arial"/>
          <w:sz w:val="18"/>
          <w:szCs w:val="18"/>
          <w:color w:val="auto"/>
        </w:rPr>
        <w:t>Press Release</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Exhibit 99.1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DISAGGREGATED NET SALES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net sales by channel for the periods presented:</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31, 2026</w:t>
            </w:r>
          </w:p>
        </w:tc>
        <w:tc>
          <w:tcPr>
            <w:tcW w:w="240" w:type="dxa"/>
            <w:vAlign w:val="bottom"/>
          </w:tcPr>
          <w:p>
            <w:pPr>
              <w:spacing w:after="0"/>
              <w:rPr>
                <w:sz w:val="17"/>
                <w:szCs w:val="17"/>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31, 2025</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Increase (Decrease)</w:t>
            </w:r>
          </w:p>
        </w:tc>
        <w:tc>
          <w:tcPr>
            <w:tcW w:w="80" w:type="dxa"/>
            <w:vAlign w:val="bottom"/>
          </w:tcPr>
          <w:p>
            <w:pPr>
              <w:spacing w:after="0"/>
              <w:rPr>
                <w:sz w:val="17"/>
                <w:szCs w:val="17"/>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b w:val="1"/>
                <w:bCs w:val="1"/>
                <w:color w:val="auto"/>
              </w:rPr>
              <w:t>Percent Change</w:t>
            </w:r>
          </w:p>
        </w:tc>
        <w:tc>
          <w:tcPr>
            <w:tcW w:w="180" w:type="dxa"/>
            <w:vAlign w:val="bottom"/>
          </w:tcPr>
          <w:p>
            <w:pPr>
              <w:spacing w:after="0"/>
              <w:rPr>
                <w:sz w:val="17"/>
                <w:szCs w:val="17"/>
                <w:color w:val="auto"/>
              </w:rPr>
            </w:pPr>
          </w:p>
        </w:tc>
      </w:tr>
      <w:tr>
        <w:trPr>
          <w:trHeight w:val="177"/>
        </w:trPr>
        <w:tc>
          <w:tcPr>
            <w:tcW w:w="4380" w:type="dxa"/>
            <w:vAlign w:val="bottom"/>
          </w:tcPr>
          <w:p>
            <w:pPr>
              <w:spacing w:after="0"/>
              <w:rPr>
                <w:sz w:val="20"/>
                <w:szCs w:val="20"/>
                <w:color w:val="auto"/>
              </w:rPr>
            </w:pPr>
            <w:r>
              <w:rPr>
                <w:rFonts w:ascii="Arial" w:cs="Arial" w:eastAsia="Arial" w:hAnsi="Arial"/>
                <w:sz w:val="14"/>
                <w:szCs w:val="14"/>
                <w:color w:val="auto"/>
              </w:rPr>
              <w:t>Acuity Brands Lighting:</w:t>
            </w:r>
          </w:p>
        </w:tc>
        <w:tc>
          <w:tcPr>
            <w:tcW w:w="2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r>
      <w:tr>
        <w:trPr>
          <w:trHeight w:val="203"/>
        </w:trPr>
        <w:tc>
          <w:tcPr>
            <w:tcW w:w="4380" w:type="dxa"/>
            <w:vAlign w:val="bottom"/>
          </w:tcPr>
          <w:p>
            <w:pPr>
              <w:ind w:left="120"/>
              <w:spacing w:after="0"/>
              <w:rPr>
                <w:sz w:val="20"/>
                <w:szCs w:val="20"/>
                <w:color w:val="auto"/>
              </w:rPr>
            </w:pPr>
            <w:r>
              <w:rPr>
                <w:rFonts w:ascii="Arial" w:cs="Arial" w:eastAsia="Arial" w:hAnsi="Arial"/>
                <w:sz w:val="14"/>
                <w:szCs w:val="14"/>
                <w:color w:val="auto"/>
              </w:rPr>
              <w:t>Independent sales network</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690.5</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685.3</w:t>
            </w:r>
          </w:p>
        </w:tc>
        <w:tc>
          <w:tcPr>
            <w:tcW w:w="100" w:type="dxa"/>
            <w:vAlign w:val="bottom"/>
          </w:tcPr>
          <w:p>
            <w:pPr>
              <w:spacing w:after="0"/>
              <w:rPr>
                <w:sz w:val="17"/>
                <w:szCs w:val="17"/>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380" w:type="dxa"/>
            <w:vAlign w:val="bottom"/>
          </w:tcPr>
          <w:p>
            <w:pPr>
              <w:ind w:left="120"/>
              <w:spacing w:after="0"/>
              <w:rPr>
                <w:sz w:val="20"/>
                <w:szCs w:val="20"/>
                <w:color w:val="auto"/>
              </w:rPr>
            </w:pPr>
            <w:r>
              <w:rPr>
                <w:rFonts w:ascii="Arial" w:cs="Arial" w:eastAsia="Arial" w:hAnsi="Arial"/>
                <w:sz w:val="14"/>
                <w:szCs w:val="14"/>
                <w:color w:val="auto"/>
              </w:rPr>
              <w:t>Direct sales network</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73.4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(28.1)</w:t>
            </w:r>
          </w:p>
        </w:tc>
        <w:tc>
          <w:tcPr>
            <w:tcW w:w="1760" w:type="dxa"/>
            <w:vAlign w:val="bottom"/>
            <w:gridSpan w:val="3"/>
          </w:tcPr>
          <w:p>
            <w:pPr>
              <w:jc w:val="right"/>
              <w:spacing w:after="0"/>
              <w:rPr>
                <w:sz w:val="20"/>
                <w:szCs w:val="20"/>
                <w:color w:val="auto"/>
              </w:rPr>
            </w:pPr>
            <w:r>
              <w:rPr>
                <w:rFonts w:ascii="Arial" w:cs="Arial" w:eastAsia="Arial" w:hAnsi="Arial"/>
                <w:sz w:val="14"/>
                <w:szCs w:val="14"/>
                <w:color w:val="auto"/>
              </w:rPr>
              <w:t>(27.7) %</w:t>
            </w:r>
          </w:p>
        </w:tc>
      </w:tr>
      <w:tr>
        <w:trPr>
          <w:trHeight w:val="203"/>
        </w:trPr>
        <w:tc>
          <w:tcPr>
            <w:tcW w:w="4380" w:type="dxa"/>
            <w:vAlign w:val="bottom"/>
          </w:tcPr>
          <w:p>
            <w:pPr>
              <w:ind w:left="120"/>
              <w:spacing w:after="0"/>
              <w:rPr>
                <w:sz w:val="20"/>
                <w:szCs w:val="20"/>
                <w:color w:val="auto"/>
              </w:rPr>
            </w:pPr>
            <w:r>
              <w:rPr>
                <w:rFonts w:ascii="Arial" w:cs="Arial" w:eastAsia="Arial" w:hAnsi="Arial"/>
                <w:sz w:val="14"/>
                <w:szCs w:val="14"/>
                <w:color w:val="auto"/>
              </w:rPr>
              <w:t>Retail sales</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1760" w:type="dxa"/>
            <w:vAlign w:val="bottom"/>
            <w:gridSpan w:val="3"/>
          </w:tcPr>
          <w:p>
            <w:pPr>
              <w:jc w:val="right"/>
              <w:spacing w:after="0"/>
              <w:rPr>
                <w:sz w:val="20"/>
                <w:szCs w:val="20"/>
                <w:color w:val="auto"/>
              </w:rPr>
            </w:pPr>
            <w:r>
              <w:rPr>
                <w:rFonts w:ascii="Arial" w:cs="Arial" w:eastAsia="Arial" w:hAnsi="Arial"/>
                <w:sz w:val="14"/>
                <w:szCs w:val="14"/>
                <w:color w:val="auto"/>
              </w:rPr>
              <w:t>(2.4) %</w:t>
            </w:r>
          </w:p>
        </w:tc>
      </w:tr>
      <w:tr>
        <w:trPr>
          <w:trHeight w:val="203"/>
        </w:trPr>
        <w:tc>
          <w:tcPr>
            <w:tcW w:w="4380" w:type="dxa"/>
            <w:vAlign w:val="bottom"/>
          </w:tcPr>
          <w:p>
            <w:pPr>
              <w:ind w:left="120"/>
              <w:spacing w:after="0"/>
              <w:rPr>
                <w:sz w:val="20"/>
                <w:szCs w:val="20"/>
                <w:color w:val="auto"/>
              </w:rPr>
            </w:pPr>
            <w:r>
              <w:rPr>
                <w:rFonts w:ascii="Arial" w:cs="Arial" w:eastAsia="Arial" w:hAnsi="Arial"/>
                <w:sz w:val="14"/>
                <w:szCs w:val="14"/>
                <w:color w:val="auto"/>
              </w:rPr>
              <w:t>Corporate accounts</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10.8</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30.4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4380" w:type="dxa"/>
            <w:vAlign w:val="bottom"/>
          </w:tcPr>
          <w:p>
            <w:pPr>
              <w:ind w:left="120"/>
              <w:spacing w:after="0"/>
              <w:rPr>
                <w:sz w:val="20"/>
                <w:szCs w:val="20"/>
                <w:color w:val="auto"/>
              </w:rPr>
            </w:pPr>
            <w:r>
              <w:rPr>
                <w:rFonts w:ascii="Arial" w:cs="Arial" w:eastAsia="Arial" w:hAnsi="Arial"/>
                <w:sz w:val="14"/>
                <w:szCs w:val="14"/>
                <w:color w:val="auto"/>
              </w:rPr>
              <w:t>Original equipment manufacturer and other</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760" w:type="dxa"/>
            <w:vAlign w:val="bottom"/>
            <w:gridSpan w:val="3"/>
          </w:tcPr>
          <w:p>
            <w:pPr>
              <w:jc w:val="right"/>
              <w:spacing w:after="0"/>
              <w:rPr>
                <w:sz w:val="20"/>
                <w:szCs w:val="20"/>
                <w:color w:val="auto"/>
              </w:rPr>
            </w:pPr>
            <w:r>
              <w:rPr>
                <w:rFonts w:ascii="Arial" w:cs="Arial" w:eastAsia="Arial" w:hAnsi="Arial"/>
                <w:sz w:val="14"/>
                <w:szCs w:val="14"/>
                <w:color w:val="auto"/>
              </w:rPr>
              <w:t>(8.2) %</w:t>
            </w:r>
          </w:p>
        </w:tc>
      </w:tr>
      <w:tr>
        <w:trPr>
          <w:trHeight w:val="194"/>
        </w:trPr>
        <w:tc>
          <w:tcPr>
            <w:tcW w:w="4380" w:type="dxa"/>
            <w:vAlign w:val="bottom"/>
          </w:tcPr>
          <w:p>
            <w:pPr>
              <w:spacing w:after="0"/>
              <w:rPr>
                <w:sz w:val="20"/>
                <w:szCs w:val="20"/>
                <w:color w:val="auto"/>
              </w:rPr>
            </w:pPr>
            <w:r>
              <w:rPr>
                <w:rFonts w:ascii="Arial" w:cs="Arial" w:eastAsia="Arial" w:hAnsi="Arial"/>
                <w:sz w:val="14"/>
                <w:szCs w:val="14"/>
                <w:color w:val="auto"/>
              </w:rPr>
              <w:t>Total Acuity Brands Lighting</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905.2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923.2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(18.0)</w:t>
            </w:r>
          </w:p>
        </w:tc>
        <w:tc>
          <w:tcPr>
            <w:tcW w:w="1760" w:type="dxa"/>
            <w:vAlign w:val="bottom"/>
            <w:gridSpan w:val="3"/>
          </w:tcPr>
          <w:p>
            <w:pPr>
              <w:jc w:val="right"/>
              <w:spacing w:after="0"/>
              <w:rPr>
                <w:sz w:val="20"/>
                <w:szCs w:val="20"/>
                <w:color w:val="auto"/>
              </w:rPr>
            </w:pPr>
            <w:r>
              <w:rPr>
                <w:rFonts w:ascii="Arial" w:cs="Arial" w:eastAsia="Arial" w:hAnsi="Arial"/>
                <w:sz w:val="14"/>
                <w:szCs w:val="14"/>
                <w:color w:val="auto"/>
              </w:rPr>
              <w:t>(1.9) %</w:t>
            </w:r>
          </w:p>
        </w:tc>
      </w:tr>
      <w:tr>
        <w:trPr>
          <w:trHeight w:val="203"/>
        </w:trPr>
        <w:tc>
          <w:tcPr>
            <w:tcW w:w="4380" w:type="dxa"/>
            <w:vAlign w:val="bottom"/>
          </w:tcPr>
          <w:p>
            <w:pPr>
              <w:spacing w:after="0"/>
              <w:rPr>
                <w:sz w:val="20"/>
                <w:szCs w:val="20"/>
                <w:color w:val="auto"/>
              </w:rPr>
            </w:pPr>
            <w:r>
              <w:rPr>
                <w:rFonts w:ascii="Arial" w:cs="Arial" w:eastAsia="Arial" w:hAnsi="Arial"/>
                <w:sz w:val="14"/>
                <w:szCs w:val="14"/>
                <w:color w:val="auto"/>
              </w:rPr>
              <w:t>Acuity Intelligent Spaces</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264.1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39.4</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14.9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4380" w:type="dxa"/>
            <w:vAlign w:val="bottom"/>
          </w:tcPr>
          <w:p>
            <w:pPr>
              <w:spacing w:after="0"/>
              <w:rPr>
                <w:sz w:val="20"/>
                <w:szCs w:val="20"/>
                <w:color w:val="auto"/>
              </w:rPr>
            </w:pPr>
            <w:r>
              <w:rPr>
                <w:rFonts w:ascii="Arial" w:cs="Arial" w:eastAsia="Arial" w:hAnsi="Arial"/>
                <w:sz w:val="14"/>
                <w:szCs w:val="14"/>
                <w:color w:val="auto"/>
              </w:rPr>
              <w:t>Eliminations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23.0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4380" w:type="dxa"/>
            <w:vAlign w:val="bottom"/>
          </w:tcPr>
          <w:p>
            <w:pPr>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1,198.0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1,178.6</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19.4</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98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31, 2026</w:t>
            </w:r>
          </w:p>
        </w:tc>
        <w:tc>
          <w:tcPr>
            <w:tcW w:w="240" w:type="dxa"/>
            <w:vAlign w:val="bottom"/>
          </w:tcPr>
          <w:p>
            <w:pPr>
              <w:spacing w:after="0"/>
              <w:rPr>
                <w:sz w:val="17"/>
                <w:szCs w:val="17"/>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31, 2025</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Increase (Decrease)</w:t>
            </w:r>
          </w:p>
        </w:tc>
        <w:tc>
          <w:tcPr>
            <w:tcW w:w="80" w:type="dxa"/>
            <w:vAlign w:val="bottom"/>
          </w:tcPr>
          <w:p>
            <w:pPr>
              <w:spacing w:after="0"/>
              <w:rPr>
                <w:sz w:val="17"/>
                <w:szCs w:val="17"/>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b w:val="1"/>
                <w:bCs w:val="1"/>
                <w:color w:val="auto"/>
              </w:rPr>
              <w:t>Percent Change</w:t>
            </w:r>
          </w:p>
        </w:tc>
        <w:tc>
          <w:tcPr>
            <w:tcW w:w="180" w:type="dxa"/>
            <w:vAlign w:val="bottom"/>
          </w:tcPr>
          <w:p>
            <w:pPr>
              <w:spacing w:after="0"/>
              <w:rPr>
                <w:sz w:val="17"/>
                <w:szCs w:val="17"/>
                <w:color w:val="auto"/>
              </w:rPr>
            </w:pPr>
          </w:p>
        </w:tc>
      </w:tr>
      <w:tr>
        <w:trPr>
          <w:trHeight w:val="177"/>
        </w:trPr>
        <w:tc>
          <w:tcPr>
            <w:tcW w:w="4380" w:type="dxa"/>
            <w:vAlign w:val="bottom"/>
          </w:tcPr>
          <w:p>
            <w:pPr>
              <w:spacing w:after="0"/>
              <w:rPr>
                <w:sz w:val="20"/>
                <w:szCs w:val="20"/>
                <w:color w:val="auto"/>
              </w:rPr>
            </w:pPr>
            <w:r>
              <w:rPr>
                <w:rFonts w:ascii="Arial" w:cs="Arial" w:eastAsia="Arial" w:hAnsi="Arial"/>
                <w:sz w:val="14"/>
                <w:szCs w:val="14"/>
                <w:color w:val="auto"/>
              </w:rPr>
              <w:t>Acuity Brands Lighting:</w:t>
            </w:r>
          </w:p>
        </w:tc>
        <w:tc>
          <w:tcPr>
            <w:tcW w:w="2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r>
      <w:tr>
        <w:trPr>
          <w:trHeight w:val="203"/>
        </w:trPr>
        <w:tc>
          <w:tcPr>
            <w:tcW w:w="4380" w:type="dxa"/>
            <w:vAlign w:val="bottom"/>
          </w:tcPr>
          <w:p>
            <w:pPr>
              <w:ind w:left="120"/>
              <w:spacing w:after="0"/>
              <w:rPr>
                <w:sz w:val="20"/>
                <w:szCs w:val="20"/>
                <w:color w:val="auto"/>
              </w:rPr>
            </w:pPr>
            <w:r>
              <w:rPr>
                <w:rFonts w:ascii="Arial" w:cs="Arial" w:eastAsia="Arial" w:hAnsi="Arial"/>
                <w:sz w:val="14"/>
                <w:szCs w:val="14"/>
                <w:color w:val="auto"/>
              </w:rPr>
              <w:t>Independent sales network</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1,973.5</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1,944.4</w:t>
            </w:r>
          </w:p>
        </w:tc>
        <w:tc>
          <w:tcPr>
            <w:tcW w:w="100" w:type="dxa"/>
            <w:vAlign w:val="bottom"/>
          </w:tcPr>
          <w:p>
            <w:pPr>
              <w:spacing w:after="0"/>
              <w:rPr>
                <w:sz w:val="17"/>
                <w:szCs w:val="17"/>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29.1</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380" w:type="dxa"/>
            <w:vAlign w:val="bottom"/>
          </w:tcPr>
          <w:p>
            <w:pPr>
              <w:ind w:left="120"/>
              <w:spacing w:after="0"/>
              <w:rPr>
                <w:sz w:val="20"/>
                <w:szCs w:val="20"/>
                <w:color w:val="auto"/>
              </w:rPr>
            </w:pPr>
            <w:r>
              <w:rPr>
                <w:rFonts w:ascii="Arial" w:cs="Arial" w:eastAsia="Arial" w:hAnsi="Arial"/>
                <w:sz w:val="14"/>
                <w:szCs w:val="14"/>
                <w:color w:val="auto"/>
              </w:rPr>
              <w:t>Direct sales network</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234.4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306.1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(71.7)</w:t>
            </w:r>
          </w:p>
        </w:tc>
        <w:tc>
          <w:tcPr>
            <w:tcW w:w="1760" w:type="dxa"/>
            <w:vAlign w:val="bottom"/>
            <w:gridSpan w:val="3"/>
          </w:tcPr>
          <w:p>
            <w:pPr>
              <w:jc w:val="right"/>
              <w:spacing w:after="0"/>
              <w:rPr>
                <w:sz w:val="20"/>
                <w:szCs w:val="20"/>
                <w:color w:val="auto"/>
              </w:rPr>
            </w:pPr>
            <w:r>
              <w:rPr>
                <w:rFonts w:ascii="Arial" w:cs="Arial" w:eastAsia="Arial" w:hAnsi="Arial"/>
                <w:sz w:val="14"/>
                <w:szCs w:val="14"/>
                <w:color w:val="auto"/>
              </w:rPr>
              <w:t>(23.4) %</w:t>
            </w:r>
          </w:p>
        </w:tc>
      </w:tr>
      <w:tr>
        <w:trPr>
          <w:trHeight w:val="203"/>
        </w:trPr>
        <w:tc>
          <w:tcPr>
            <w:tcW w:w="4380" w:type="dxa"/>
            <w:vAlign w:val="bottom"/>
          </w:tcPr>
          <w:p>
            <w:pPr>
              <w:ind w:left="120"/>
              <w:spacing w:after="0"/>
              <w:rPr>
                <w:sz w:val="20"/>
                <w:szCs w:val="20"/>
                <w:color w:val="auto"/>
              </w:rPr>
            </w:pPr>
            <w:r>
              <w:rPr>
                <w:rFonts w:ascii="Arial" w:cs="Arial" w:eastAsia="Arial" w:hAnsi="Arial"/>
                <w:sz w:val="14"/>
                <w:szCs w:val="14"/>
                <w:color w:val="auto"/>
              </w:rPr>
              <w:t>Retail sales</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127.5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127.3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380" w:type="dxa"/>
            <w:vAlign w:val="bottom"/>
          </w:tcPr>
          <w:p>
            <w:pPr>
              <w:ind w:left="120"/>
              <w:spacing w:after="0"/>
              <w:rPr>
                <w:sz w:val="20"/>
                <w:szCs w:val="20"/>
                <w:color w:val="auto"/>
              </w:rPr>
            </w:pPr>
            <w:r>
              <w:rPr>
                <w:rFonts w:ascii="Arial" w:cs="Arial" w:eastAsia="Arial" w:hAnsi="Arial"/>
                <w:sz w:val="14"/>
                <w:szCs w:val="14"/>
                <w:color w:val="auto"/>
              </w:rPr>
              <w:t>Corporate accounts</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126.9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23.1</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4380" w:type="dxa"/>
            <w:vAlign w:val="bottom"/>
          </w:tcPr>
          <w:p>
            <w:pPr>
              <w:ind w:left="120"/>
              <w:spacing w:after="0"/>
              <w:rPr>
                <w:sz w:val="20"/>
                <w:szCs w:val="20"/>
                <w:color w:val="auto"/>
              </w:rPr>
            </w:pPr>
            <w:r>
              <w:rPr>
                <w:rFonts w:ascii="Arial" w:cs="Arial" w:eastAsia="Arial" w:hAnsi="Arial"/>
                <w:sz w:val="14"/>
                <w:szCs w:val="14"/>
                <w:color w:val="auto"/>
              </w:rPr>
              <w:t>Original equipment manufacturer and other</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155.4</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168.2</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760" w:type="dxa"/>
            <w:vAlign w:val="bottom"/>
            <w:gridSpan w:val="3"/>
          </w:tcPr>
          <w:p>
            <w:pPr>
              <w:jc w:val="right"/>
              <w:spacing w:after="0"/>
              <w:rPr>
                <w:sz w:val="20"/>
                <w:szCs w:val="20"/>
                <w:color w:val="auto"/>
              </w:rPr>
            </w:pPr>
            <w:r>
              <w:rPr>
                <w:rFonts w:ascii="Arial" w:cs="Arial" w:eastAsia="Arial" w:hAnsi="Arial"/>
                <w:sz w:val="14"/>
                <w:szCs w:val="14"/>
                <w:color w:val="auto"/>
              </w:rPr>
              <w:t>(7.6) %</w:t>
            </w:r>
          </w:p>
        </w:tc>
      </w:tr>
      <w:tr>
        <w:trPr>
          <w:trHeight w:val="194"/>
        </w:trPr>
        <w:tc>
          <w:tcPr>
            <w:tcW w:w="4380" w:type="dxa"/>
            <w:vAlign w:val="bottom"/>
          </w:tcPr>
          <w:p>
            <w:pPr>
              <w:spacing w:after="0"/>
              <w:rPr>
                <w:sz w:val="20"/>
                <w:szCs w:val="20"/>
                <w:color w:val="auto"/>
              </w:rPr>
            </w:pPr>
            <w:r>
              <w:rPr>
                <w:rFonts w:ascii="Arial" w:cs="Arial" w:eastAsia="Arial" w:hAnsi="Arial"/>
                <w:sz w:val="14"/>
                <w:szCs w:val="14"/>
                <w:color w:val="auto"/>
              </w:rPr>
              <w:t>Total Acuity Brands Lighting</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2,617.7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2,649.8</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(32.1)</w:t>
            </w:r>
          </w:p>
        </w:tc>
        <w:tc>
          <w:tcPr>
            <w:tcW w:w="1760" w:type="dxa"/>
            <w:vAlign w:val="bottom"/>
            <w:gridSpan w:val="3"/>
          </w:tcPr>
          <w:p>
            <w:pPr>
              <w:jc w:val="right"/>
              <w:spacing w:after="0"/>
              <w:rPr>
                <w:sz w:val="20"/>
                <w:szCs w:val="20"/>
                <w:color w:val="auto"/>
              </w:rPr>
            </w:pPr>
            <w:r>
              <w:rPr>
                <w:rFonts w:ascii="Arial" w:cs="Arial" w:eastAsia="Arial" w:hAnsi="Arial"/>
                <w:sz w:val="14"/>
                <w:szCs w:val="14"/>
                <w:color w:val="auto"/>
              </w:rPr>
              <w:t>(1.2) %</w:t>
            </w:r>
          </w:p>
        </w:tc>
      </w:tr>
      <w:tr>
        <w:trPr>
          <w:trHeight w:val="203"/>
        </w:trPr>
        <w:tc>
          <w:tcPr>
            <w:tcW w:w="4380" w:type="dxa"/>
            <w:vAlign w:val="bottom"/>
          </w:tcPr>
          <w:p>
            <w:pPr>
              <w:spacing w:after="0"/>
              <w:rPr>
                <w:sz w:val="20"/>
                <w:szCs w:val="20"/>
                <w:color w:val="auto"/>
              </w:rPr>
            </w:pPr>
            <w:r>
              <w:rPr>
                <w:rFonts w:ascii="Arial" w:cs="Arial" w:eastAsia="Arial" w:hAnsi="Arial"/>
                <w:sz w:val="14"/>
                <w:szCs w:val="14"/>
                <w:color w:val="auto"/>
              </w:rPr>
              <w:t>Acuity Intelligent Spaces</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809.0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509.1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299.9</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58.9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4380" w:type="dxa"/>
            <w:vAlign w:val="bottom"/>
          </w:tcPr>
          <w:p>
            <w:pPr>
              <w:spacing w:after="0"/>
              <w:rPr>
                <w:sz w:val="20"/>
                <w:szCs w:val="20"/>
                <w:color w:val="auto"/>
              </w:rPr>
            </w:pPr>
            <w:r>
              <w:rPr>
                <w:rFonts w:ascii="Arial" w:cs="Arial" w:eastAsia="Arial" w:hAnsi="Arial"/>
                <w:sz w:val="14"/>
                <w:szCs w:val="14"/>
                <w:color w:val="auto"/>
              </w:rPr>
              <w:t>Eliminations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30.8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4380" w:type="dxa"/>
            <w:vAlign w:val="bottom"/>
          </w:tcPr>
          <w:p>
            <w:pPr>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3,397.4</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3,136.5</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260.9</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8.3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69"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Press Release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ACUITY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Reconciliation of Non-U.S. GAAP Measures</w:t>
      </w:r>
    </w:p>
    <w:p>
      <w:pPr>
        <w:spacing w:after="0" w:line="15" w:lineRule="exact"/>
        <w:rPr>
          <w:sz w:val="20"/>
          <w:szCs w:val="20"/>
          <w:color w:val="auto"/>
        </w:rPr>
      </w:pPr>
    </w:p>
    <w:p>
      <w:pPr>
        <w:jc w:val="center"/>
        <w:ind w:left="340" w:right="160"/>
        <w:spacing w:after="0" w:line="274" w:lineRule="auto"/>
        <w:rPr>
          <w:sz w:val="20"/>
          <w:szCs w:val="20"/>
          <w:color w:val="auto"/>
        </w:rPr>
      </w:pPr>
      <w:r>
        <w:rPr>
          <w:rFonts w:ascii="Arial" w:cs="Arial" w:eastAsia="Arial" w:hAnsi="Arial"/>
          <w:sz w:val="14"/>
          <w:szCs w:val="14"/>
          <w:color w:val="auto"/>
        </w:rPr>
        <w:t>The tables below reconcile certain GAAP financial measures to the corresponding non-GAAP measures for total Company as well as our reportable operating segments (in millions except per share data):</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1020" w:type="dxa"/>
            <w:vAlign w:val="bottom"/>
            <w:tcBorders>
              <w:bottom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May 31, 2026</w:t>
            </w: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gridSpan w:val="2"/>
            <w:vMerge w:val="restart"/>
          </w:tcPr>
          <w:p>
            <w:pPr>
              <w:jc w:val="right"/>
              <w:ind w:right="1017"/>
              <w:spacing w:after="0"/>
              <w:rPr>
                <w:sz w:val="20"/>
                <w:szCs w:val="20"/>
                <w:color w:val="auto"/>
              </w:rPr>
            </w:pPr>
            <w:r>
              <w:rPr>
                <w:rFonts w:ascii="Arial" w:cs="Arial" w:eastAsia="Arial" w:hAnsi="Arial"/>
                <w:sz w:val="13"/>
                <w:szCs w:val="13"/>
                <w:b w:val="1"/>
                <w:bCs w:val="1"/>
                <w:color w:val="auto"/>
                <w:w w:val="98"/>
              </w:rPr>
              <w:t>May 31, 2025</w:t>
            </w:r>
          </w:p>
        </w:tc>
        <w:tc>
          <w:tcPr>
            <w:tcW w:w="160" w:type="dxa"/>
            <w:vAlign w:val="bottom"/>
          </w:tcPr>
          <w:p>
            <w:pPr>
              <w:spacing w:after="0"/>
              <w:rPr>
                <w:sz w:val="9"/>
                <w:szCs w:val="9"/>
                <w:color w:val="auto"/>
              </w:rPr>
            </w:pPr>
          </w:p>
        </w:tc>
        <w:tc>
          <w:tcPr>
            <w:tcW w:w="1020" w:type="dxa"/>
            <w:vAlign w:val="bottom"/>
            <w:gridSpan w:val="2"/>
          </w:tcPr>
          <w:p>
            <w:pPr>
              <w:jc w:val="center"/>
              <w:ind w:right="260"/>
              <w:spacing w:after="0" w:line="108" w:lineRule="exact"/>
              <w:rPr>
                <w:sz w:val="20"/>
                <w:szCs w:val="20"/>
                <w:color w:val="auto"/>
              </w:rPr>
            </w:pPr>
            <w:r>
              <w:rPr>
                <w:rFonts w:ascii="Arial" w:cs="Arial" w:eastAsia="Arial" w:hAnsi="Arial"/>
                <w:sz w:val="12"/>
                <w:szCs w:val="12"/>
                <w:b w:val="1"/>
                <w:bCs w:val="1"/>
                <w:color w:val="auto"/>
              </w:rPr>
              <w:t>Increase</w:t>
            </w:r>
          </w:p>
        </w:tc>
        <w:tc>
          <w:tcPr>
            <w:tcW w:w="11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Percent Change</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(Decrease)</w:t>
            </w: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540" w:type="dxa"/>
            <w:vAlign w:val="bottom"/>
          </w:tcPr>
          <w:p>
            <w:pPr>
              <w:spacing w:after="0"/>
              <w:rPr>
                <w:sz w:val="20"/>
                <w:szCs w:val="20"/>
                <w:color w:val="auto"/>
              </w:rPr>
            </w:pPr>
            <w:r>
              <w:rPr>
                <w:rFonts w:ascii="Arial" w:cs="Arial" w:eastAsia="Arial" w:hAnsi="Arial"/>
                <w:sz w:val="13"/>
                <w:szCs w:val="13"/>
                <w:color w:val="auto"/>
              </w:rPr>
              <w:t>Net sales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1,198.0</w:t>
            </w:r>
          </w:p>
        </w:tc>
        <w:tc>
          <w:tcPr>
            <w:tcW w:w="980" w:type="dxa"/>
            <w:vAlign w:val="bottom"/>
            <w:gridSpan w:val="2"/>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1,178.6</w:t>
            </w:r>
          </w:p>
        </w:tc>
        <w:tc>
          <w:tcPr>
            <w:tcW w:w="86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4"/>
                <w:szCs w:val="14"/>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1.6</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387"/>
        </w:trPr>
        <w:tc>
          <w:tcPr>
            <w:tcW w:w="4540" w:type="dxa"/>
            <w:vAlign w:val="bottom"/>
          </w:tcPr>
          <w:p>
            <w:pPr>
              <w:spacing w:after="0"/>
              <w:rPr>
                <w:sz w:val="20"/>
                <w:szCs w:val="20"/>
                <w:color w:val="auto"/>
              </w:rPr>
            </w:pPr>
            <w:r>
              <w:rPr>
                <w:rFonts w:ascii="Arial" w:cs="Arial" w:eastAsia="Arial" w:hAnsi="Arial"/>
                <w:sz w:val="13"/>
                <w:szCs w:val="13"/>
                <w:color w:val="auto"/>
              </w:rPr>
              <w:t>Gross profit (GAAP)</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606.4</w:t>
            </w:r>
          </w:p>
        </w:tc>
        <w:tc>
          <w:tcPr>
            <w:tcW w:w="11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570.2</w:t>
            </w:r>
          </w:p>
        </w:tc>
        <w:tc>
          <w:tcPr>
            <w:tcW w:w="8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36.2</w:t>
            </w:r>
          </w:p>
        </w:tc>
        <w:tc>
          <w:tcPr>
            <w:tcW w:w="100" w:type="dxa"/>
            <w:vAlign w:val="bottom"/>
          </w:tcPr>
          <w:p>
            <w:pPr>
              <w:spacing w:after="0"/>
              <w:rPr>
                <w:sz w:val="24"/>
                <w:szCs w:val="24"/>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6.3</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75"/>
        </w:trPr>
        <w:tc>
          <w:tcPr>
            <w:tcW w:w="4540" w:type="dxa"/>
            <w:vAlign w:val="bottom"/>
          </w:tcPr>
          <w:p>
            <w:pPr>
              <w:ind w:left="320"/>
              <w:spacing w:after="0"/>
              <w:rPr>
                <w:sz w:val="20"/>
                <w:szCs w:val="20"/>
                <w:color w:val="auto"/>
              </w:rPr>
            </w:pPr>
            <w:r>
              <w:rPr>
                <w:rFonts w:ascii="Arial" w:cs="Arial" w:eastAsia="Arial" w:hAnsi="Arial"/>
                <w:sz w:val="13"/>
                <w:szCs w:val="13"/>
                <w:i w:val="1"/>
                <w:iCs w:val="1"/>
                <w:color w:val="auto"/>
              </w:rPr>
              <w:t>Percent of net sales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i w:val="1"/>
                <w:iCs w:val="1"/>
                <w:color w:val="auto"/>
              </w:rPr>
              <w:t>50.6 %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tcPr>
          <w:p>
            <w:pPr>
              <w:jc w:val="right"/>
              <w:spacing w:after="0"/>
              <w:rPr>
                <w:sz w:val="20"/>
                <w:szCs w:val="20"/>
                <w:color w:val="auto"/>
              </w:rPr>
            </w:pPr>
            <w:r>
              <w:rPr>
                <w:rFonts w:ascii="Arial" w:cs="Arial" w:eastAsia="Arial" w:hAnsi="Arial"/>
                <w:sz w:val="13"/>
                <w:szCs w:val="13"/>
                <w:i w:val="1"/>
                <w:iCs w:val="1"/>
                <w:color w:val="auto"/>
              </w:rPr>
              <w:t>48.4 %</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i w:val="1"/>
                <w:iCs w:val="1"/>
                <w:color w:val="auto"/>
              </w:rPr>
              <w:t>220</w:t>
            </w:r>
          </w:p>
        </w:tc>
        <w:tc>
          <w:tcPr>
            <w:tcW w:w="100" w:type="dxa"/>
            <w:vAlign w:val="bottom"/>
          </w:tcPr>
          <w:p>
            <w:pPr>
              <w:spacing w:after="0"/>
              <w:rPr>
                <w:sz w:val="15"/>
                <w:szCs w:val="15"/>
                <w:color w:val="auto"/>
              </w:rPr>
            </w:pPr>
          </w:p>
        </w:tc>
        <w:tc>
          <w:tcPr>
            <w:tcW w:w="1100" w:type="dxa"/>
            <w:vAlign w:val="bottom"/>
          </w:tcPr>
          <w:p>
            <w:pPr>
              <w:jc w:val="right"/>
              <w:ind w:right="817"/>
              <w:spacing w:after="0"/>
              <w:rPr>
                <w:sz w:val="20"/>
                <w:szCs w:val="20"/>
                <w:color w:val="auto"/>
              </w:rPr>
            </w:pPr>
            <w:r>
              <w:rPr>
                <w:rFonts w:ascii="Arial" w:cs="Arial" w:eastAsia="Arial" w:hAnsi="Arial"/>
                <w:sz w:val="13"/>
                <w:szCs w:val="13"/>
                <w:i w:val="1"/>
                <w:iCs w:val="1"/>
                <w:color w:val="auto"/>
                <w:w w:val="95"/>
              </w:rPr>
              <w:t>bps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120"/>
              <w:spacing w:after="0"/>
              <w:rPr>
                <w:sz w:val="20"/>
                <w:szCs w:val="20"/>
                <w:color w:val="auto"/>
              </w:rPr>
            </w:pPr>
            <w:r>
              <w:rPr>
                <w:rFonts w:ascii="Arial" w:cs="Arial" w:eastAsia="Arial" w:hAnsi="Arial"/>
                <w:sz w:val="13"/>
                <w:szCs w:val="13"/>
                <w:color w:val="auto"/>
              </w:rPr>
              <w:t>Add-back: Acquired profit in inventory</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19.2</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40" w:type="dxa"/>
            <w:vAlign w:val="bottom"/>
          </w:tcPr>
          <w:p>
            <w:pPr>
              <w:ind w:left="120"/>
              <w:spacing w:after="0"/>
              <w:rPr>
                <w:sz w:val="20"/>
                <w:szCs w:val="20"/>
                <w:color w:val="auto"/>
              </w:rPr>
            </w:pPr>
            <w:r>
              <w:rPr>
                <w:rFonts w:ascii="Arial" w:cs="Arial" w:eastAsia="Arial" w:hAnsi="Arial"/>
                <w:sz w:val="13"/>
                <w:szCs w:val="13"/>
                <w:color w:val="auto"/>
              </w:rPr>
              <w:t>Less: Tariff refunds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(6.4)</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tcPr>
          <w:p>
            <w:pPr>
              <w:jc w:val="right"/>
              <w:ind w:right="8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Arial" w:cs="Arial" w:eastAsia="Arial" w:hAnsi="Arial"/>
                <w:sz w:val="13"/>
                <w:szCs w:val="13"/>
                <w:color w:val="auto"/>
              </w:rPr>
              <w:t>Adjusted gross profit (Non-GAAP)</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600.0</w:t>
            </w:r>
          </w:p>
        </w:tc>
        <w:tc>
          <w:tcPr>
            <w:tcW w:w="980" w:type="dxa"/>
            <w:vAlign w:val="bottom"/>
            <w:gridSpan w:val="2"/>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589.4</w:t>
            </w:r>
          </w:p>
        </w:tc>
        <w:tc>
          <w:tcPr>
            <w:tcW w:w="8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5"/>
                <w:szCs w:val="15"/>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1.8</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1"/>
        </w:trPr>
        <w:tc>
          <w:tcPr>
            <w:tcW w:w="4540" w:type="dxa"/>
            <w:vAlign w:val="bottom"/>
            <w:vMerge w:val="restart"/>
          </w:tcPr>
          <w:p>
            <w:pPr>
              <w:ind w:left="320"/>
              <w:spacing w:after="0"/>
              <w:rPr>
                <w:sz w:val="20"/>
                <w:szCs w:val="20"/>
                <w:color w:val="auto"/>
              </w:rPr>
            </w:pPr>
            <w:r>
              <w:rPr>
                <w:rFonts w:ascii="Arial" w:cs="Arial" w:eastAsia="Arial" w:hAnsi="Arial"/>
                <w:sz w:val="13"/>
                <w:szCs w:val="13"/>
                <w:i w:val="1"/>
                <w:iCs w:val="1"/>
                <w:color w:val="auto"/>
              </w:rPr>
              <w:t>Percent of net sales</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i w:val="1"/>
                <w:iCs w:val="1"/>
                <w:color w:val="auto"/>
              </w:rPr>
              <w:t>50.1 %</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i w:val="1"/>
                <w:iCs w:val="1"/>
                <w:color w:val="auto"/>
              </w:rPr>
              <w:t>50.0 %</w:t>
            </w:r>
          </w:p>
        </w:tc>
        <w:tc>
          <w:tcPr>
            <w:tcW w:w="16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i w:val="1"/>
                <w:iCs w:val="1"/>
                <w:color w:val="auto"/>
              </w:rPr>
              <w:t>10</w:t>
            </w:r>
          </w:p>
        </w:tc>
        <w:tc>
          <w:tcPr>
            <w:tcW w:w="100" w:type="dxa"/>
            <w:vAlign w:val="bottom"/>
            <w:vMerge w:val="restart"/>
          </w:tcPr>
          <w:p>
            <w:pPr>
              <w:spacing w:after="0" w:line="20" w:lineRule="exact"/>
              <w:rPr>
                <w:sz w:val="1"/>
                <w:szCs w:val="1"/>
                <w:color w:val="auto"/>
              </w:rPr>
            </w:pPr>
          </w:p>
        </w:tc>
        <w:tc>
          <w:tcPr>
            <w:tcW w:w="1100" w:type="dxa"/>
            <w:vAlign w:val="bottom"/>
            <w:vMerge w:val="restart"/>
          </w:tcPr>
          <w:p>
            <w:pPr>
              <w:jc w:val="right"/>
              <w:ind w:right="817"/>
              <w:spacing w:after="0"/>
              <w:rPr>
                <w:sz w:val="20"/>
                <w:szCs w:val="20"/>
                <w:color w:val="auto"/>
              </w:rPr>
            </w:pPr>
            <w:r>
              <w:rPr>
                <w:rFonts w:ascii="Arial" w:cs="Arial" w:eastAsia="Arial" w:hAnsi="Arial"/>
                <w:sz w:val="13"/>
                <w:szCs w:val="13"/>
                <w:i w:val="1"/>
                <w:iCs w:val="1"/>
                <w:color w:val="auto"/>
                <w:w w:val="95"/>
              </w:rPr>
              <w:t>bps</w:t>
            </w: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45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2"/>
        </w:trPr>
        <w:tc>
          <w:tcPr>
            <w:tcW w:w="4540" w:type="dxa"/>
            <w:vAlign w:val="bottom"/>
          </w:tcPr>
          <w:p>
            <w:pPr>
              <w:spacing w:after="0"/>
              <w:rPr>
                <w:sz w:val="20"/>
                <w:szCs w:val="20"/>
                <w:color w:val="auto"/>
              </w:rPr>
            </w:pPr>
            <w:r>
              <w:rPr>
                <w:rFonts w:ascii="Arial" w:cs="Arial" w:eastAsia="Arial" w:hAnsi="Arial"/>
                <w:sz w:val="13"/>
                <w:szCs w:val="13"/>
                <w:color w:val="auto"/>
              </w:rPr>
              <w:t>Operating profit (GAAP)</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193.3</w:t>
            </w:r>
          </w:p>
        </w:tc>
        <w:tc>
          <w:tcPr>
            <w:tcW w:w="11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139.8</w:t>
            </w:r>
          </w:p>
        </w:tc>
        <w:tc>
          <w:tcPr>
            <w:tcW w:w="8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53.5</w:t>
            </w:r>
          </w:p>
        </w:tc>
        <w:tc>
          <w:tcPr>
            <w:tcW w:w="100" w:type="dxa"/>
            <w:vAlign w:val="bottom"/>
          </w:tcPr>
          <w:p>
            <w:pPr>
              <w:spacing w:after="0"/>
              <w:rPr>
                <w:sz w:val="24"/>
                <w:szCs w:val="24"/>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38.3</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76"/>
        </w:trPr>
        <w:tc>
          <w:tcPr>
            <w:tcW w:w="4540" w:type="dxa"/>
            <w:vAlign w:val="bottom"/>
          </w:tcPr>
          <w:p>
            <w:pPr>
              <w:ind w:left="320"/>
              <w:spacing w:after="0"/>
              <w:rPr>
                <w:sz w:val="20"/>
                <w:szCs w:val="20"/>
                <w:color w:val="auto"/>
              </w:rPr>
            </w:pPr>
            <w:r>
              <w:rPr>
                <w:rFonts w:ascii="Arial" w:cs="Arial" w:eastAsia="Arial" w:hAnsi="Arial"/>
                <w:sz w:val="13"/>
                <w:szCs w:val="13"/>
                <w:i w:val="1"/>
                <w:iCs w:val="1"/>
                <w:color w:val="auto"/>
              </w:rPr>
              <w:t>Percent of net sales (GAAP)</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i w:val="1"/>
                <w:iCs w:val="1"/>
                <w:color w:val="auto"/>
              </w:rPr>
              <w:t>16.1 %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tcPr>
          <w:p>
            <w:pPr>
              <w:jc w:val="right"/>
              <w:spacing w:after="0"/>
              <w:rPr>
                <w:sz w:val="20"/>
                <w:szCs w:val="20"/>
                <w:color w:val="auto"/>
              </w:rPr>
            </w:pPr>
            <w:r>
              <w:rPr>
                <w:rFonts w:ascii="Arial" w:cs="Arial" w:eastAsia="Arial" w:hAnsi="Arial"/>
                <w:sz w:val="13"/>
                <w:szCs w:val="13"/>
                <w:i w:val="1"/>
                <w:iCs w:val="1"/>
                <w:color w:val="auto"/>
              </w:rPr>
              <w:t>11.9 %</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i w:val="1"/>
                <w:iCs w:val="1"/>
                <w:color w:val="auto"/>
              </w:rPr>
              <w:t>420</w:t>
            </w:r>
          </w:p>
        </w:tc>
        <w:tc>
          <w:tcPr>
            <w:tcW w:w="100" w:type="dxa"/>
            <w:vAlign w:val="bottom"/>
          </w:tcPr>
          <w:p>
            <w:pPr>
              <w:spacing w:after="0"/>
              <w:rPr>
                <w:sz w:val="15"/>
                <w:szCs w:val="15"/>
                <w:color w:val="auto"/>
              </w:rPr>
            </w:pPr>
          </w:p>
        </w:tc>
        <w:tc>
          <w:tcPr>
            <w:tcW w:w="1100" w:type="dxa"/>
            <w:vAlign w:val="bottom"/>
          </w:tcPr>
          <w:p>
            <w:pPr>
              <w:jc w:val="right"/>
              <w:ind w:right="817"/>
              <w:spacing w:after="0"/>
              <w:rPr>
                <w:sz w:val="20"/>
                <w:szCs w:val="20"/>
                <w:color w:val="auto"/>
              </w:rPr>
            </w:pPr>
            <w:r>
              <w:rPr>
                <w:rFonts w:ascii="Arial" w:cs="Arial" w:eastAsia="Arial" w:hAnsi="Arial"/>
                <w:sz w:val="13"/>
                <w:szCs w:val="13"/>
                <w:i w:val="1"/>
                <w:iCs w:val="1"/>
                <w:color w:val="auto"/>
                <w:w w:val="95"/>
              </w:rPr>
              <w:t>bps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120"/>
              <w:spacing w:after="0"/>
              <w:rPr>
                <w:sz w:val="20"/>
                <w:szCs w:val="20"/>
                <w:color w:val="auto"/>
              </w:rPr>
            </w:pPr>
            <w:r>
              <w:rPr>
                <w:rFonts w:ascii="Arial" w:cs="Arial" w:eastAsia="Arial" w:hAnsi="Arial"/>
                <w:sz w:val="13"/>
                <w:szCs w:val="13"/>
                <w:color w:val="auto"/>
              </w:rPr>
              <w:t>Add-back: Amortization of acquired intangible assets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23.0</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20.0</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120"/>
              <w:spacing w:after="0"/>
              <w:rPr>
                <w:sz w:val="20"/>
                <w:szCs w:val="20"/>
                <w:color w:val="auto"/>
              </w:rPr>
            </w:pPr>
            <w:r>
              <w:rPr>
                <w:rFonts w:ascii="Arial" w:cs="Arial" w:eastAsia="Arial" w:hAnsi="Arial"/>
                <w:sz w:val="13"/>
                <w:szCs w:val="13"/>
                <w:color w:val="auto"/>
              </w:rPr>
              <w:t>Add-back: Share-based payment expense</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13.6</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10.5</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540" w:type="dxa"/>
            <w:vAlign w:val="bottom"/>
          </w:tcPr>
          <w:p>
            <w:pPr>
              <w:ind w:left="120"/>
              <w:spacing w:after="0"/>
              <w:rPr>
                <w:sz w:val="20"/>
                <w:szCs w:val="20"/>
                <w:color w:val="auto"/>
              </w:rPr>
            </w:pPr>
            <w:r>
              <w:rPr>
                <w:rFonts w:ascii="Arial" w:cs="Arial" w:eastAsia="Arial" w:hAnsi="Arial"/>
                <w:sz w:val="13"/>
                <w:szCs w:val="13"/>
                <w:color w:val="auto"/>
              </w:rPr>
              <w:t xml:space="preserve">Add-back: Acquisition-related costs </w:t>
            </w:r>
            <w:r>
              <w:rPr>
                <w:rFonts w:ascii="Arial" w:cs="Arial" w:eastAsia="Arial" w:hAnsi="Arial"/>
                <w:sz w:val="16"/>
                <w:szCs w:val="16"/>
                <w:color w:val="auto"/>
                <w:vertAlign w:val="superscript"/>
              </w:rPr>
              <w:t>(1)</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540" w:type="dxa"/>
            <w:vAlign w:val="bottom"/>
          </w:tcPr>
          <w:p>
            <w:pPr>
              <w:ind w:left="120"/>
              <w:spacing w:after="0"/>
              <w:rPr>
                <w:sz w:val="20"/>
                <w:szCs w:val="20"/>
                <w:color w:val="auto"/>
              </w:rPr>
            </w:pPr>
            <w:r>
              <w:rPr>
                <w:rFonts w:ascii="Arial" w:cs="Arial" w:eastAsia="Arial" w:hAnsi="Arial"/>
                <w:sz w:val="13"/>
                <w:szCs w:val="13"/>
                <w:color w:val="auto"/>
              </w:rPr>
              <w:t>Add-back: Acquired profit in inventory</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19.2</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120"/>
              <w:spacing w:after="0"/>
              <w:rPr>
                <w:sz w:val="20"/>
                <w:szCs w:val="20"/>
                <w:color w:val="auto"/>
              </w:rPr>
            </w:pPr>
            <w:r>
              <w:rPr>
                <w:rFonts w:ascii="Arial" w:cs="Arial" w:eastAsia="Arial" w:hAnsi="Arial"/>
                <w:sz w:val="13"/>
                <w:szCs w:val="13"/>
                <w:color w:val="auto"/>
              </w:rPr>
              <w:t>Add-back: Special charges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29.7</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40" w:type="dxa"/>
            <w:vAlign w:val="bottom"/>
          </w:tcPr>
          <w:p>
            <w:pPr>
              <w:ind w:left="120"/>
              <w:spacing w:after="0"/>
              <w:rPr>
                <w:sz w:val="20"/>
                <w:szCs w:val="20"/>
                <w:color w:val="auto"/>
              </w:rPr>
            </w:pPr>
            <w:r>
              <w:rPr>
                <w:rFonts w:ascii="Arial" w:cs="Arial" w:eastAsia="Arial" w:hAnsi="Arial"/>
                <w:sz w:val="13"/>
                <w:szCs w:val="13"/>
                <w:color w:val="auto"/>
              </w:rPr>
              <w:t>Less: Tariff refunds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(6.4)</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tcPr>
          <w:p>
            <w:pPr>
              <w:jc w:val="right"/>
              <w:ind w:right="8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Arial" w:cs="Arial" w:eastAsia="Arial" w:hAnsi="Arial"/>
                <w:sz w:val="13"/>
                <w:szCs w:val="13"/>
                <w:color w:val="auto"/>
              </w:rPr>
              <w:t>Adjusted operating profit (Non-GAAP)</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223.5</w:t>
            </w:r>
          </w:p>
        </w:tc>
        <w:tc>
          <w:tcPr>
            <w:tcW w:w="980" w:type="dxa"/>
            <w:vAlign w:val="bottom"/>
            <w:gridSpan w:val="2"/>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221.7</w:t>
            </w:r>
          </w:p>
        </w:tc>
        <w:tc>
          <w:tcPr>
            <w:tcW w:w="8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0.8</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320"/>
              <w:spacing w:after="0"/>
              <w:rPr>
                <w:sz w:val="20"/>
                <w:szCs w:val="20"/>
                <w:color w:val="auto"/>
              </w:rPr>
            </w:pPr>
            <w:r>
              <w:rPr>
                <w:rFonts w:ascii="Arial" w:cs="Arial" w:eastAsia="Arial" w:hAnsi="Arial"/>
                <w:sz w:val="13"/>
                <w:szCs w:val="13"/>
                <w:i w:val="1"/>
                <w:iCs w:val="1"/>
                <w:color w:val="auto"/>
              </w:rPr>
              <w:t>Percent of net sales (Non-GAAP)</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i w:val="1"/>
                <w:iCs w:val="1"/>
                <w:color w:val="auto"/>
              </w:rPr>
              <w:t>18.7 %</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i w:val="1"/>
                <w:iCs w:val="1"/>
                <w:color w:val="auto"/>
              </w:rPr>
              <w:t>18.8 %</w:t>
            </w:r>
          </w:p>
        </w:tc>
        <w:tc>
          <w:tcPr>
            <w:tcW w:w="16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i w:val="1"/>
                <w:iCs w:val="1"/>
                <w:color w:val="auto"/>
              </w:rPr>
              <w:t>(10)</w:t>
            </w:r>
          </w:p>
        </w:tc>
        <w:tc>
          <w:tcPr>
            <w:tcW w:w="100" w:type="dxa"/>
            <w:vAlign w:val="bottom"/>
            <w:vMerge w:val="restart"/>
          </w:tcPr>
          <w:p>
            <w:pPr>
              <w:spacing w:after="0" w:line="20" w:lineRule="exact"/>
              <w:rPr>
                <w:sz w:val="1"/>
                <w:szCs w:val="1"/>
                <w:color w:val="auto"/>
              </w:rPr>
            </w:pPr>
          </w:p>
        </w:tc>
        <w:tc>
          <w:tcPr>
            <w:tcW w:w="1100" w:type="dxa"/>
            <w:vAlign w:val="bottom"/>
            <w:vMerge w:val="restart"/>
          </w:tcPr>
          <w:p>
            <w:pPr>
              <w:jc w:val="right"/>
              <w:ind w:right="817"/>
              <w:spacing w:after="0"/>
              <w:rPr>
                <w:sz w:val="20"/>
                <w:szCs w:val="20"/>
                <w:color w:val="auto"/>
              </w:rPr>
            </w:pPr>
            <w:r>
              <w:rPr>
                <w:rFonts w:ascii="Arial" w:cs="Arial" w:eastAsia="Arial" w:hAnsi="Arial"/>
                <w:sz w:val="13"/>
                <w:szCs w:val="13"/>
                <w:i w:val="1"/>
                <w:iCs w:val="1"/>
                <w:color w:val="auto"/>
                <w:w w:val="95"/>
              </w:rPr>
              <w:t>bps</w:t>
            </w: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45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2"/>
        </w:trPr>
        <w:tc>
          <w:tcPr>
            <w:tcW w:w="4540" w:type="dxa"/>
            <w:vAlign w:val="bottom"/>
          </w:tcPr>
          <w:p>
            <w:pPr>
              <w:spacing w:after="0"/>
              <w:rPr>
                <w:sz w:val="20"/>
                <w:szCs w:val="20"/>
                <w:color w:val="auto"/>
              </w:rPr>
            </w:pPr>
            <w:r>
              <w:rPr>
                <w:rFonts w:ascii="Arial" w:cs="Arial" w:eastAsia="Arial" w:hAnsi="Arial"/>
                <w:sz w:val="13"/>
                <w:szCs w:val="13"/>
                <w:color w:val="auto"/>
              </w:rPr>
              <w:t>Net income (GAAP)</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141.0</w:t>
            </w:r>
          </w:p>
        </w:tc>
        <w:tc>
          <w:tcPr>
            <w:tcW w:w="11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98.4</w:t>
            </w:r>
          </w:p>
        </w:tc>
        <w:tc>
          <w:tcPr>
            <w:tcW w:w="8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42.6</w:t>
            </w:r>
          </w:p>
        </w:tc>
        <w:tc>
          <w:tcPr>
            <w:tcW w:w="100" w:type="dxa"/>
            <w:vAlign w:val="bottom"/>
          </w:tcPr>
          <w:p>
            <w:pPr>
              <w:spacing w:after="0"/>
              <w:rPr>
                <w:sz w:val="24"/>
                <w:szCs w:val="24"/>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43.3</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75"/>
        </w:trPr>
        <w:tc>
          <w:tcPr>
            <w:tcW w:w="4540" w:type="dxa"/>
            <w:vAlign w:val="bottom"/>
          </w:tcPr>
          <w:p>
            <w:pPr>
              <w:ind w:left="120"/>
              <w:spacing w:after="0"/>
              <w:rPr>
                <w:sz w:val="20"/>
                <w:szCs w:val="20"/>
                <w:color w:val="auto"/>
              </w:rPr>
            </w:pPr>
            <w:r>
              <w:rPr>
                <w:rFonts w:ascii="Arial" w:cs="Arial" w:eastAsia="Arial" w:hAnsi="Arial"/>
                <w:sz w:val="13"/>
                <w:szCs w:val="13"/>
                <w:color w:val="auto"/>
              </w:rPr>
              <w:t>Add-back: Amortization of acquired intangible assets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23.0</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20.0</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120"/>
              <w:spacing w:after="0"/>
              <w:rPr>
                <w:sz w:val="20"/>
                <w:szCs w:val="20"/>
                <w:color w:val="auto"/>
              </w:rPr>
            </w:pPr>
            <w:r>
              <w:rPr>
                <w:rFonts w:ascii="Arial" w:cs="Arial" w:eastAsia="Arial" w:hAnsi="Arial"/>
                <w:sz w:val="13"/>
                <w:szCs w:val="13"/>
                <w:color w:val="auto"/>
              </w:rPr>
              <w:t>Add-back: Share-based payment expense</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13.6</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10.5</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540" w:type="dxa"/>
            <w:vAlign w:val="bottom"/>
          </w:tcPr>
          <w:p>
            <w:pPr>
              <w:ind w:left="120"/>
              <w:spacing w:after="0"/>
              <w:rPr>
                <w:sz w:val="20"/>
                <w:szCs w:val="20"/>
                <w:color w:val="auto"/>
              </w:rPr>
            </w:pPr>
            <w:r>
              <w:rPr>
                <w:rFonts w:ascii="Arial" w:cs="Arial" w:eastAsia="Arial" w:hAnsi="Arial"/>
                <w:sz w:val="13"/>
                <w:szCs w:val="13"/>
                <w:color w:val="auto"/>
              </w:rPr>
              <w:t xml:space="preserve">Add-back: Acquisition-related costs </w:t>
            </w:r>
            <w:r>
              <w:rPr>
                <w:rFonts w:ascii="Arial" w:cs="Arial" w:eastAsia="Arial" w:hAnsi="Arial"/>
                <w:sz w:val="16"/>
                <w:szCs w:val="16"/>
                <w:color w:val="auto"/>
                <w:vertAlign w:val="superscript"/>
              </w:rPr>
              <w:t>(1)</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540" w:type="dxa"/>
            <w:vAlign w:val="bottom"/>
          </w:tcPr>
          <w:p>
            <w:pPr>
              <w:ind w:left="120"/>
              <w:spacing w:after="0"/>
              <w:rPr>
                <w:sz w:val="20"/>
                <w:szCs w:val="20"/>
                <w:color w:val="auto"/>
              </w:rPr>
            </w:pPr>
            <w:r>
              <w:rPr>
                <w:rFonts w:ascii="Arial" w:cs="Arial" w:eastAsia="Arial" w:hAnsi="Arial"/>
                <w:sz w:val="13"/>
                <w:szCs w:val="13"/>
                <w:color w:val="auto"/>
              </w:rPr>
              <w:t>Add-back: Acquired profit in inventory</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19.2</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120"/>
              <w:spacing w:after="0"/>
              <w:rPr>
                <w:sz w:val="20"/>
                <w:szCs w:val="20"/>
                <w:color w:val="auto"/>
              </w:rPr>
            </w:pPr>
            <w:r>
              <w:rPr>
                <w:rFonts w:ascii="Arial" w:cs="Arial" w:eastAsia="Arial" w:hAnsi="Arial"/>
                <w:sz w:val="13"/>
                <w:szCs w:val="13"/>
                <w:color w:val="auto"/>
              </w:rPr>
              <w:t>Add-back: Special charges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29.7</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40" w:type="dxa"/>
            <w:vAlign w:val="bottom"/>
          </w:tcPr>
          <w:p>
            <w:pPr>
              <w:ind w:left="120"/>
              <w:spacing w:after="0"/>
              <w:rPr>
                <w:sz w:val="20"/>
                <w:szCs w:val="20"/>
                <w:color w:val="auto"/>
              </w:rPr>
            </w:pPr>
            <w:r>
              <w:rPr>
                <w:rFonts w:ascii="Arial" w:cs="Arial" w:eastAsia="Arial" w:hAnsi="Arial"/>
                <w:sz w:val="13"/>
                <w:szCs w:val="13"/>
                <w:color w:val="auto"/>
              </w:rPr>
              <w:t>Less: Tariff refunds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(6.4)</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tcPr>
          <w:p>
            <w:pPr>
              <w:jc w:val="right"/>
              <w:ind w:right="8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540" w:type="dxa"/>
            <w:vAlign w:val="bottom"/>
          </w:tcPr>
          <w:p>
            <w:pPr>
              <w:ind w:left="200"/>
              <w:spacing w:after="0"/>
              <w:rPr>
                <w:sz w:val="20"/>
                <w:szCs w:val="20"/>
                <w:color w:val="auto"/>
              </w:rPr>
            </w:pPr>
            <w:r>
              <w:rPr>
                <w:rFonts w:ascii="Arial" w:cs="Arial" w:eastAsia="Arial" w:hAnsi="Arial"/>
                <w:sz w:val="13"/>
                <w:szCs w:val="13"/>
                <w:color w:val="auto"/>
              </w:rPr>
              <w:t>Total pre-tax adjustments to net income</w:t>
            </w: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30.2</w:t>
            </w:r>
          </w:p>
        </w:tc>
        <w:tc>
          <w:tcPr>
            <w:tcW w:w="8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81.9</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540" w:type="dxa"/>
            <w:vAlign w:val="bottom"/>
          </w:tcPr>
          <w:p>
            <w:pPr>
              <w:ind w:left="120"/>
              <w:spacing w:after="0"/>
              <w:rPr>
                <w:sz w:val="20"/>
                <w:szCs w:val="20"/>
                <w:color w:val="auto"/>
              </w:rPr>
            </w:pPr>
            <w:r>
              <w:rPr>
                <w:rFonts w:ascii="Arial" w:cs="Arial" w:eastAsia="Arial" w:hAnsi="Arial"/>
                <w:sz w:val="13"/>
                <w:szCs w:val="13"/>
                <w:color w:val="auto"/>
              </w:rPr>
              <w:t>Income tax effects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Arial" w:cs="Arial" w:eastAsia="Arial" w:hAnsi="Arial"/>
                <w:sz w:val="13"/>
                <w:szCs w:val="13"/>
                <w:color w:val="auto"/>
              </w:rPr>
              <w:t>Adjusted net income (Non-GAAP)</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164.3</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161.5</w:t>
            </w:r>
          </w:p>
        </w:tc>
        <w:tc>
          <w:tcPr>
            <w:tcW w:w="8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5"/>
                <w:szCs w:val="15"/>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1.7</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4540" w:type="dxa"/>
            <w:vAlign w:val="bottom"/>
          </w:tcPr>
          <w:p>
            <w:pPr>
              <w:spacing w:after="0"/>
              <w:rPr>
                <w:sz w:val="20"/>
                <w:szCs w:val="20"/>
                <w:color w:val="auto"/>
              </w:rPr>
            </w:pPr>
            <w:r>
              <w:rPr>
                <w:rFonts w:ascii="Arial" w:cs="Arial" w:eastAsia="Arial" w:hAnsi="Arial"/>
                <w:sz w:val="13"/>
                <w:szCs w:val="13"/>
                <w:color w:val="auto"/>
              </w:rPr>
              <w:t>Diluted earnings per share (GAAP)</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4.56</w:t>
            </w:r>
          </w:p>
        </w:tc>
        <w:tc>
          <w:tcPr>
            <w:tcW w:w="11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3.12</w:t>
            </w:r>
          </w:p>
        </w:tc>
        <w:tc>
          <w:tcPr>
            <w:tcW w:w="8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24"/>
                <w:szCs w:val="24"/>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46.2</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Arial" w:cs="Arial" w:eastAsia="Arial" w:hAnsi="Arial"/>
                <w:sz w:val="13"/>
                <w:szCs w:val="13"/>
                <w:color w:val="auto"/>
              </w:rPr>
              <w:t>Adjusted diluted earnings per share (Non-GAAP)</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5.31</w:t>
            </w:r>
          </w:p>
        </w:tc>
        <w:tc>
          <w:tcPr>
            <w:tcW w:w="11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5.12</w:t>
            </w:r>
          </w:p>
        </w:tc>
        <w:tc>
          <w:tcPr>
            <w:tcW w:w="8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0.19</w:t>
            </w:r>
          </w:p>
        </w:tc>
        <w:tc>
          <w:tcPr>
            <w:tcW w:w="100" w:type="dxa"/>
            <w:vAlign w:val="bottom"/>
          </w:tcPr>
          <w:p>
            <w:pPr>
              <w:spacing w:after="0"/>
              <w:rPr>
                <w:sz w:val="15"/>
                <w:szCs w:val="15"/>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3.7</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392"/>
        </w:trPr>
        <w:tc>
          <w:tcPr>
            <w:tcW w:w="4540" w:type="dxa"/>
            <w:vAlign w:val="bottom"/>
          </w:tcPr>
          <w:p>
            <w:pPr>
              <w:spacing w:after="0"/>
              <w:rPr>
                <w:sz w:val="20"/>
                <w:szCs w:val="20"/>
                <w:color w:val="auto"/>
              </w:rPr>
            </w:pPr>
            <w:r>
              <w:rPr>
                <w:rFonts w:ascii="Arial" w:cs="Arial" w:eastAsia="Arial" w:hAnsi="Arial"/>
                <w:sz w:val="13"/>
                <w:szCs w:val="13"/>
                <w:color w:val="auto"/>
              </w:rPr>
              <w:t>Net income (GAAP)</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141.0</w:t>
            </w:r>
          </w:p>
        </w:tc>
        <w:tc>
          <w:tcPr>
            <w:tcW w:w="11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98.4</w:t>
            </w:r>
          </w:p>
        </w:tc>
        <w:tc>
          <w:tcPr>
            <w:tcW w:w="8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42.6</w:t>
            </w:r>
          </w:p>
        </w:tc>
        <w:tc>
          <w:tcPr>
            <w:tcW w:w="100" w:type="dxa"/>
            <w:vAlign w:val="bottom"/>
          </w:tcPr>
          <w:p>
            <w:pPr>
              <w:spacing w:after="0"/>
              <w:rPr>
                <w:sz w:val="24"/>
                <w:szCs w:val="24"/>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43.3</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75"/>
        </w:trPr>
        <w:tc>
          <w:tcPr>
            <w:tcW w:w="4540" w:type="dxa"/>
            <w:vAlign w:val="bottom"/>
          </w:tcPr>
          <w:p>
            <w:pPr>
              <w:ind w:left="320"/>
              <w:spacing w:after="0"/>
              <w:rPr>
                <w:sz w:val="20"/>
                <w:szCs w:val="20"/>
                <w:color w:val="auto"/>
              </w:rPr>
            </w:pPr>
            <w:r>
              <w:rPr>
                <w:rFonts w:ascii="Arial" w:cs="Arial" w:eastAsia="Arial" w:hAnsi="Arial"/>
                <w:sz w:val="13"/>
                <w:szCs w:val="13"/>
                <w:i w:val="1"/>
                <w:iCs w:val="1"/>
                <w:color w:val="auto"/>
              </w:rPr>
              <w:t>Percent of net sales (GAAP)</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i w:val="1"/>
                <w:iCs w:val="1"/>
                <w:color w:val="auto"/>
              </w:rPr>
              <w:t>11.8 %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tcPr>
          <w:p>
            <w:pPr>
              <w:jc w:val="right"/>
              <w:spacing w:after="0"/>
              <w:rPr>
                <w:sz w:val="20"/>
                <w:szCs w:val="20"/>
                <w:color w:val="auto"/>
              </w:rPr>
            </w:pPr>
            <w:r>
              <w:rPr>
                <w:rFonts w:ascii="Arial" w:cs="Arial" w:eastAsia="Arial" w:hAnsi="Arial"/>
                <w:sz w:val="13"/>
                <w:szCs w:val="13"/>
                <w:i w:val="1"/>
                <w:iCs w:val="1"/>
                <w:color w:val="auto"/>
              </w:rPr>
              <w:t>8.3 %</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i w:val="1"/>
                <w:iCs w:val="1"/>
                <w:color w:val="auto"/>
              </w:rPr>
              <w:t>350</w:t>
            </w:r>
          </w:p>
        </w:tc>
        <w:tc>
          <w:tcPr>
            <w:tcW w:w="100" w:type="dxa"/>
            <w:vAlign w:val="bottom"/>
          </w:tcPr>
          <w:p>
            <w:pPr>
              <w:spacing w:after="0"/>
              <w:rPr>
                <w:sz w:val="15"/>
                <w:szCs w:val="15"/>
                <w:color w:val="auto"/>
              </w:rPr>
            </w:pPr>
          </w:p>
        </w:tc>
        <w:tc>
          <w:tcPr>
            <w:tcW w:w="1100" w:type="dxa"/>
            <w:vAlign w:val="bottom"/>
          </w:tcPr>
          <w:p>
            <w:pPr>
              <w:jc w:val="right"/>
              <w:ind w:right="817"/>
              <w:spacing w:after="0"/>
              <w:rPr>
                <w:sz w:val="20"/>
                <w:szCs w:val="20"/>
                <w:color w:val="auto"/>
              </w:rPr>
            </w:pPr>
            <w:r>
              <w:rPr>
                <w:rFonts w:ascii="Arial" w:cs="Arial" w:eastAsia="Arial" w:hAnsi="Arial"/>
                <w:sz w:val="13"/>
                <w:szCs w:val="13"/>
                <w:i w:val="1"/>
                <w:iCs w:val="1"/>
                <w:color w:val="auto"/>
                <w:w w:val="95"/>
              </w:rPr>
              <w:t>bps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100"/>
              <w:spacing w:after="0"/>
              <w:rPr>
                <w:sz w:val="20"/>
                <w:szCs w:val="20"/>
                <w:color w:val="auto"/>
              </w:rPr>
            </w:pPr>
            <w:r>
              <w:rPr>
                <w:rFonts w:ascii="Arial" w:cs="Arial" w:eastAsia="Arial" w:hAnsi="Arial"/>
                <w:sz w:val="13"/>
                <w:szCs w:val="13"/>
                <w:color w:val="auto"/>
              </w:rPr>
              <w:t>Interest expense, net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6.1</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12.1</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100"/>
              <w:spacing w:after="0"/>
              <w:rPr>
                <w:sz w:val="20"/>
                <w:szCs w:val="20"/>
                <w:color w:val="auto"/>
              </w:rPr>
            </w:pPr>
            <w:r>
              <w:rPr>
                <w:rFonts w:ascii="Arial" w:cs="Arial" w:eastAsia="Arial" w:hAnsi="Arial"/>
                <w:sz w:val="13"/>
                <w:szCs w:val="13"/>
                <w:color w:val="auto"/>
              </w:rPr>
              <w:t>Income tax expense</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44.2</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27.0</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100"/>
              <w:spacing w:after="0"/>
              <w:rPr>
                <w:sz w:val="20"/>
                <w:szCs w:val="20"/>
                <w:color w:val="auto"/>
              </w:rPr>
            </w:pPr>
            <w:r>
              <w:rPr>
                <w:rFonts w:ascii="Arial" w:cs="Arial" w:eastAsia="Arial" w:hAnsi="Arial"/>
                <w:sz w:val="13"/>
                <w:szCs w:val="13"/>
                <w:color w:val="auto"/>
              </w:rPr>
              <w:t>Depreciation</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17.7</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14.6</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40" w:type="dxa"/>
            <w:vAlign w:val="bottom"/>
          </w:tcPr>
          <w:p>
            <w:pPr>
              <w:ind w:left="100"/>
              <w:spacing w:after="0"/>
              <w:rPr>
                <w:sz w:val="20"/>
                <w:szCs w:val="20"/>
                <w:color w:val="auto"/>
              </w:rPr>
            </w:pPr>
            <w:r>
              <w:rPr>
                <w:rFonts w:ascii="Arial" w:cs="Arial" w:eastAsia="Arial" w:hAnsi="Arial"/>
                <w:sz w:val="13"/>
                <w:szCs w:val="13"/>
                <w:color w:val="auto"/>
              </w:rPr>
              <w:t>Amortization of acquired intangible assets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540" w:type="dxa"/>
            <w:vAlign w:val="bottom"/>
          </w:tcPr>
          <w:p>
            <w:pPr>
              <w:spacing w:after="0"/>
              <w:rPr>
                <w:sz w:val="20"/>
                <w:szCs w:val="20"/>
                <w:color w:val="auto"/>
              </w:rPr>
            </w:pPr>
            <w:r>
              <w:rPr>
                <w:rFonts w:ascii="Arial" w:cs="Arial" w:eastAsia="Arial" w:hAnsi="Arial"/>
                <w:sz w:val="13"/>
                <w:szCs w:val="13"/>
                <w:color w:val="auto"/>
              </w:rPr>
              <w:t>EBITDA (Non-GAAP)</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232.0</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172.1</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59.9</w:t>
            </w:r>
          </w:p>
        </w:tc>
        <w:tc>
          <w:tcPr>
            <w:tcW w:w="100" w:type="dxa"/>
            <w:vAlign w:val="bottom"/>
          </w:tcPr>
          <w:p>
            <w:pPr>
              <w:spacing w:after="0"/>
              <w:rPr>
                <w:sz w:val="14"/>
                <w:szCs w:val="14"/>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34.8</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71"/>
        </w:trPr>
        <w:tc>
          <w:tcPr>
            <w:tcW w:w="4540" w:type="dxa"/>
            <w:vAlign w:val="bottom"/>
          </w:tcPr>
          <w:p>
            <w:pPr>
              <w:ind w:left="320"/>
              <w:spacing w:after="0"/>
              <w:rPr>
                <w:sz w:val="20"/>
                <w:szCs w:val="20"/>
                <w:color w:val="auto"/>
              </w:rPr>
            </w:pPr>
            <w:r>
              <w:rPr>
                <w:rFonts w:ascii="Arial" w:cs="Arial" w:eastAsia="Arial" w:hAnsi="Arial"/>
                <w:sz w:val="13"/>
                <w:szCs w:val="13"/>
                <w:i w:val="1"/>
                <w:iCs w:val="1"/>
                <w:color w:val="auto"/>
              </w:rPr>
              <w:t>Percent of net sales (Non-GAAP)</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i w:val="1"/>
                <w:iCs w:val="1"/>
                <w:color w:val="auto"/>
              </w:rPr>
              <w:t>19.4 %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3"/>
                <w:szCs w:val="13"/>
                <w:i w:val="1"/>
                <w:iCs w:val="1"/>
                <w:color w:val="auto"/>
              </w:rPr>
              <w:t>14.6 %</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i w:val="1"/>
                <w:iCs w:val="1"/>
                <w:color w:val="auto"/>
              </w:rPr>
              <w:t>480</w:t>
            </w:r>
          </w:p>
        </w:tc>
        <w:tc>
          <w:tcPr>
            <w:tcW w:w="100" w:type="dxa"/>
            <w:vAlign w:val="bottom"/>
          </w:tcPr>
          <w:p>
            <w:pPr>
              <w:spacing w:after="0"/>
              <w:rPr>
                <w:sz w:val="14"/>
                <w:szCs w:val="14"/>
                <w:color w:val="auto"/>
              </w:rPr>
            </w:pPr>
          </w:p>
        </w:tc>
        <w:tc>
          <w:tcPr>
            <w:tcW w:w="1100" w:type="dxa"/>
            <w:vAlign w:val="bottom"/>
          </w:tcPr>
          <w:p>
            <w:pPr>
              <w:jc w:val="right"/>
              <w:ind w:right="817"/>
              <w:spacing w:after="0"/>
              <w:rPr>
                <w:sz w:val="20"/>
                <w:szCs w:val="20"/>
                <w:color w:val="auto"/>
              </w:rPr>
            </w:pPr>
            <w:r>
              <w:rPr>
                <w:rFonts w:ascii="Arial" w:cs="Arial" w:eastAsia="Arial" w:hAnsi="Arial"/>
                <w:sz w:val="13"/>
                <w:szCs w:val="13"/>
                <w:i w:val="1"/>
                <w:iCs w:val="1"/>
                <w:color w:val="auto"/>
                <w:w w:val="95"/>
              </w:rPr>
              <w:t>bps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100"/>
              <w:spacing w:after="0"/>
              <w:rPr>
                <w:sz w:val="20"/>
                <w:szCs w:val="20"/>
                <w:color w:val="auto"/>
              </w:rPr>
            </w:pPr>
            <w:r>
              <w:rPr>
                <w:rFonts w:ascii="Arial" w:cs="Arial" w:eastAsia="Arial" w:hAnsi="Arial"/>
                <w:sz w:val="13"/>
                <w:szCs w:val="13"/>
                <w:color w:val="auto"/>
              </w:rPr>
              <w:t>Share-based payment expense</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13.6</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10.5</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540" w:type="dxa"/>
            <w:vAlign w:val="bottom"/>
          </w:tcPr>
          <w:p>
            <w:pPr>
              <w:ind w:left="100"/>
              <w:spacing w:after="0"/>
              <w:rPr>
                <w:sz w:val="20"/>
                <w:szCs w:val="20"/>
                <w:color w:val="auto"/>
              </w:rPr>
            </w:pPr>
            <w:r>
              <w:rPr>
                <w:rFonts w:ascii="Arial" w:cs="Arial" w:eastAsia="Arial" w:hAnsi="Arial"/>
                <w:sz w:val="13"/>
                <w:szCs w:val="13"/>
                <w:color w:val="auto"/>
              </w:rPr>
              <w:t xml:space="preserve">Acquisition-related costs </w:t>
            </w:r>
            <w:r>
              <w:rPr>
                <w:rFonts w:ascii="Arial" w:cs="Arial" w:eastAsia="Arial" w:hAnsi="Arial"/>
                <w:sz w:val="16"/>
                <w:szCs w:val="16"/>
                <w:color w:val="auto"/>
                <w:vertAlign w:val="superscript"/>
              </w:rPr>
              <w:t>(1)</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540" w:type="dxa"/>
            <w:vAlign w:val="bottom"/>
          </w:tcPr>
          <w:p>
            <w:pPr>
              <w:ind w:left="100"/>
              <w:spacing w:after="0"/>
              <w:rPr>
                <w:sz w:val="20"/>
                <w:szCs w:val="20"/>
                <w:color w:val="auto"/>
              </w:rPr>
            </w:pPr>
            <w:r>
              <w:rPr>
                <w:rFonts w:ascii="Arial" w:cs="Arial" w:eastAsia="Arial" w:hAnsi="Arial"/>
                <w:sz w:val="13"/>
                <w:szCs w:val="13"/>
                <w:color w:val="auto"/>
              </w:rPr>
              <w:t>Acquired profit in inventory</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19.2</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100"/>
              <w:spacing w:after="0"/>
              <w:rPr>
                <w:sz w:val="20"/>
                <w:szCs w:val="20"/>
                <w:color w:val="auto"/>
              </w:rPr>
            </w:pPr>
            <w:r>
              <w:rPr>
                <w:rFonts w:ascii="Arial" w:cs="Arial" w:eastAsia="Arial" w:hAnsi="Arial"/>
                <w:sz w:val="13"/>
                <w:szCs w:val="13"/>
                <w:color w:val="auto"/>
              </w:rPr>
              <w:t>Miscellaneous expense, net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100"/>
              <w:spacing w:after="0"/>
              <w:rPr>
                <w:sz w:val="20"/>
                <w:szCs w:val="20"/>
                <w:color w:val="auto"/>
              </w:rPr>
            </w:pPr>
            <w:r>
              <w:rPr>
                <w:rFonts w:ascii="Arial" w:cs="Arial" w:eastAsia="Arial" w:hAnsi="Arial"/>
                <w:sz w:val="13"/>
                <w:szCs w:val="13"/>
                <w:color w:val="auto"/>
              </w:rPr>
              <w:t>Special charges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29.7</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40" w:type="dxa"/>
            <w:vAlign w:val="bottom"/>
          </w:tcPr>
          <w:p>
            <w:pPr>
              <w:ind w:left="100"/>
              <w:spacing w:after="0"/>
              <w:rPr>
                <w:sz w:val="20"/>
                <w:szCs w:val="20"/>
                <w:color w:val="auto"/>
              </w:rPr>
            </w:pPr>
            <w:r>
              <w:rPr>
                <w:rFonts w:ascii="Arial" w:cs="Arial" w:eastAsia="Arial" w:hAnsi="Arial"/>
                <w:sz w:val="13"/>
                <w:szCs w:val="13"/>
                <w:color w:val="auto"/>
              </w:rPr>
              <w:t>Tariff refunds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(6.4)</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tcPr>
          <w:p>
            <w:pPr>
              <w:jc w:val="right"/>
              <w:ind w:right="8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Arial" w:cs="Arial" w:eastAsia="Arial" w:hAnsi="Arial"/>
                <w:sz w:val="13"/>
                <w:szCs w:val="13"/>
                <w:color w:val="auto"/>
              </w:rPr>
              <w:t>Adjusted EBITDA (Non-GAAP)</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241.2</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236.3</w:t>
            </w:r>
          </w:p>
        </w:tc>
        <w:tc>
          <w:tcPr>
            <w:tcW w:w="8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5"/>
                <w:szCs w:val="15"/>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2.1</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320"/>
              <w:spacing w:after="0"/>
              <w:rPr>
                <w:sz w:val="20"/>
                <w:szCs w:val="20"/>
                <w:color w:val="auto"/>
              </w:rPr>
            </w:pPr>
            <w:r>
              <w:rPr>
                <w:rFonts w:ascii="Arial" w:cs="Arial" w:eastAsia="Arial" w:hAnsi="Arial"/>
                <w:sz w:val="13"/>
                <w:szCs w:val="13"/>
                <w:i w:val="1"/>
                <w:iCs w:val="1"/>
                <w:color w:val="auto"/>
              </w:rPr>
              <w:t>Percent of net sales (Non-GAAP)</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i w:val="1"/>
                <w:iCs w:val="1"/>
                <w:color w:val="auto"/>
              </w:rPr>
              <w:t>20.1 %</w:t>
            </w: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i w:val="1"/>
                <w:iCs w:val="1"/>
                <w:color w:val="auto"/>
              </w:rPr>
              <w:t>20.0 %</w:t>
            </w:r>
          </w:p>
        </w:tc>
        <w:tc>
          <w:tcPr>
            <w:tcW w:w="16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i w:val="1"/>
                <w:iCs w:val="1"/>
                <w:color w:val="auto"/>
              </w:rPr>
              <w:t>10</w:t>
            </w:r>
          </w:p>
        </w:tc>
        <w:tc>
          <w:tcPr>
            <w:tcW w:w="100" w:type="dxa"/>
            <w:vAlign w:val="bottom"/>
            <w:vMerge w:val="restart"/>
          </w:tcPr>
          <w:p>
            <w:pPr>
              <w:spacing w:after="0" w:line="20" w:lineRule="exact"/>
              <w:rPr>
                <w:sz w:val="1"/>
                <w:szCs w:val="1"/>
                <w:color w:val="auto"/>
              </w:rPr>
            </w:pPr>
          </w:p>
        </w:tc>
        <w:tc>
          <w:tcPr>
            <w:tcW w:w="1100" w:type="dxa"/>
            <w:vAlign w:val="bottom"/>
            <w:vMerge w:val="restart"/>
          </w:tcPr>
          <w:p>
            <w:pPr>
              <w:jc w:val="right"/>
              <w:ind w:right="817"/>
              <w:spacing w:after="0"/>
              <w:rPr>
                <w:sz w:val="20"/>
                <w:szCs w:val="20"/>
                <w:color w:val="auto"/>
              </w:rPr>
            </w:pPr>
            <w:r>
              <w:rPr>
                <w:rFonts w:ascii="Arial" w:cs="Arial" w:eastAsia="Arial" w:hAnsi="Arial"/>
                <w:sz w:val="13"/>
                <w:szCs w:val="13"/>
                <w:i w:val="1"/>
                <w:iCs w:val="1"/>
                <w:color w:val="auto"/>
                <w:w w:val="95"/>
              </w:rPr>
              <w:t>bps</w:t>
            </w: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45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 xml:space="preserve"> Acquisition-related items include professional fees.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269"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Press Release</w:t>
            </w:r>
          </w:p>
        </w:tc>
        <w:tc>
          <w:tcPr>
            <w:tcW w:w="0" w:type="dxa"/>
            <w:vAlign w:val="bottom"/>
          </w:tcPr>
          <w:p>
            <w:pPr>
              <w:spacing w:after="0"/>
              <w:rPr>
                <w:sz w:val="1"/>
                <w:szCs w:val="1"/>
                <w:color w:val="auto"/>
              </w:rPr>
            </w:pPr>
          </w:p>
        </w:tc>
      </w:tr>
      <w:tr>
        <w:trPr>
          <w:trHeight w:val="239"/>
        </w:trPr>
        <w:tc>
          <w:tcPr>
            <w:tcW w:w="4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628"/>
        </w:trPr>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102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Acuity Brands Lighting</w:t>
            </w:r>
          </w:p>
        </w:tc>
        <w:tc>
          <w:tcPr>
            <w:tcW w:w="10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vMerge w:val="restart"/>
          </w:tcPr>
          <w:p>
            <w:pPr>
              <w:jc w:val="right"/>
              <w:ind w:right="367"/>
              <w:spacing w:after="0"/>
              <w:rPr>
                <w:sz w:val="20"/>
                <w:szCs w:val="20"/>
                <w:color w:val="auto"/>
              </w:rPr>
            </w:pPr>
            <w:r>
              <w:rPr>
                <w:rFonts w:ascii="Arial" w:cs="Arial" w:eastAsia="Arial" w:hAnsi="Arial"/>
                <w:sz w:val="14"/>
                <w:szCs w:val="14"/>
                <w:b w:val="1"/>
                <w:bCs w:val="1"/>
                <w:color w:val="auto"/>
              </w:rPr>
              <w:t>May 31, 2026</w:t>
            </w:r>
          </w:p>
        </w:tc>
        <w:tc>
          <w:tcPr>
            <w:tcW w:w="10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May 31, 2025</w:t>
            </w:r>
          </w:p>
        </w:tc>
        <w:tc>
          <w:tcPr>
            <w:tcW w:w="80" w:type="dxa"/>
            <w:vAlign w:val="bottom"/>
            <w:gridSpan w:val="2"/>
            <w:vMerge w:val="restart"/>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tcPr>
          <w:p>
            <w:pPr>
              <w:ind w:left="140"/>
              <w:spacing w:after="0" w:line="135" w:lineRule="exact"/>
              <w:rPr>
                <w:sz w:val="20"/>
                <w:szCs w:val="20"/>
                <w:color w:val="auto"/>
              </w:rPr>
            </w:pPr>
            <w:r>
              <w:rPr>
                <w:rFonts w:ascii="Arial" w:cs="Arial" w:eastAsia="Arial" w:hAnsi="Arial"/>
                <w:sz w:val="14"/>
                <w:szCs w:val="14"/>
                <w:b w:val="1"/>
                <w:bCs w:val="1"/>
                <w:color w:val="auto"/>
              </w:rPr>
              <w:t>Increase</w:t>
            </w:r>
          </w:p>
        </w:tc>
        <w:tc>
          <w:tcPr>
            <w:tcW w:w="40" w:type="dxa"/>
            <w:vAlign w:val="bottom"/>
          </w:tcPr>
          <w:p>
            <w:pPr>
              <w:spacing w:after="0"/>
              <w:rPr>
                <w:sz w:val="11"/>
                <w:szCs w:val="11"/>
                <w:color w:val="auto"/>
              </w:rPr>
            </w:pPr>
          </w:p>
        </w:tc>
        <w:tc>
          <w:tcPr>
            <w:tcW w:w="154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448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80" w:type="dxa"/>
            <w:vAlign w:val="bottom"/>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10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Net sales</w:t>
            </w:r>
          </w:p>
        </w:tc>
        <w:tc>
          <w:tcPr>
            <w:tcW w:w="280" w:type="dxa"/>
            <w:vAlign w:val="bottom"/>
            <w:gridSpan w:val="2"/>
          </w:tcPr>
          <w:p>
            <w:pPr>
              <w:jc w:val="right"/>
              <w:ind w:right="200"/>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107"/>
              <w:spacing w:after="0"/>
              <w:rPr>
                <w:sz w:val="20"/>
                <w:szCs w:val="20"/>
                <w:color w:val="auto"/>
              </w:rPr>
            </w:pPr>
            <w:r>
              <w:rPr>
                <w:rFonts w:ascii="Arial" w:cs="Arial" w:eastAsia="Arial" w:hAnsi="Arial"/>
                <w:sz w:val="14"/>
                <w:szCs w:val="14"/>
                <w:color w:val="auto"/>
              </w:rPr>
              <w:t>905.2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923.2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473"/>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Gross profit (GAAP)</w:t>
            </w:r>
          </w:p>
        </w:tc>
        <w:tc>
          <w:tcPr>
            <w:tcW w:w="280" w:type="dxa"/>
            <w:vAlign w:val="bottom"/>
            <w:gridSpan w:val="2"/>
          </w:tcPr>
          <w:p>
            <w:pPr>
              <w:jc w:val="right"/>
              <w:ind w:right="200"/>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107"/>
              <w:spacing w:after="0"/>
              <w:rPr>
                <w:sz w:val="20"/>
                <w:szCs w:val="20"/>
                <w:color w:val="auto"/>
              </w:rPr>
            </w:pPr>
            <w:r>
              <w:rPr>
                <w:rFonts w:ascii="Arial" w:cs="Arial" w:eastAsia="Arial" w:hAnsi="Arial"/>
                <w:sz w:val="14"/>
                <w:szCs w:val="14"/>
                <w:color w:val="auto"/>
              </w:rPr>
              <w:t>423.4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430.4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206"/>
        </w:trPr>
        <w:tc>
          <w:tcPr>
            <w:tcW w:w="4580" w:type="dxa"/>
            <w:vAlign w:val="bottom"/>
            <w:gridSpan w:val="3"/>
          </w:tcPr>
          <w:p>
            <w:pPr>
              <w:ind w:left="140"/>
              <w:spacing w:after="0"/>
              <w:rPr>
                <w:sz w:val="20"/>
                <w:szCs w:val="20"/>
                <w:color w:val="auto"/>
              </w:rPr>
            </w:pPr>
            <w:r>
              <w:rPr>
                <w:rFonts w:ascii="Arial" w:cs="Arial" w:eastAsia="Arial" w:hAnsi="Arial"/>
                <w:sz w:val="14"/>
                <w:szCs w:val="14"/>
                <w:color w:val="auto"/>
              </w:rPr>
              <w:t>Less: Tariff refunds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67"/>
              <w:spacing w:after="0"/>
              <w:rPr>
                <w:sz w:val="20"/>
                <w:szCs w:val="20"/>
                <w:color w:val="auto"/>
              </w:rPr>
            </w:pPr>
            <w:r>
              <w:rPr>
                <w:rFonts w:ascii="Arial" w:cs="Arial" w:eastAsia="Arial" w:hAnsi="Arial"/>
                <w:sz w:val="14"/>
                <w:szCs w:val="14"/>
                <w:color w:val="auto"/>
              </w:rPr>
              <w:t>(6.4)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Adjusted gross profit (Non-GAAP)</w:t>
            </w:r>
          </w:p>
        </w:tc>
        <w:tc>
          <w:tcPr>
            <w:tcW w:w="28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4"/>
                <w:szCs w:val="14"/>
                <w:color w:val="auto"/>
              </w:rPr>
              <w:t>417.0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430.4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Gross profit margin (GAAP)</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46.8 %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46.6 %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2"/>
          </w:tcPr>
          <w:p>
            <w:pPr>
              <w:jc w:val="right"/>
              <w:ind w:right="1244"/>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Adjusted gross profit margin (Non-GAAP)</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46.1 %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46.6 %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gridSpan w:val="2"/>
          </w:tcPr>
          <w:p>
            <w:pPr>
              <w:jc w:val="right"/>
              <w:ind w:right="1244"/>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418"/>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Operating profit (GAAP)</w:t>
            </w:r>
          </w:p>
        </w:tc>
        <w:tc>
          <w:tcPr>
            <w:tcW w:w="280" w:type="dxa"/>
            <w:vAlign w:val="bottom"/>
            <w:gridSpan w:val="2"/>
          </w:tcPr>
          <w:p>
            <w:pPr>
              <w:jc w:val="right"/>
              <w:ind w:right="200"/>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107"/>
              <w:spacing w:after="0"/>
              <w:rPr>
                <w:sz w:val="20"/>
                <w:szCs w:val="20"/>
                <w:color w:val="auto"/>
              </w:rPr>
            </w:pPr>
            <w:r>
              <w:rPr>
                <w:rFonts w:ascii="Arial" w:cs="Arial" w:eastAsia="Arial" w:hAnsi="Arial"/>
                <w:sz w:val="14"/>
                <w:szCs w:val="14"/>
                <w:color w:val="auto"/>
              </w:rPr>
              <w:t>160.6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134.0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19.9 %</w:t>
            </w:r>
          </w:p>
        </w:tc>
        <w:tc>
          <w:tcPr>
            <w:tcW w:w="0" w:type="dxa"/>
            <w:vAlign w:val="bottom"/>
          </w:tcPr>
          <w:p>
            <w:pPr>
              <w:spacing w:after="0"/>
              <w:rPr>
                <w:sz w:val="1"/>
                <w:szCs w:val="1"/>
                <w:color w:val="auto"/>
              </w:rPr>
            </w:pPr>
          </w:p>
        </w:tc>
      </w:tr>
      <w:tr>
        <w:trPr>
          <w:trHeight w:val="203"/>
        </w:trPr>
        <w:tc>
          <w:tcPr>
            <w:tcW w:w="4580" w:type="dxa"/>
            <w:vAlign w:val="bottom"/>
            <w:gridSpan w:val="3"/>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07"/>
              <w:spacing w:after="0"/>
              <w:rPr>
                <w:sz w:val="20"/>
                <w:szCs w:val="20"/>
                <w:color w:val="auto"/>
              </w:rPr>
            </w:pPr>
            <w:r>
              <w:rPr>
                <w:rFonts w:ascii="Arial" w:cs="Arial" w:eastAsia="Arial" w:hAnsi="Arial"/>
                <w:sz w:val="14"/>
                <w:szCs w:val="14"/>
                <w:color w:val="auto"/>
              </w:rPr>
              <w:t>6.1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6.3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gridSpan w:val="3"/>
          </w:tcPr>
          <w:p>
            <w:pPr>
              <w:ind w:left="140"/>
              <w:spacing w:after="0"/>
              <w:rPr>
                <w:sz w:val="20"/>
                <w:szCs w:val="20"/>
                <w:color w:val="auto"/>
              </w:rPr>
            </w:pPr>
            <w:r>
              <w:rPr>
                <w:rFonts w:ascii="Arial" w:cs="Arial" w:eastAsia="Arial" w:hAnsi="Arial"/>
                <w:sz w:val="14"/>
                <w:szCs w:val="14"/>
                <w:color w:val="auto"/>
              </w:rPr>
              <w:t>Add-back: Share-based payment expense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07"/>
              <w:spacing w:after="0"/>
              <w:rPr>
                <w:sz w:val="20"/>
                <w:szCs w:val="20"/>
                <w:color w:val="auto"/>
              </w:rPr>
            </w:pPr>
            <w:r>
              <w:rPr>
                <w:rFonts w:ascii="Arial" w:cs="Arial" w:eastAsia="Arial" w:hAnsi="Arial"/>
                <w:sz w:val="14"/>
                <w:szCs w:val="14"/>
                <w:color w:val="auto"/>
              </w:rPr>
              <w:t>4.3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3.9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gridSpan w:val="3"/>
          </w:tcPr>
          <w:p>
            <w:pPr>
              <w:ind w:left="140"/>
              <w:spacing w:after="0"/>
              <w:rPr>
                <w:sz w:val="20"/>
                <w:szCs w:val="20"/>
                <w:color w:val="auto"/>
              </w:rPr>
            </w:pPr>
            <w:r>
              <w:rPr>
                <w:rFonts w:ascii="Arial" w:cs="Arial" w:eastAsia="Arial" w:hAnsi="Arial"/>
                <w:sz w:val="14"/>
                <w:szCs w:val="14"/>
                <w:color w:val="auto"/>
              </w:rPr>
              <w:t>Add-back: Special charges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29.7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80" w:type="dxa"/>
            <w:vAlign w:val="bottom"/>
            <w:gridSpan w:val="3"/>
          </w:tcPr>
          <w:p>
            <w:pPr>
              <w:ind w:left="140"/>
              <w:spacing w:after="0"/>
              <w:rPr>
                <w:sz w:val="20"/>
                <w:szCs w:val="20"/>
                <w:color w:val="auto"/>
              </w:rPr>
            </w:pPr>
            <w:r>
              <w:rPr>
                <w:rFonts w:ascii="Arial" w:cs="Arial" w:eastAsia="Arial" w:hAnsi="Arial"/>
                <w:sz w:val="14"/>
                <w:szCs w:val="14"/>
                <w:color w:val="auto"/>
              </w:rPr>
              <w:t>Less: Tariff refunds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67"/>
              <w:spacing w:after="0"/>
              <w:rPr>
                <w:sz w:val="20"/>
                <w:szCs w:val="20"/>
                <w:color w:val="auto"/>
              </w:rPr>
            </w:pPr>
            <w:r>
              <w:rPr>
                <w:rFonts w:ascii="Arial" w:cs="Arial" w:eastAsia="Arial" w:hAnsi="Arial"/>
                <w:sz w:val="14"/>
                <w:szCs w:val="14"/>
                <w:color w:val="auto"/>
              </w:rPr>
              <w:t>(6.4)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Adjusted operating profit (Non-GAAP)</w:t>
            </w:r>
          </w:p>
        </w:tc>
        <w:tc>
          <w:tcPr>
            <w:tcW w:w="28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4"/>
                <w:szCs w:val="14"/>
                <w:color w:val="auto"/>
              </w:rPr>
              <w:t>164.6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173.9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(5.3) %</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1"/>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Operating profit margin (GAAP)</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17.7 %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14.5 %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2"/>
          </w:tcPr>
          <w:p>
            <w:pPr>
              <w:jc w:val="right"/>
              <w:ind w:right="1244"/>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Adjusted operating profit margin (Non-GAAP)</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18.2 %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18.8 %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gridSpan w:val="2"/>
          </w:tcPr>
          <w:p>
            <w:pPr>
              <w:jc w:val="right"/>
              <w:ind w:right="1244"/>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451"/>
        </w:trPr>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Acuity Intelligent Spaces</w:t>
            </w:r>
          </w:p>
        </w:tc>
        <w:tc>
          <w:tcPr>
            <w:tcW w:w="6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May 31, 2026</w:t>
            </w:r>
          </w:p>
        </w:tc>
        <w:tc>
          <w:tcPr>
            <w:tcW w:w="6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May 31, 2025</w:t>
            </w:r>
          </w:p>
        </w:tc>
        <w:tc>
          <w:tcPr>
            <w:tcW w:w="4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rPr>
              <w:t>Increase</w:t>
            </w:r>
          </w:p>
        </w:tc>
        <w:tc>
          <w:tcPr>
            <w:tcW w:w="40" w:type="dxa"/>
            <w:vAlign w:val="bottom"/>
          </w:tcPr>
          <w:p>
            <w:pPr>
              <w:spacing w:after="0"/>
              <w:rPr>
                <w:sz w:val="11"/>
                <w:szCs w:val="11"/>
                <w:color w:val="auto"/>
              </w:rPr>
            </w:pPr>
          </w:p>
        </w:tc>
        <w:tc>
          <w:tcPr>
            <w:tcW w:w="154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4520" w:type="dxa"/>
            <w:vAlign w:val="bottom"/>
            <w:tcBorders>
              <w:bottom w:val="single" w:sz="8" w:color="auto"/>
            </w:tcBorders>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(Decrease)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Net sales</w:t>
            </w:r>
          </w:p>
        </w:tc>
        <w:tc>
          <w:tcPr>
            <w:tcW w:w="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67"/>
              <w:spacing w:after="0"/>
              <w:rPr>
                <w:sz w:val="20"/>
                <w:szCs w:val="20"/>
                <w:color w:val="auto"/>
              </w:rPr>
            </w:pPr>
            <w:r>
              <w:rPr>
                <w:rFonts w:ascii="Arial" w:cs="Arial" w:eastAsia="Arial" w:hAnsi="Arial"/>
                <w:sz w:val="14"/>
                <w:szCs w:val="14"/>
                <w:color w:val="auto"/>
              </w:rPr>
              <w:t>303.5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264.1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39.4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14.9 %</w:t>
            </w:r>
          </w:p>
        </w:tc>
        <w:tc>
          <w:tcPr>
            <w:tcW w:w="0" w:type="dxa"/>
            <w:vAlign w:val="bottom"/>
          </w:tcPr>
          <w:p>
            <w:pPr>
              <w:spacing w:after="0"/>
              <w:rPr>
                <w:sz w:val="1"/>
                <w:szCs w:val="1"/>
                <w:color w:val="auto"/>
              </w:rPr>
            </w:pPr>
          </w:p>
        </w:tc>
      </w:tr>
      <w:tr>
        <w:trPr>
          <w:trHeight w:val="472"/>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Gross profit (GAAP)</w:t>
            </w:r>
          </w:p>
        </w:tc>
        <w:tc>
          <w:tcPr>
            <w:tcW w:w="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67"/>
              <w:spacing w:after="0"/>
              <w:rPr>
                <w:sz w:val="20"/>
                <w:szCs w:val="20"/>
                <w:color w:val="auto"/>
              </w:rPr>
            </w:pPr>
            <w:r>
              <w:rPr>
                <w:rFonts w:ascii="Arial" w:cs="Arial" w:eastAsia="Arial" w:hAnsi="Arial"/>
                <w:sz w:val="14"/>
                <w:szCs w:val="14"/>
                <w:color w:val="auto"/>
              </w:rPr>
              <w:t>183.0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139.8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43.2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30.9 %</w:t>
            </w:r>
          </w:p>
        </w:tc>
        <w:tc>
          <w:tcPr>
            <w:tcW w:w="0" w:type="dxa"/>
            <w:vAlign w:val="bottom"/>
          </w:tcPr>
          <w:p>
            <w:pPr>
              <w:spacing w:after="0"/>
              <w:rPr>
                <w:sz w:val="1"/>
                <w:szCs w:val="1"/>
                <w:color w:val="auto"/>
              </w:rPr>
            </w:pPr>
          </w:p>
        </w:tc>
      </w:tr>
      <w:tr>
        <w:trPr>
          <w:trHeight w:val="207"/>
        </w:trPr>
        <w:tc>
          <w:tcPr>
            <w:tcW w:w="4580" w:type="dxa"/>
            <w:vAlign w:val="bottom"/>
            <w:gridSpan w:val="3"/>
          </w:tcPr>
          <w:p>
            <w:pPr>
              <w:ind w:left="140"/>
              <w:spacing w:after="0"/>
              <w:rPr>
                <w:sz w:val="20"/>
                <w:szCs w:val="20"/>
                <w:color w:val="auto"/>
              </w:rPr>
            </w:pPr>
            <w:r>
              <w:rPr>
                <w:rFonts w:ascii="Arial" w:cs="Arial" w:eastAsia="Arial" w:hAnsi="Arial"/>
                <w:sz w:val="14"/>
                <w:szCs w:val="14"/>
                <w:color w:val="auto"/>
              </w:rPr>
              <w:t>Add-back: Acquired profit in inventory</w:t>
            </w: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19.2</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Adjusted gross profit (Non-GAAP)</w:t>
            </w:r>
          </w:p>
        </w:tc>
        <w:tc>
          <w:tcPr>
            <w:tcW w:w="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67"/>
              <w:spacing w:after="0"/>
              <w:rPr>
                <w:sz w:val="20"/>
                <w:szCs w:val="20"/>
                <w:color w:val="auto"/>
              </w:rPr>
            </w:pPr>
            <w:r>
              <w:rPr>
                <w:rFonts w:ascii="Arial" w:cs="Arial" w:eastAsia="Arial" w:hAnsi="Arial"/>
                <w:sz w:val="14"/>
                <w:szCs w:val="14"/>
                <w:color w:val="auto"/>
              </w:rPr>
              <w:t>183.0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159.0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24.0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15.1 %</w:t>
            </w:r>
          </w:p>
        </w:tc>
        <w:tc>
          <w:tcPr>
            <w:tcW w:w="0" w:type="dxa"/>
            <w:vAlign w:val="bottom"/>
          </w:tcPr>
          <w:p>
            <w:pPr>
              <w:spacing w:after="0"/>
              <w:rPr>
                <w:sz w:val="1"/>
                <w:szCs w:val="1"/>
                <w:color w:val="auto"/>
              </w:rPr>
            </w:pPr>
          </w:p>
        </w:tc>
      </w:tr>
      <w:tr>
        <w:trPr>
          <w:trHeight w:val="20"/>
        </w:trPr>
        <w:tc>
          <w:tcPr>
            <w:tcW w:w="4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Gross profit margin (GAAP)</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60.3 %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52.9 %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right"/>
              <w:ind w:right="1204"/>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Adjusted gross profit margin (Non-GAAP)</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60.3 %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60.2 %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jc w:val="right"/>
              <w:ind w:right="1204"/>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472"/>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Operating profit (GAAP)</w:t>
            </w:r>
          </w:p>
        </w:tc>
        <w:tc>
          <w:tcPr>
            <w:tcW w:w="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67"/>
              <w:spacing w:after="0"/>
              <w:rPr>
                <w:sz w:val="20"/>
                <w:szCs w:val="20"/>
                <w:color w:val="auto"/>
              </w:rPr>
            </w:pPr>
            <w:r>
              <w:rPr>
                <w:rFonts w:ascii="Arial" w:cs="Arial" w:eastAsia="Arial" w:hAnsi="Arial"/>
                <w:sz w:val="14"/>
                <w:szCs w:val="14"/>
                <w:color w:val="auto"/>
              </w:rPr>
              <w:t>56.5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27.4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106.2 %</w:t>
            </w:r>
          </w:p>
        </w:tc>
        <w:tc>
          <w:tcPr>
            <w:tcW w:w="0" w:type="dxa"/>
            <w:vAlign w:val="bottom"/>
          </w:tcPr>
          <w:p>
            <w:pPr>
              <w:spacing w:after="0"/>
              <w:rPr>
                <w:sz w:val="1"/>
                <w:szCs w:val="1"/>
                <w:color w:val="auto"/>
              </w:rPr>
            </w:pPr>
          </w:p>
        </w:tc>
      </w:tr>
      <w:tr>
        <w:trPr>
          <w:trHeight w:val="203"/>
        </w:trPr>
        <w:tc>
          <w:tcPr>
            <w:tcW w:w="4580" w:type="dxa"/>
            <w:vAlign w:val="bottom"/>
            <w:gridSpan w:val="3"/>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67"/>
              <w:spacing w:after="0"/>
              <w:rPr>
                <w:sz w:val="20"/>
                <w:szCs w:val="20"/>
                <w:color w:val="auto"/>
              </w:rPr>
            </w:pPr>
            <w:r>
              <w:rPr>
                <w:rFonts w:ascii="Arial" w:cs="Arial" w:eastAsia="Arial" w:hAnsi="Arial"/>
                <w:sz w:val="14"/>
                <w:szCs w:val="14"/>
                <w:color w:val="auto"/>
              </w:rPr>
              <w:t>16.9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13.7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gridSpan w:val="3"/>
          </w:tcPr>
          <w:p>
            <w:pPr>
              <w:ind w:left="140"/>
              <w:spacing w:after="0"/>
              <w:rPr>
                <w:sz w:val="20"/>
                <w:szCs w:val="20"/>
                <w:color w:val="auto"/>
              </w:rPr>
            </w:pPr>
            <w:r>
              <w:rPr>
                <w:rFonts w:ascii="Arial" w:cs="Arial" w:eastAsia="Arial" w:hAnsi="Arial"/>
                <w:sz w:val="14"/>
                <w:szCs w:val="14"/>
                <w:color w:val="auto"/>
              </w:rPr>
              <w:t>Add-back: Share-based payment expense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67"/>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80" w:type="dxa"/>
            <w:vAlign w:val="bottom"/>
            <w:gridSpan w:val="3"/>
          </w:tcPr>
          <w:p>
            <w:pPr>
              <w:ind w:left="140"/>
              <w:spacing w:after="0"/>
              <w:rPr>
                <w:sz w:val="20"/>
                <w:szCs w:val="20"/>
                <w:color w:val="auto"/>
              </w:rPr>
            </w:pPr>
            <w:r>
              <w:rPr>
                <w:rFonts w:ascii="Arial" w:cs="Arial" w:eastAsia="Arial" w:hAnsi="Arial"/>
                <w:sz w:val="14"/>
                <w:szCs w:val="14"/>
                <w:color w:val="auto"/>
              </w:rPr>
              <w:t>Add-back: Acquired profit in inventory</w:t>
            </w: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19.2</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Adjusted operating profit (Non-GAAP)</w:t>
            </w:r>
          </w:p>
        </w:tc>
        <w:tc>
          <w:tcPr>
            <w:tcW w:w="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67"/>
              <w:spacing w:after="0"/>
              <w:rPr>
                <w:sz w:val="20"/>
                <w:szCs w:val="20"/>
                <w:color w:val="auto"/>
              </w:rPr>
            </w:pPr>
            <w:r>
              <w:rPr>
                <w:rFonts w:ascii="Arial" w:cs="Arial" w:eastAsia="Arial" w:hAnsi="Arial"/>
                <w:sz w:val="14"/>
                <w:szCs w:val="14"/>
                <w:color w:val="auto"/>
              </w:rPr>
              <w:t>76.3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62.3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22.5 %</w:t>
            </w:r>
          </w:p>
        </w:tc>
        <w:tc>
          <w:tcPr>
            <w:tcW w:w="0" w:type="dxa"/>
            <w:vAlign w:val="bottom"/>
          </w:tcPr>
          <w:p>
            <w:pPr>
              <w:spacing w:after="0"/>
              <w:rPr>
                <w:sz w:val="1"/>
                <w:szCs w:val="1"/>
                <w:color w:val="auto"/>
              </w:rPr>
            </w:pPr>
          </w:p>
        </w:tc>
      </w:tr>
      <w:tr>
        <w:trPr>
          <w:trHeight w:val="21"/>
        </w:trPr>
        <w:tc>
          <w:tcPr>
            <w:tcW w:w="4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1"/>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Operating profit margin (GAAP)</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18.6 %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10.4 %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right"/>
              <w:ind w:right="1204"/>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Adjusted operating profit margin (Non-GAAP)</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25.1 %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23.6 %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jc w:val="right"/>
              <w:ind w:right="1204"/>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876"/>
        </w:trPr>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ind w:right="527"/>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9" w:right="339" w:bottom="1440" w:gutter="0" w:footer="0" w:header="0"/>
        </w:sectPr>
      </w:pPr>
    </w:p>
    <w:bookmarkStart w:id="13" w:name="page14"/>
    <w:bookmarkEnd w:id="13"/>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Press Release</w:t>
            </w:r>
          </w:p>
        </w:tc>
        <w:tc>
          <w:tcPr>
            <w:tcW w:w="0" w:type="dxa"/>
            <w:vAlign w:val="bottom"/>
          </w:tcPr>
          <w:p>
            <w:pPr>
              <w:spacing w:after="0"/>
              <w:rPr>
                <w:sz w:val="1"/>
                <w:szCs w:val="1"/>
                <w:color w:val="auto"/>
              </w:rPr>
            </w:pPr>
          </w:p>
        </w:tc>
      </w:tr>
      <w:tr>
        <w:trPr>
          <w:trHeight w:val="239"/>
        </w:trPr>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790"/>
        </w:trPr>
        <w:tc>
          <w:tcPr>
            <w:tcW w:w="4640" w:type="dxa"/>
            <w:vAlign w:val="bottom"/>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right"/>
              <w:ind w:right="888"/>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May 31, 2026</w:t>
            </w:r>
          </w:p>
        </w:tc>
        <w:tc>
          <w:tcPr>
            <w:tcW w:w="120" w:type="dxa"/>
            <w:vAlign w:val="bottom"/>
          </w:tcPr>
          <w:p>
            <w:pPr>
              <w:spacing w:after="0"/>
              <w:rPr>
                <w:sz w:val="11"/>
                <w:szCs w:val="11"/>
                <w:color w:val="auto"/>
              </w:rPr>
            </w:pPr>
          </w:p>
        </w:tc>
        <w:tc>
          <w:tcPr>
            <w:tcW w:w="2020" w:type="dxa"/>
            <w:vAlign w:val="bottom"/>
            <w:gridSpan w:val="2"/>
            <w:vMerge w:val="restart"/>
          </w:tcPr>
          <w:p>
            <w:pPr>
              <w:jc w:val="right"/>
              <w:ind w:right="1048"/>
              <w:spacing w:after="0"/>
              <w:rPr>
                <w:sz w:val="20"/>
                <w:szCs w:val="20"/>
                <w:color w:val="auto"/>
              </w:rPr>
            </w:pPr>
            <w:r>
              <w:rPr>
                <w:rFonts w:ascii="Arial" w:cs="Arial" w:eastAsia="Arial" w:hAnsi="Arial"/>
                <w:sz w:val="14"/>
                <w:szCs w:val="14"/>
                <w:b w:val="1"/>
                <w:bCs w:val="1"/>
                <w:color w:val="auto"/>
              </w:rPr>
              <w:t>May 31, 2025</w:t>
            </w:r>
          </w:p>
        </w:tc>
        <w:tc>
          <w:tcPr>
            <w:tcW w:w="140" w:type="dxa"/>
            <w:vAlign w:val="bottom"/>
          </w:tcPr>
          <w:p>
            <w:pPr>
              <w:spacing w:after="0"/>
              <w:rPr>
                <w:sz w:val="11"/>
                <w:szCs w:val="11"/>
                <w:color w:val="auto"/>
              </w:rPr>
            </w:pPr>
          </w:p>
        </w:tc>
        <w:tc>
          <w:tcPr>
            <w:tcW w:w="920" w:type="dxa"/>
            <w:vAlign w:val="bottom"/>
          </w:tcPr>
          <w:p>
            <w:pPr>
              <w:jc w:val="right"/>
              <w:ind w:right="148"/>
              <w:spacing w:after="0" w:line="131" w:lineRule="exact"/>
              <w:rPr>
                <w:sz w:val="20"/>
                <w:szCs w:val="20"/>
                <w:color w:val="auto"/>
              </w:rPr>
            </w:pPr>
            <w:r>
              <w:rPr>
                <w:rFonts w:ascii="Arial" w:cs="Arial" w:eastAsia="Arial" w:hAnsi="Arial"/>
                <w:sz w:val="14"/>
                <w:szCs w:val="14"/>
                <w:b w:val="1"/>
                <w:bCs w:val="1"/>
                <w:color w:val="auto"/>
              </w:rPr>
              <w:t>Increase</w:t>
            </w: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(Decrease)</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40" w:type="dxa"/>
            <w:vAlign w:val="bottom"/>
          </w:tcPr>
          <w:p>
            <w:pPr>
              <w:spacing w:after="0"/>
              <w:rPr>
                <w:sz w:val="20"/>
                <w:szCs w:val="20"/>
                <w:color w:val="auto"/>
              </w:rPr>
            </w:pPr>
            <w:r>
              <w:rPr>
                <w:rFonts w:ascii="Arial" w:cs="Arial" w:eastAsia="Arial" w:hAnsi="Arial"/>
                <w:sz w:val="14"/>
                <w:szCs w:val="14"/>
                <w:color w:val="auto"/>
              </w:rPr>
              <w:t>Net sales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3,397.4</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3,136.5</w:t>
            </w:r>
          </w:p>
        </w:tc>
        <w:tc>
          <w:tcPr>
            <w:tcW w:w="9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260.9</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8.3 %</w:t>
            </w:r>
          </w:p>
        </w:tc>
        <w:tc>
          <w:tcPr>
            <w:tcW w:w="0" w:type="dxa"/>
            <w:vAlign w:val="bottom"/>
          </w:tcPr>
          <w:p>
            <w:pPr>
              <w:spacing w:after="0"/>
              <w:rPr>
                <w:sz w:val="1"/>
                <w:szCs w:val="1"/>
                <w:color w:val="auto"/>
              </w:rPr>
            </w:pPr>
          </w:p>
        </w:tc>
      </w:tr>
      <w:tr>
        <w:trPr>
          <w:trHeight w:val="473"/>
        </w:trPr>
        <w:tc>
          <w:tcPr>
            <w:tcW w:w="4640" w:type="dxa"/>
            <w:vAlign w:val="bottom"/>
          </w:tcPr>
          <w:p>
            <w:pPr>
              <w:spacing w:after="0"/>
              <w:rPr>
                <w:sz w:val="20"/>
                <w:szCs w:val="20"/>
                <w:color w:val="auto"/>
              </w:rPr>
            </w:pPr>
            <w:r>
              <w:rPr>
                <w:rFonts w:ascii="Arial" w:cs="Arial" w:eastAsia="Arial" w:hAnsi="Arial"/>
                <w:sz w:val="14"/>
                <w:szCs w:val="14"/>
                <w:color w:val="auto"/>
              </w:rPr>
              <w:t>Gross profit (GAAP)</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1,680.6</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1,487.5</w:t>
            </w:r>
          </w:p>
        </w:tc>
        <w:tc>
          <w:tcPr>
            <w:tcW w:w="9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193.1</w:t>
            </w:r>
          </w:p>
        </w:tc>
        <w:tc>
          <w:tcPr>
            <w:tcW w:w="1240" w:type="dxa"/>
            <w:vAlign w:val="bottom"/>
          </w:tcPr>
          <w:p>
            <w:pPr>
              <w:jc w:val="right"/>
              <w:spacing w:after="0"/>
              <w:rPr>
                <w:sz w:val="20"/>
                <w:szCs w:val="20"/>
                <w:color w:val="auto"/>
              </w:rPr>
            </w:pPr>
            <w:r>
              <w:rPr>
                <w:rFonts w:ascii="Arial" w:cs="Arial" w:eastAsia="Arial" w:hAnsi="Arial"/>
                <w:sz w:val="14"/>
                <w:szCs w:val="14"/>
                <w:color w:val="auto"/>
              </w:rPr>
              <w:t>13.0 %</w:t>
            </w:r>
          </w:p>
        </w:tc>
        <w:tc>
          <w:tcPr>
            <w:tcW w:w="0" w:type="dxa"/>
            <w:vAlign w:val="bottom"/>
          </w:tcPr>
          <w:p>
            <w:pPr>
              <w:spacing w:after="0"/>
              <w:rPr>
                <w:sz w:val="1"/>
                <w:szCs w:val="1"/>
                <w:color w:val="auto"/>
              </w:rPr>
            </w:pPr>
          </w:p>
        </w:tc>
      </w:tr>
      <w:tr>
        <w:trPr>
          <w:trHeight w:val="203"/>
        </w:trPr>
        <w:tc>
          <w:tcPr>
            <w:tcW w:w="4640" w:type="dxa"/>
            <w:vAlign w:val="bottom"/>
          </w:tcPr>
          <w:p>
            <w:pPr>
              <w:ind w:left="340"/>
              <w:spacing w:after="0"/>
              <w:rPr>
                <w:sz w:val="20"/>
                <w:szCs w:val="20"/>
                <w:color w:val="auto"/>
              </w:rPr>
            </w:pPr>
            <w:r>
              <w:rPr>
                <w:rFonts w:ascii="Arial" w:cs="Arial" w:eastAsia="Arial" w:hAnsi="Arial"/>
                <w:sz w:val="14"/>
                <w:szCs w:val="14"/>
                <w:i w:val="1"/>
                <w:iCs w:val="1"/>
                <w:color w:val="auto"/>
              </w:rPr>
              <w:t>Percent of net sales (GAAP)</w:t>
            </w:r>
          </w:p>
        </w:tc>
        <w:tc>
          <w:tcPr>
            <w:tcW w:w="1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i w:val="1"/>
                <w:iCs w:val="1"/>
                <w:color w:val="auto"/>
              </w:rPr>
              <w:t>49.5 %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47.4 %</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210</w:t>
            </w:r>
          </w:p>
        </w:tc>
        <w:tc>
          <w:tcPr>
            <w:tcW w:w="1240" w:type="dxa"/>
            <w:vAlign w:val="bottom"/>
          </w:tcPr>
          <w:p>
            <w:pPr>
              <w:jc w:val="right"/>
              <w:ind w:right="886"/>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4"/>
                <w:szCs w:val="14"/>
                <w:color w:val="auto"/>
              </w:rPr>
              <w:t>Add-back: Acquired profit in inventory</w:t>
            </w:r>
          </w:p>
        </w:tc>
        <w:tc>
          <w:tcPr>
            <w:tcW w:w="120" w:type="dxa"/>
            <w:vAlign w:val="bottom"/>
          </w:tcPr>
          <w:p>
            <w:pPr>
              <w:spacing w:after="0"/>
              <w:rPr>
                <w:sz w:val="17"/>
                <w:szCs w:val="17"/>
                <w:color w:val="auto"/>
              </w:rPr>
            </w:pPr>
          </w:p>
        </w:tc>
        <w:tc>
          <w:tcPr>
            <w:tcW w:w="2000" w:type="dxa"/>
            <w:vAlign w:val="bottom"/>
            <w:gridSpan w:val="3"/>
          </w:tcPr>
          <w:p>
            <w:pPr>
              <w:jc w:val="right"/>
              <w:ind w:right="10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29.6</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40" w:type="dxa"/>
            <w:vAlign w:val="bottom"/>
          </w:tcPr>
          <w:p>
            <w:pPr>
              <w:spacing w:after="0"/>
              <w:rPr>
                <w:sz w:val="20"/>
                <w:szCs w:val="20"/>
                <w:color w:val="auto"/>
              </w:rPr>
            </w:pPr>
            <w:r>
              <w:rPr>
                <w:rFonts w:ascii="Arial" w:cs="Arial" w:eastAsia="Arial" w:hAnsi="Arial"/>
                <w:sz w:val="14"/>
                <w:szCs w:val="14"/>
                <w:color w:val="auto"/>
              </w:rPr>
              <w:t>Less: Tariff refunds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right"/>
              <w:ind w:right="9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40" w:type="dxa"/>
            <w:vAlign w:val="bottom"/>
          </w:tcPr>
          <w:p>
            <w:pPr>
              <w:spacing w:after="0"/>
              <w:rPr>
                <w:sz w:val="20"/>
                <w:szCs w:val="20"/>
                <w:color w:val="auto"/>
              </w:rPr>
            </w:pPr>
            <w:r>
              <w:rPr>
                <w:rFonts w:ascii="Arial" w:cs="Arial" w:eastAsia="Arial" w:hAnsi="Arial"/>
                <w:sz w:val="14"/>
                <w:szCs w:val="14"/>
                <w:color w:val="auto"/>
              </w:rPr>
              <w:t>Adjusted gross profit (Non-GAAP)</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1,674.2</w:t>
            </w:r>
          </w:p>
        </w:tc>
        <w:tc>
          <w:tcPr>
            <w:tcW w:w="8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1,517.1</w:t>
            </w:r>
          </w:p>
        </w:tc>
        <w:tc>
          <w:tcPr>
            <w:tcW w:w="9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157.1</w:t>
            </w:r>
          </w:p>
        </w:tc>
        <w:tc>
          <w:tcPr>
            <w:tcW w:w="1240" w:type="dxa"/>
            <w:vAlign w:val="bottom"/>
          </w:tcPr>
          <w:p>
            <w:pPr>
              <w:jc w:val="right"/>
              <w:spacing w:after="0"/>
              <w:rPr>
                <w:sz w:val="20"/>
                <w:szCs w:val="20"/>
                <w:color w:val="auto"/>
              </w:rPr>
            </w:pPr>
            <w:r>
              <w:rPr>
                <w:rFonts w:ascii="Arial" w:cs="Arial" w:eastAsia="Arial" w:hAnsi="Arial"/>
                <w:sz w:val="14"/>
                <w:szCs w:val="14"/>
                <w:color w:val="auto"/>
              </w:rPr>
              <w:t>10.4 %</w:t>
            </w:r>
          </w:p>
        </w:tc>
        <w:tc>
          <w:tcPr>
            <w:tcW w:w="0" w:type="dxa"/>
            <w:vAlign w:val="bottom"/>
          </w:tcPr>
          <w:p>
            <w:pPr>
              <w:spacing w:after="0"/>
              <w:rPr>
                <w:sz w:val="1"/>
                <w:szCs w:val="1"/>
                <w:color w:val="auto"/>
              </w:rPr>
            </w:pPr>
          </w:p>
        </w:tc>
      </w:tr>
      <w:tr>
        <w:trPr>
          <w:trHeight w:val="21"/>
        </w:trPr>
        <w:tc>
          <w:tcPr>
            <w:tcW w:w="4640" w:type="dxa"/>
            <w:vAlign w:val="bottom"/>
            <w:vMerge w:val="restart"/>
          </w:tcPr>
          <w:p>
            <w:pPr>
              <w:ind w:left="340"/>
              <w:spacing w:after="0"/>
              <w:rPr>
                <w:sz w:val="20"/>
                <w:szCs w:val="20"/>
                <w:color w:val="auto"/>
              </w:rPr>
            </w:pPr>
            <w:r>
              <w:rPr>
                <w:rFonts w:ascii="Arial" w:cs="Arial" w:eastAsia="Arial" w:hAnsi="Arial"/>
                <w:sz w:val="14"/>
                <w:szCs w:val="14"/>
                <w:i w:val="1"/>
                <w:iCs w:val="1"/>
                <w:color w:val="auto"/>
              </w:rPr>
              <w:t>Percent of net sales (Non-GAAP)</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49.3 %</w:t>
            </w: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i w:val="1"/>
                <w:iCs w:val="1"/>
                <w:color w:val="auto"/>
              </w:rPr>
              <w:t>48.4 %</w:t>
            </w:r>
          </w:p>
        </w:tc>
        <w:tc>
          <w:tcPr>
            <w:tcW w:w="14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90</w:t>
            </w:r>
          </w:p>
        </w:tc>
        <w:tc>
          <w:tcPr>
            <w:tcW w:w="1240" w:type="dxa"/>
            <w:vAlign w:val="bottom"/>
            <w:vMerge w:val="restart"/>
          </w:tcPr>
          <w:p>
            <w:pPr>
              <w:jc w:val="right"/>
              <w:ind w:right="886"/>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161"/>
        </w:trPr>
        <w:tc>
          <w:tcPr>
            <w:tcW w:w="4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4640" w:type="dxa"/>
            <w:vAlign w:val="bottom"/>
          </w:tcPr>
          <w:p>
            <w:pPr>
              <w:spacing w:after="0"/>
              <w:rPr>
                <w:sz w:val="20"/>
                <w:szCs w:val="20"/>
                <w:color w:val="auto"/>
              </w:rPr>
            </w:pPr>
            <w:r>
              <w:rPr>
                <w:rFonts w:ascii="Arial" w:cs="Arial" w:eastAsia="Arial" w:hAnsi="Arial"/>
                <w:sz w:val="14"/>
                <w:szCs w:val="14"/>
                <w:color w:val="auto"/>
              </w:rPr>
              <w:t>Operating profit (GAAP)</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486.7</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383.3</w:t>
            </w:r>
          </w:p>
        </w:tc>
        <w:tc>
          <w:tcPr>
            <w:tcW w:w="9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103.4</w:t>
            </w:r>
          </w:p>
        </w:tc>
        <w:tc>
          <w:tcPr>
            <w:tcW w:w="1240" w:type="dxa"/>
            <w:vAlign w:val="bottom"/>
          </w:tcPr>
          <w:p>
            <w:pPr>
              <w:jc w:val="right"/>
              <w:spacing w:after="0"/>
              <w:rPr>
                <w:sz w:val="20"/>
                <w:szCs w:val="20"/>
                <w:color w:val="auto"/>
              </w:rPr>
            </w:pPr>
            <w:r>
              <w:rPr>
                <w:rFonts w:ascii="Arial" w:cs="Arial" w:eastAsia="Arial" w:hAnsi="Arial"/>
                <w:sz w:val="14"/>
                <w:szCs w:val="14"/>
                <w:color w:val="auto"/>
              </w:rPr>
              <w:t>27.0 %</w:t>
            </w:r>
          </w:p>
        </w:tc>
        <w:tc>
          <w:tcPr>
            <w:tcW w:w="0" w:type="dxa"/>
            <w:vAlign w:val="bottom"/>
          </w:tcPr>
          <w:p>
            <w:pPr>
              <w:spacing w:after="0"/>
              <w:rPr>
                <w:sz w:val="1"/>
                <w:szCs w:val="1"/>
                <w:color w:val="auto"/>
              </w:rPr>
            </w:pPr>
          </w:p>
        </w:tc>
      </w:tr>
      <w:tr>
        <w:trPr>
          <w:trHeight w:val="202"/>
        </w:trPr>
        <w:tc>
          <w:tcPr>
            <w:tcW w:w="4640" w:type="dxa"/>
            <w:vAlign w:val="bottom"/>
          </w:tcPr>
          <w:p>
            <w:pPr>
              <w:ind w:left="340"/>
              <w:spacing w:after="0"/>
              <w:rPr>
                <w:sz w:val="20"/>
                <w:szCs w:val="20"/>
                <w:color w:val="auto"/>
              </w:rPr>
            </w:pPr>
            <w:r>
              <w:rPr>
                <w:rFonts w:ascii="Arial" w:cs="Arial" w:eastAsia="Arial" w:hAnsi="Arial"/>
                <w:sz w:val="14"/>
                <w:szCs w:val="14"/>
                <w:i w:val="1"/>
                <w:iCs w:val="1"/>
                <w:color w:val="auto"/>
              </w:rPr>
              <w:t>Percent of net sales (GAAP)</w:t>
            </w:r>
          </w:p>
        </w:tc>
        <w:tc>
          <w:tcPr>
            <w:tcW w:w="1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i w:val="1"/>
                <w:iCs w:val="1"/>
                <w:color w:val="auto"/>
              </w:rPr>
              <w:t>14.3 %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12.2 %</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210</w:t>
            </w:r>
          </w:p>
        </w:tc>
        <w:tc>
          <w:tcPr>
            <w:tcW w:w="1240" w:type="dxa"/>
            <w:vAlign w:val="bottom"/>
          </w:tcPr>
          <w:p>
            <w:pPr>
              <w:jc w:val="right"/>
              <w:ind w:right="886"/>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Add-back: Amortization of acquired intangible assets</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70.4</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45.5</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Add-back: Share-based payment expense</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39.2</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34.0</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20"/>
              <w:spacing w:after="0"/>
              <w:rPr>
                <w:sz w:val="20"/>
                <w:szCs w:val="20"/>
                <w:color w:val="auto"/>
              </w:rPr>
            </w:pPr>
            <w:r>
              <w:rPr>
                <w:rFonts w:ascii="Arial" w:cs="Arial" w:eastAsia="Arial" w:hAnsi="Arial"/>
                <w:sz w:val="14"/>
                <w:szCs w:val="14"/>
                <w:color w:val="auto"/>
              </w:rPr>
              <w:t xml:space="preserve">Add-back: Acquisition-related costs </w:t>
            </w:r>
            <w:r>
              <w:rPr>
                <w:rFonts w:ascii="Arial" w:cs="Arial" w:eastAsia="Arial" w:hAnsi="Arial"/>
                <w:sz w:val="18"/>
                <w:szCs w:val="18"/>
                <w:color w:val="auto"/>
                <w:vertAlign w:val="superscript"/>
              </w:rPr>
              <w:t>(1)</w:t>
            </w:r>
          </w:p>
        </w:tc>
        <w:tc>
          <w:tcPr>
            <w:tcW w:w="120" w:type="dxa"/>
            <w:vAlign w:val="bottom"/>
          </w:tcPr>
          <w:p>
            <w:pPr>
              <w:spacing w:after="0"/>
              <w:rPr>
                <w:sz w:val="18"/>
                <w:szCs w:val="18"/>
                <w:color w:val="auto"/>
              </w:rPr>
            </w:pPr>
          </w:p>
        </w:tc>
        <w:tc>
          <w:tcPr>
            <w:tcW w:w="2000" w:type="dxa"/>
            <w:vAlign w:val="bottom"/>
            <w:gridSpan w:val="3"/>
          </w:tcPr>
          <w:p>
            <w:pPr>
              <w:jc w:val="right"/>
              <w:ind w:right="10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21.2</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120"/>
              <w:spacing w:after="0"/>
              <w:rPr>
                <w:sz w:val="20"/>
                <w:szCs w:val="20"/>
                <w:color w:val="auto"/>
              </w:rPr>
            </w:pPr>
            <w:r>
              <w:rPr>
                <w:rFonts w:ascii="Arial" w:cs="Arial" w:eastAsia="Arial" w:hAnsi="Arial"/>
                <w:sz w:val="14"/>
                <w:szCs w:val="14"/>
                <w:color w:val="auto"/>
              </w:rPr>
              <w:t>Add-back: Acquired profit in inventory</w:t>
            </w:r>
          </w:p>
        </w:tc>
        <w:tc>
          <w:tcPr>
            <w:tcW w:w="120" w:type="dxa"/>
            <w:vAlign w:val="bottom"/>
          </w:tcPr>
          <w:p>
            <w:pPr>
              <w:spacing w:after="0"/>
              <w:rPr>
                <w:sz w:val="16"/>
                <w:szCs w:val="16"/>
                <w:color w:val="auto"/>
              </w:rPr>
            </w:pPr>
          </w:p>
        </w:tc>
        <w:tc>
          <w:tcPr>
            <w:tcW w:w="2000" w:type="dxa"/>
            <w:vAlign w:val="bottom"/>
            <w:gridSpan w:val="3"/>
          </w:tcPr>
          <w:p>
            <w:pPr>
              <w:jc w:val="right"/>
              <w:ind w:right="10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29.6</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Add-back: Special charges</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29.7</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40" w:type="dxa"/>
            <w:vAlign w:val="bottom"/>
          </w:tcPr>
          <w:p>
            <w:pPr>
              <w:ind w:left="120"/>
              <w:spacing w:after="0"/>
              <w:rPr>
                <w:sz w:val="20"/>
                <w:szCs w:val="20"/>
                <w:color w:val="auto"/>
              </w:rPr>
            </w:pPr>
            <w:r>
              <w:rPr>
                <w:rFonts w:ascii="Arial" w:cs="Arial" w:eastAsia="Arial" w:hAnsi="Arial"/>
                <w:sz w:val="14"/>
                <w:szCs w:val="14"/>
                <w:color w:val="auto"/>
              </w:rPr>
              <w:t>Less: Tariff refunds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right"/>
              <w:ind w:right="9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40" w:type="dxa"/>
            <w:vAlign w:val="bottom"/>
          </w:tcPr>
          <w:p>
            <w:pPr>
              <w:spacing w:after="0"/>
              <w:rPr>
                <w:sz w:val="20"/>
                <w:szCs w:val="20"/>
                <w:color w:val="auto"/>
              </w:rPr>
            </w:pPr>
            <w:r>
              <w:rPr>
                <w:rFonts w:ascii="Arial" w:cs="Arial" w:eastAsia="Arial" w:hAnsi="Arial"/>
                <w:sz w:val="14"/>
                <w:szCs w:val="14"/>
                <w:color w:val="auto"/>
              </w:rPr>
              <w:t>Adjusted operating profit (Non-GAAP)</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595.8</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543.3</w:t>
            </w:r>
          </w:p>
        </w:tc>
        <w:tc>
          <w:tcPr>
            <w:tcW w:w="9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52.5</w:t>
            </w:r>
          </w:p>
        </w:tc>
        <w:tc>
          <w:tcPr>
            <w:tcW w:w="1240" w:type="dxa"/>
            <w:vAlign w:val="bottom"/>
          </w:tcPr>
          <w:p>
            <w:pPr>
              <w:jc w:val="right"/>
              <w:spacing w:after="0"/>
              <w:rPr>
                <w:sz w:val="20"/>
                <w:szCs w:val="20"/>
                <w:color w:val="auto"/>
              </w:rPr>
            </w:pPr>
            <w:r>
              <w:rPr>
                <w:rFonts w:ascii="Arial" w:cs="Arial" w:eastAsia="Arial" w:hAnsi="Arial"/>
                <w:sz w:val="14"/>
                <w:szCs w:val="14"/>
                <w:color w:val="auto"/>
              </w:rPr>
              <w:t>9.7 %</w:t>
            </w:r>
          </w:p>
        </w:tc>
        <w:tc>
          <w:tcPr>
            <w:tcW w:w="0" w:type="dxa"/>
            <w:vAlign w:val="bottom"/>
          </w:tcPr>
          <w:p>
            <w:pPr>
              <w:spacing w:after="0"/>
              <w:rPr>
                <w:sz w:val="1"/>
                <w:szCs w:val="1"/>
                <w:color w:val="auto"/>
              </w:rPr>
            </w:pPr>
          </w:p>
        </w:tc>
      </w:tr>
      <w:tr>
        <w:trPr>
          <w:trHeight w:val="21"/>
        </w:trPr>
        <w:tc>
          <w:tcPr>
            <w:tcW w:w="4640" w:type="dxa"/>
            <w:vAlign w:val="bottom"/>
            <w:vMerge w:val="restart"/>
          </w:tcPr>
          <w:p>
            <w:pPr>
              <w:ind w:left="340"/>
              <w:spacing w:after="0"/>
              <w:rPr>
                <w:sz w:val="20"/>
                <w:szCs w:val="20"/>
                <w:color w:val="auto"/>
              </w:rPr>
            </w:pPr>
            <w:r>
              <w:rPr>
                <w:rFonts w:ascii="Arial" w:cs="Arial" w:eastAsia="Arial" w:hAnsi="Arial"/>
                <w:sz w:val="14"/>
                <w:szCs w:val="14"/>
                <w:i w:val="1"/>
                <w:iCs w:val="1"/>
                <w:color w:val="auto"/>
              </w:rPr>
              <w:t>Percent of net sales (Non-GAAP)</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17.5 %</w:t>
            </w: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i w:val="1"/>
                <w:iCs w:val="1"/>
                <w:color w:val="auto"/>
              </w:rPr>
              <w:t>17.3 %</w:t>
            </w:r>
          </w:p>
        </w:tc>
        <w:tc>
          <w:tcPr>
            <w:tcW w:w="14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20</w:t>
            </w:r>
          </w:p>
        </w:tc>
        <w:tc>
          <w:tcPr>
            <w:tcW w:w="1240" w:type="dxa"/>
            <w:vAlign w:val="bottom"/>
            <w:vMerge w:val="restart"/>
          </w:tcPr>
          <w:p>
            <w:pPr>
              <w:jc w:val="right"/>
              <w:ind w:right="886"/>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161"/>
        </w:trPr>
        <w:tc>
          <w:tcPr>
            <w:tcW w:w="4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9"/>
        </w:trPr>
        <w:tc>
          <w:tcPr>
            <w:tcW w:w="4640" w:type="dxa"/>
            <w:vAlign w:val="bottom"/>
          </w:tcPr>
          <w:p>
            <w:pPr>
              <w:spacing w:after="0"/>
              <w:rPr>
                <w:sz w:val="20"/>
                <w:szCs w:val="20"/>
                <w:color w:val="auto"/>
              </w:rPr>
            </w:pPr>
            <w:r>
              <w:rPr>
                <w:rFonts w:ascii="Arial" w:cs="Arial" w:eastAsia="Arial" w:hAnsi="Arial"/>
                <w:sz w:val="14"/>
                <w:szCs w:val="14"/>
                <w:color w:val="auto"/>
              </w:rPr>
              <w:t>Net income (GAAP)</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358.3</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282.6</w:t>
            </w:r>
          </w:p>
        </w:tc>
        <w:tc>
          <w:tcPr>
            <w:tcW w:w="9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75.7</w:t>
            </w:r>
          </w:p>
        </w:tc>
        <w:tc>
          <w:tcPr>
            <w:tcW w:w="1240" w:type="dxa"/>
            <w:vAlign w:val="bottom"/>
          </w:tcPr>
          <w:p>
            <w:pPr>
              <w:jc w:val="right"/>
              <w:spacing w:after="0"/>
              <w:rPr>
                <w:sz w:val="20"/>
                <w:szCs w:val="20"/>
                <w:color w:val="auto"/>
              </w:rPr>
            </w:pPr>
            <w:r>
              <w:rPr>
                <w:rFonts w:ascii="Arial" w:cs="Arial" w:eastAsia="Arial" w:hAnsi="Arial"/>
                <w:sz w:val="14"/>
                <w:szCs w:val="14"/>
                <w:color w:val="auto"/>
              </w:rPr>
              <w:t>26.8 %</w:t>
            </w: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Add-back: Amortization of acquired intangible asset</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70.4</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45.5</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40" w:type="dxa"/>
            <w:vAlign w:val="bottom"/>
          </w:tcPr>
          <w:p>
            <w:pPr>
              <w:ind w:left="120"/>
              <w:spacing w:after="0"/>
              <w:rPr>
                <w:sz w:val="20"/>
                <w:szCs w:val="20"/>
                <w:color w:val="auto"/>
              </w:rPr>
            </w:pPr>
            <w:r>
              <w:rPr>
                <w:rFonts w:ascii="Arial" w:cs="Arial" w:eastAsia="Arial" w:hAnsi="Arial"/>
                <w:sz w:val="14"/>
                <w:szCs w:val="14"/>
                <w:color w:val="auto"/>
              </w:rPr>
              <w:t>Add-back: Share-based payment expense</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39.2</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34.0</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20"/>
              <w:spacing w:after="0"/>
              <w:rPr>
                <w:sz w:val="20"/>
                <w:szCs w:val="20"/>
                <w:color w:val="auto"/>
              </w:rPr>
            </w:pPr>
            <w:r>
              <w:rPr>
                <w:rFonts w:ascii="Arial" w:cs="Arial" w:eastAsia="Arial" w:hAnsi="Arial"/>
                <w:sz w:val="14"/>
                <w:szCs w:val="14"/>
                <w:color w:val="auto"/>
              </w:rPr>
              <w:t xml:space="preserve">Add-back: Acquisition-related costs </w:t>
            </w:r>
            <w:r>
              <w:rPr>
                <w:rFonts w:ascii="Arial" w:cs="Arial" w:eastAsia="Arial" w:hAnsi="Arial"/>
                <w:sz w:val="18"/>
                <w:szCs w:val="18"/>
                <w:color w:val="auto"/>
                <w:vertAlign w:val="superscript"/>
              </w:rPr>
              <w:t>(1)</w:t>
            </w:r>
          </w:p>
        </w:tc>
        <w:tc>
          <w:tcPr>
            <w:tcW w:w="120" w:type="dxa"/>
            <w:vAlign w:val="bottom"/>
          </w:tcPr>
          <w:p>
            <w:pPr>
              <w:spacing w:after="0"/>
              <w:rPr>
                <w:sz w:val="18"/>
                <w:szCs w:val="18"/>
                <w:color w:val="auto"/>
              </w:rPr>
            </w:pPr>
          </w:p>
        </w:tc>
        <w:tc>
          <w:tcPr>
            <w:tcW w:w="2000" w:type="dxa"/>
            <w:vAlign w:val="bottom"/>
            <w:gridSpan w:val="3"/>
          </w:tcPr>
          <w:p>
            <w:pPr>
              <w:jc w:val="right"/>
              <w:ind w:right="10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21.2</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120"/>
              <w:spacing w:after="0"/>
              <w:rPr>
                <w:sz w:val="20"/>
                <w:szCs w:val="20"/>
                <w:color w:val="auto"/>
              </w:rPr>
            </w:pPr>
            <w:r>
              <w:rPr>
                <w:rFonts w:ascii="Arial" w:cs="Arial" w:eastAsia="Arial" w:hAnsi="Arial"/>
                <w:sz w:val="14"/>
                <w:szCs w:val="14"/>
                <w:color w:val="auto"/>
              </w:rPr>
              <w:t>Add-back: Acquired profit in inventory</w:t>
            </w:r>
          </w:p>
        </w:tc>
        <w:tc>
          <w:tcPr>
            <w:tcW w:w="120" w:type="dxa"/>
            <w:vAlign w:val="bottom"/>
          </w:tcPr>
          <w:p>
            <w:pPr>
              <w:spacing w:after="0"/>
              <w:rPr>
                <w:sz w:val="16"/>
                <w:szCs w:val="16"/>
                <w:color w:val="auto"/>
              </w:rPr>
            </w:pPr>
          </w:p>
        </w:tc>
        <w:tc>
          <w:tcPr>
            <w:tcW w:w="2000" w:type="dxa"/>
            <w:vAlign w:val="bottom"/>
            <w:gridSpan w:val="3"/>
          </w:tcPr>
          <w:p>
            <w:pPr>
              <w:jc w:val="right"/>
              <w:ind w:right="10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29.6</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Add-back: Special charges</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29.7</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40" w:type="dxa"/>
            <w:vAlign w:val="bottom"/>
          </w:tcPr>
          <w:p>
            <w:pPr>
              <w:ind w:left="120"/>
              <w:spacing w:after="0"/>
              <w:rPr>
                <w:sz w:val="20"/>
                <w:szCs w:val="20"/>
                <w:color w:val="auto"/>
              </w:rPr>
            </w:pPr>
            <w:r>
              <w:rPr>
                <w:rFonts w:ascii="Arial" w:cs="Arial" w:eastAsia="Arial" w:hAnsi="Arial"/>
                <w:sz w:val="14"/>
                <w:szCs w:val="14"/>
                <w:color w:val="auto"/>
              </w:rPr>
              <w:t>Less: Tariff refunds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right"/>
              <w:ind w:right="9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640" w:type="dxa"/>
            <w:vAlign w:val="bottom"/>
          </w:tcPr>
          <w:p>
            <w:pPr>
              <w:ind w:left="200"/>
              <w:spacing w:after="0"/>
              <w:rPr>
                <w:sz w:val="20"/>
                <w:szCs w:val="20"/>
                <w:color w:val="auto"/>
              </w:rPr>
            </w:pPr>
            <w:r>
              <w:rPr>
                <w:rFonts w:ascii="Arial" w:cs="Arial" w:eastAsia="Arial" w:hAnsi="Arial"/>
                <w:sz w:val="14"/>
                <w:szCs w:val="14"/>
                <w:color w:val="auto"/>
              </w:rPr>
              <w:t>Total pre-tax adjustments to net income</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109.1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160.0</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40" w:type="dxa"/>
            <w:vAlign w:val="bottom"/>
          </w:tcPr>
          <w:p>
            <w:pPr>
              <w:ind w:left="120"/>
              <w:spacing w:after="0"/>
              <w:rPr>
                <w:sz w:val="20"/>
                <w:szCs w:val="20"/>
                <w:color w:val="auto"/>
              </w:rPr>
            </w:pPr>
            <w:r>
              <w:rPr>
                <w:rFonts w:ascii="Arial" w:cs="Arial" w:eastAsia="Arial" w:hAnsi="Arial"/>
                <w:sz w:val="14"/>
                <w:szCs w:val="14"/>
                <w:color w:val="auto"/>
              </w:rPr>
              <w:t>Income tax effect</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40" w:type="dxa"/>
            <w:vAlign w:val="bottom"/>
          </w:tcPr>
          <w:p>
            <w:pPr>
              <w:spacing w:after="0"/>
              <w:rPr>
                <w:sz w:val="20"/>
                <w:szCs w:val="20"/>
                <w:color w:val="auto"/>
              </w:rPr>
            </w:pPr>
            <w:r>
              <w:rPr>
                <w:rFonts w:ascii="Arial" w:cs="Arial" w:eastAsia="Arial" w:hAnsi="Arial"/>
                <w:sz w:val="14"/>
                <w:szCs w:val="14"/>
                <w:color w:val="auto"/>
              </w:rPr>
              <w:t>Adjusted net income (Non-GAAP)</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442.3</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405.8</w:t>
            </w:r>
          </w:p>
        </w:tc>
        <w:tc>
          <w:tcPr>
            <w:tcW w:w="9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36.5</w:t>
            </w:r>
          </w:p>
        </w:tc>
        <w:tc>
          <w:tcPr>
            <w:tcW w:w="1240" w:type="dxa"/>
            <w:vAlign w:val="bottom"/>
          </w:tcPr>
          <w:p>
            <w:pPr>
              <w:jc w:val="right"/>
              <w:spacing w:after="0"/>
              <w:rPr>
                <w:sz w:val="20"/>
                <w:szCs w:val="20"/>
                <w:color w:val="auto"/>
              </w:rPr>
            </w:pPr>
            <w:r>
              <w:rPr>
                <w:rFonts w:ascii="Arial" w:cs="Arial" w:eastAsia="Arial" w:hAnsi="Arial"/>
                <w:sz w:val="14"/>
                <w:szCs w:val="14"/>
                <w:color w:val="auto"/>
              </w:rPr>
              <w:t>9.0 %</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1"/>
        </w:trPr>
        <w:tc>
          <w:tcPr>
            <w:tcW w:w="4640" w:type="dxa"/>
            <w:vAlign w:val="bottom"/>
          </w:tcPr>
          <w:p>
            <w:pPr>
              <w:spacing w:after="0"/>
              <w:rPr>
                <w:sz w:val="20"/>
                <w:szCs w:val="20"/>
                <w:color w:val="auto"/>
              </w:rPr>
            </w:pPr>
            <w:r>
              <w:rPr>
                <w:rFonts w:ascii="Arial" w:cs="Arial" w:eastAsia="Arial" w:hAnsi="Arial"/>
                <w:sz w:val="14"/>
                <w:szCs w:val="14"/>
                <w:color w:val="auto"/>
              </w:rPr>
              <w:t>Diluted earnings per share (GAAP)</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11.45</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8.92</w:t>
            </w:r>
          </w:p>
        </w:tc>
        <w:tc>
          <w:tcPr>
            <w:tcW w:w="9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2.53</w:t>
            </w:r>
          </w:p>
        </w:tc>
        <w:tc>
          <w:tcPr>
            <w:tcW w:w="1240" w:type="dxa"/>
            <w:vAlign w:val="bottom"/>
          </w:tcPr>
          <w:p>
            <w:pPr>
              <w:jc w:val="right"/>
              <w:spacing w:after="0"/>
              <w:rPr>
                <w:sz w:val="20"/>
                <w:szCs w:val="20"/>
                <w:color w:val="auto"/>
              </w:rPr>
            </w:pPr>
            <w:r>
              <w:rPr>
                <w:rFonts w:ascii="Arial" w:cs="Arial" w:eastAsia="Arial" w:hAnsi="Arial"/>
                <w:sz w:val="14"/>
                <w:szCs w:val="14"/>
                <w:color w:val="auto"/>
              </w:rPr>
              <w:t>28.4 %</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4"/>
                <w:szCs w:val="14"/>
                <w:color w:val="auto"/>
              </w:rPr>
              <w:t>Adjusted diluted earnings per share (Non-GAAP)</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14.14</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12.81</w:t>
            </w:r>
          </w:p>
        </w:tc>
        <w:tc>
          <w:tcPr>
            <w:tcW w:w="9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1.33</w:t>
            </w:r>
          </w:p>
        </w:tc>
        <w:tc>
          <w:tcPr>
            <w:tcW w:w="1240" w:type="dxa"/>
            <w:vAlign w:val="bottom"/>
          </w:tcPr>
          <w:p>
            <w:pPr>
              <w:jc w:val="right"/>
              <w:spacing w:after="0"/>
              <w:rPr>
                <w:sz w:val="20"/>
                <w:szCs w:val="20"/>
                <w:color w:val="auto"/>
              </w:rPr>
            </w:pPr>
            <w:r>
              <w:rPr>
                <w:rFonts w:ascii="Arial" w:cs="Arial" w:eastAsia="Arial" w:hAnsi="Arial"/>
                <w:sz w:val="14"/>
                <w:szCs w:val="14"/>
                <w:color w:val="auto"/>
              </w:rPr>
              <w:t>10.4 %</w:t>
            </w:r>
          </w:p>
        </w:tc>
        <w:tc>
          <w:tcPr>
            <w:tcW w:w="0" w:type="dxa"/>
            <w:vAlign w:val="bottom"/>
          </w:tcPr>
          <w:p>
            <w:pPr>
              <w:spacing w:after="0"/>
              <w:rPr>
                <w:sz w:val="1"/>
                <w:szCs w:val="1"/>
                <w:color w:val="auto"/>
              </w:rPr>
            </w:pPr>
          </w:p>
        </w:tc>
      </w:tr>
      <w:tr>
        <w:trPr>
          <w:trHeight w:val="459"/>
        </w:trPr>
        <w:tc>
          <w:tcPr>
            <w:tcW w:w="4640" w:type="dxa"/>
            <w:vAlign w:val="bottom"/>
          </w:tcPr>
          <w:p>
            <w:pPr>
              <w:spacing w:after="0"/>
              <w:rPr>
                <w:sz w:val="20"/>
                <w:szCs w:val="20"/>
                <w:color w:val="auto"/>
              </w:rPr>
            </w:pPr>
            <w:r>
              <w:rPr>
                <w:rFonts w:ascii="Arial" w:cs="Arial" w:eastAsia="Arial" w:hAnsi="Arial"/>
                <w:sz w:val="14"/>
                <w:szCs w:val="14"/>
                <w:color w:val="auto"/>
              </w:rPr>
              <w:t>Net income (GAAP)</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358.3</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282.6</w:t>
            </w:r>
          </w:p>
        </w:tc>
        <w:tc>
          <w:tcPr>
            <w:tcW w:w="9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75.7</w:t>
            </w:r>
          </w:p>
        </w:tc>
        <w:tc>
          <w:tcPr>
            <w:tcW w:w="1240" w:type="dxa"/>
            <w:vAlign w:val="bottom"/>
          </w:tcPr>
          <w:p>
            <w:pPr>
              <w:jc w:val="right"/>
              <w:spacing w:after="0"/>
              <w:rPr>
                <w:sz w:val="20"/>
                <w:szCs w:val="20"/>
                <w:color w:val="auto"/>
              </w:rPr>
            </w:pPr>
            <w:r>
              <w:rPr>
                <w:rFonts w:ascii="Arial" w:cs="Arial" w:eastAsia="Arial" w:hAnsi="Arial"/>
                <w:sz w:val="14"/>
                <w:szCs w:val="14"/>
                <w:color w:val="auto"/>
              </w:rPr>
              <w:t>26.8 %</w:t>
            </w:r>
          </w:p>
        </w:tc>
        <w:tc>
          <w:tcPr>
            <w:tcW w:w="0" w:type="dxa"/>
            <w:vAlign w:val="bottom"/>
          </w:tcPr>
          <w:p>
            <w:pPr>
              <w:spacing w:after="0"/>
              <w:rPr>
                <w:sz w:val="1"/>
                <w:szCs w:val="1"/>
                <w:color w:val="auto"/>
              </w:rPr>
            </w:pPr>
          </w:p>
        </w:tc>
      </w:tr>
      <w:tr>
        <w:trPr>
          <w:trHeight w:val="203"/>
        </w:trPr>
        <w:tc>
          <w:tcPr>
            <w:tcW w:w="4640" w:type="dxa"/>
            <w:vAlign w:val="bottom"/>
          </w:tcPr>
          <w:p>
            <w:pPr>
              <w:ind w:left="340"/>
              <w:spacing w:after="0"/>
              <w:rPr>
                <w:sz w:val="20"/>
                <w:szCs w:val="20"/>
                <w:color w:val="auto"/>
              </w:rPr>
            </w:pPr>
            <w:r>
              <w:rPr>
                <w:rFonts w:ascii="Arial" w:cs="Arial" w:eastAsia="Arial" w:hAnsi="Arial"/>
                <w:sz w:val="14"/>
                <w:szCs w:val="14"/>
                <w:i w:val="1"/>
                <w:iCs w:val="1"/>
                <w:color w:val="auto"/>
              </w:rPr>
              <w:t>Percent of net sales (GAAP)</w:t>
            </w:r>
          </w:p>
        </w:tc>
        <w:tc>
          <w:tcPr>
            <w:tcW w:w="1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i w:val="1"/>
                <w:iCs w:val="1"/>
                <w:color w:val="auto"/>
              </w:rPr>
              <w:t>10.5 %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9.0 %</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150</w:t>
            </w:r>
          </w:p>
        </w:tc>
        <w:tc>
          <w:tcPr>
            <w:tcW w:w="1240" w:type="dxa"/>
            <w:vAlign w:val="bottom"/>
          </w:tcPr>
          <w:p>
            <w:pPr>
              <w:jc w:val="right"/>
              <w:ind w:right="886"/>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21.5</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Income tax expense</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102.4</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79.9</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Depreciation</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47.4</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41.2</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40" w:type="dxa"/>
            <w:vAlign w:val="bottom"/>
          </w:tcPr>
          <w:p>
            <w:pPr>
              <w:ind w:left="120"/>
              <w:spacing w:after="0"/>
              <w:rPr>
                <w:sz w:val="20"/>
                <w:szCs w:val="20"/>
                <w:color w:val="auto"/>
              </w:rPr>
            </w:pPr>
            <w:r>
              <w:rPr>
                <w:rFonts w:ascii="Arial" w:cs="Arial" w:eastAsia="Arial" w:hAnsi="Arial"/>
                <w:sz w:val="14"/>
                <w:szCs w:val="14"/>
                <w:color w:val="auto"/>
              </w:rPr>
              <w:t>Amortization</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70.4</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Arial" w:cs="Arial" w:eastAsia="Arial" w:hAnsi="Arial"/>
                <w:sz w:val="14"/>
                <w:szCs w:val="14"/>
                <w:color w:val="auto"/>
              </w:rPr>
              <w:t>EBITDA (Non-GAAP)</w:t>
            </w:r>
          </w:p>
        </w:tc>
        <w:tc>
          <w:tcPr>
            <w:tcW w:w="1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600.0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464.2</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135.8</w:t>
            </w:r>
          </w:p>
        </w:tc>
        <w:tc>
          <w:tcPr>
            <w:tcW w:w="1240" w:type="dxa"/>
            <w:vAlign w:val="bottom"/>
          </w:tcPr>
          <w:p>
            <w:pPr>
              <w:jc w:val="right"/>
              <w:spacing w:after="0"/>
              <w:rPr>
                <w:sz w:val="20"/>
                <w:szCs w:val="20"/>
                <w:color w:val="auto"/>
              </w:rPr>
            </w:pPr>
            <w:r>
              <w:rPr>
                <w:rFonts w:ascii="Arial" w:cs="Arial" w:eastAsia="Arial" w:hAnsi="Arial"/>
                <w:sz w:val="14"/>
                <w:szCs w:val="14"/>
                <w:color w:val="auto"/>
              </w:rPr>
              <w:t>29.3 %</w:t>
            </w:r>
          </w:p>
        </w:tc>
        <w:tc>
          <w:tcPr>
            <w:tcW w:w="0" w:type="dxa"/>
            <w:vAlign w:val="bottom"/>
          </w:tcPr>
          <w:p>
            <w:pPr>
              <w:spacing w:after="0"/>
              <w:rPr>
                <w:sz w:val="1"/>
                <w:szCs w:val="1"/>
                <w:color w:val="auto"/>
              </w:rPr>
            </w:pPr>
          </w:p>
        </w:tc>
      </w:tr>
      <w:tr>
        <w:trPr>
          <w:trHeight w:val="203"/>
        </w:trPr>
        <w:tc>
          <w:tcPr>
            <w:tcW w:w="4640" w:type="dxa"/>
            <w:vAlign w:val="bottom"/>
          </w:tcPr>
          <w:p>
            <w:pPr>
              <w:ind w:left="340"/>
              <w:spacing w:after="0"/>
              <w:rPr>
                <w:sz w:val="20"/>
                <w:szCs w:val="20"/>
                <w:color w:val="auto"/>
              </w:rPr>
            </w:pPr>
            <w:r>
              <w:rPr>
                <w:rFonts w:ascii="Arial" w:cs="Arial" w:eastAsia="Arial" w:hAnsi="Arial"/>
                <w:sz w:val="14"/>
                <w:szCs w:val="14"/>
                <w:i w:val="1"/>
                <w:iCs w:val="1"/>
                <w:color w:val="auto"/>
              </w:rPr>
              <w:t>Percent of net sales (Non-GAAP)</w:t>
            </w:r>
          </w:p>
        </w:tc>
        <w:tc>
          <w:tcPr>
            <w:tcW w:w="1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i w:val="1"/>
                <w:iCs w:val="1"/>
                <w:color w:val="auto"/>
              </w:rPr>
              <w:t>17.7 %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14.8 %</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290</w:t>
            </w:r>
          </w:p>
        </w:tc>
        <w:tc>
          <w:tcPr>
            <w:tcW w:w="1240" w:type="dxa"/>
            <w:vAlign w:val="bottom"/>
          </w:tcPr>
          <w:p>
            <w:pPr>
              <w:jc w:val="right"/>
              <w:ind w:right="886"/>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Share-based payment expense</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39.2</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34.0</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Miscellaneous expense, net</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Special charges</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29.7</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20"/>
              <w:spacing w:after="0"/>
              <w:rPr>
                <w:sz w:val="20"/>
                <w:szCs w:val="20"/>
                <w:color w:val="auto"/>
              </w:rPr>
            </w:pPr>
            <w:r>
              <w:rPr>
                <w:rFonts w:ascii="Arial" w:cs="Arial" w:eastAsia="Arial" w:hAnsi="Arial"/>
                <w:sz w:val="14"/>
                <w:szCs w:val="14"/>
                <w:color w:val="auto"/>
              </w:rPr>
              <w:t xml:space="preserve">Acquisition-related costs </w:t>
            </w:r>
            <w:r>
              <w:rPr>
                <w:rFonts w:ascii="Arial" w:cs="Arial" w:eastAsia="Arial" w:hAnsi="Arial"/>
                <w:sz w:val="18"/>
                <w:szCs w:val="18"/>
                <w:color w:val="auto"/>
                <w:vertAlign w:val="superscript"/>
              </w:rPr>
              <w:t>(1)</w:t>
            </w:r>
          </w:p>
        </w:tc>
        <w:tc>
          <w:tcPr>
            <w:tcW w:w="120" w:type="dxa"/>
            <w:vAlign w:val="bottom"/>
          </w:tcPr>
          <w:p>
            <w:pPr>
              <w:spacing w:after="0"/>
              <w:rPr>
                <w:sz w:val="18"/>
                <w:szCs w:val="18"/>
                <w:color w:val="auto"/>
              </w:rPr>
            </w:pPr>
          </w:p>
        </w:tc>
        <w:tc>
          <w:tcPr>
            <w:tcW w:w="2000" w:type="dxa"/>
            <w:vAlign w:val="bottom"/>
            <w:gridSpan w:val="3"/>
          </w:tcPr>
          <w:p>
            <w:pPr>
              <w:jc w:val="right"/>
              <w:ind w:right="10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21.2</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120"/>
              <w:spacing w:after="0"/>
              <w:rPr>
                <w:sz w:val="20"/>
                <w:szCs w:val="20"/>
                <w:color w:val="auto"/>
              </w:rPr>
            </w:pPr>
            <w:r>
              <w:rPr>
                <w:rFonts w:ascii="Arial" w:cs="Arial" w:eastAsia="Arial" w:hAnsi="Arial"/>
                <w:sz w:val="14"/>
                <w:szCs w:val="14"/>
                <w:color w:val="auto"/>
              </w:rPr>
              <w:t>Acquired profit in inventory</w:t>
            </w:r>
          </w:p>
        </w:tc>
        <w:tc>
          <w:tcPr>
            <w:tcW w:w="120" w:type="dxa"/>
            <w:vAlign w:val="bottom"/>
          </w:tcPr>
          <w:p>
            <w:pPr>
              <w:spacing w:after="0"/>
              <w:rPr>
                <w:sz w:val="16"/>
                <w:szCs w:val="16"/>
                <w:color w:val="auto"/>
              </w:rPr>
            </w:pPr>
          </w:p>
        </w:tc>
        <w:tc>
          <w:tcPr>
            <w:tcW w:w="2000" w:type="dxa"/>
            <w:vAlign w:val="bottom"/>
            <w:gridSpan w:val="3"/>
          </w:tcPr>
          <w:p>
            <w:pPr>
              <w:jc w:val="right"/>
              <w:ind w:right="10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29.6</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40" w:type="dxa"/>
            <w:vAlign w:val="bottom"/>
          </w:tcPr>
          <w:p>
            <w:pPr>
              <w:ind w:left="120"/>
              <w:spacing w:after="0"/>
              <w:rPr>
                <w:sz w:val="20"/>
                <w:szCs w:val="20"/>
                <w:color w:val="auto"/>
              </w:rPr>
            </w:pPr>
            <w:r>
              <w:rPr>
                <w:rFonts w:ascii="Arial" w:cs="Arial" w:eastAsia="Arial" w:hAnsi="Arial"/>
                <w:sz w:val="14"/>
                <w:szCs w:val="14"/>
                <w:color w:val="auto"/>
              </w:rPr>
              <w:t>Tariff refunds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right"/>
              <w:ind w:right="9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40" w:type="dxa"/>
            <w:vAlign w:val="bottom"/>
          </w:tcPr>
          <w:p>
            <w:pPr>
              <w:spacing w:after="0"/>
              <w:rPr>
                <w:sz w:val="20"/>
                <w:szCs w:val="20"/>
                <w:color w:val="auto"/>
              </w:rPr>
            </w:pPr>
            <w:r>
              <w:rPr>
                <w:rFonts w:ascii="Arial" w:cs="Arial" w:eastAsia="Arial" w:hAnsi="Arial"/>
                <w:sz w:val="14"/>
                <w:szCs w:val="14"/>
                <w:color w:val="auto"/>
              </w:rPr>
              <w:t>Adjusted EBITDA (Non-GAAP)</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643.2</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584.5</w:t>
            </w:r>
          </w:p>
        </w:tc>
        <w:tc>
          <w:tcPr>
            <w:tcW w:w="9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58.7</w:t>
            </w:r>
          </w:p>
        </w:tc>
        <w:tc>
          <w:tcPr>
            <w:tcW w:w="1240" w:type="dxa"/>
            <w:vAlign w:val="bottom"/>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340"/>
              <w:spacing w:after="0"/>
              <w:rPr>
                <w:sz w:val="20"/>
                <w:szCs w:val="20"/>
                <w:color w:val="auto"/>
              </w:rPr>
            </w:pPr>
            <w:r>
              <w:rPr>
                <w:rFonts w:ascii="Arial" w:cs="Arial" w:eastAsia="Arial" w:hAnsi="Arial"/>
                <w:sz w:val="14"/>
                <w:szCs w:val="14"/>
                <w:i w:val="1"/>
                <w:iCs w:val="1"/>
                <w:color w:val="auto"/>
              </w:rPr>
              <w:t>Percent of net sales (Non-GAAP)</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18.9 %</w:t>
            </w: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i w:val="1"/>
                <w:iCs w:val="1"/>
                <w:color w:val="auto"/>
              </w:rPr>
              <w:t>18.6 %</w:t>
            </w:r>
          </w:p>
        </w:tc>
        <w:tc>
          <w:tcPr>
            <w:tcW w:w="14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30</w:t>
            </w:r>
          </w:p>
        </w:tc>
        <w:tc>
          <w:tcPr>
            <w:tcW w:w="1240" w:type="dxa"/>
            <w:vAlign w:val="bottom"/>
            <w:vMerge w:val="restart"/>
          </w:tcPr>
          <w:p>
            <w:pPr>
              <w:jc w:val="right"/>
              <w:ind w:right="886"/>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161"/>
        </w:trPr>
        <w:tc>
          <w:tcPr>
            <w:tcW w:w="4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3"/>
          <w:szCs w:val="13"/>
          <w:color w:val="auto"/>
        </w:rPr>
        <w:t xml:space="preserve"> Acquisition-related items include professional fees.</w:t>
      </w:r>
    </w:p>
    <w:p>
      <w:pPr>
        <w:sectPr>
          <w:pgSz w:w="11900" w:h="16838" w:orient="portrait"/>
          <w:cols w:equalWidth="0" w:num="1">
            <w:col w:w="11220"/>
          </w:cols>
          <w:pgMar w:left="320" w:top="269" w:right="35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20"/>
          </w:cols>
          <w:pgMar w:left="320" w:top="269" w:right="35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2"/>
          </w:tcPr>
          <w:p>
            <w:pPr>
              <w:ind w:left="360"/>
              <w:spacing w:after="0"/>
              <w:rPr>
                <w:sz w:val="20"/>
                <w:szCs w:val="20"/>
                <w:color w:val="auto"/>
              </w:rPr>
            </w:pPr>
            <w:r>
              <w:rPr>
                <w:rFonts w:ascii="Arial" w:cs="Arial" w:eastAsia="Arial" w:hAnsi="Arial"/>
                <w:sz w:val="18"/>
                <w:szCs w:val="18"/>
                <w:color w:val="auto"/>
                <w:w w:val="99"/>
              </w:rPr>
              <w:t>Press Release</w:t>
            </w:r>
          </w:p>
        </w:tc>
        <w:tc>
          <w:tcPr>
            <w:tcW w:w="0" w:type="dxa"/>
            <w:vAlign w:val="bottom"/>
          </w:tcPr>
          <w:p>
            <w:pPr>
              <w:spacing w:after="0"/>
              <w:rPr>
                <w:sz w:val="1"/>
                <w:szCs w:val="1"/>
                <w:color w:val="auto"/>
              </w:rPr>
            </w:pPr>
          </w:p>
        </w:tc>
      </w:tr>
      <w:tr>
        <w:trPr>
          <w:trHeight w:val="239"/>
        </w:trPr>
        <w:tc>
          <w:tcPr>
            <w:tcW w:w="4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gridSpan w:val="2"/>
          </w:tcPr>
          <w:p>
            <w:pPr>
              <w:ind w:left="580"/>
              <w:spacing w:after="0"/>
              <w:rPr>
                <w:sz w:val="20"/>
                <w:szCs w:val="20"/>
                <w:color w:val="auto"/>
              </w:rPr>
            </w:pPr>
            <w:r>
              <w:rPr>
                <w:rFonts w:ascii="Arial" w:cs="Arial" w:eastAsia="Arial" w:hAnsi="Arial"/>
                <w:sz w:val="18"/>
                <w:szCs w:val="18"/>
                <w:color w:val="auto"/>
                <w:w w:val="99"/>
              </w:rPr>
              <w:t>Exhibit 99.1</w:t>
            </w:r>
          </w:p>
        </w:tc>
        <w:tc>
          <w:tcPr>
            <w:tcW w:w="0" w:type="dxa"/>
            <w:vAlign w:val="bottom"/>
          </w:tcPr>
          <w:p>
            <w:pPr>
              <w:spacing w:after="0"/>
              <w:rPr>
                <w:sz w:val="1"/>
                <w:szCs w:val="1"/>
                <w:color w:val="auto"/>
              </w:rPr>
            </w:pPr>
          </w:p>
        </w:tc>
      </w:tr>
      <w:tr>
        <w:trPr>
          <w:trHeight w:val="628"/>
        </w:trPr>
        <w:tc>
          <w:tcPr>
            <w:tcW w:w="4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jc w:val="center"/>
              <w:ind w:right="20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Acuity Brands Lighting</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May 31, 2026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May 31, 2025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46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(Decrease)</w:t>
            </w:r>
          </w:p>
        </w:tc>
        <w:tc>
          <w:tcPr>
            <w:tcW w:w="100" w:type="dxa"/>
            <w:vAlign w:val="bottom"/>
            <w:gridSpan w:val="2"/>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6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40" w:type="dxa"/>
            <w:vAlign w:val="bottom"/>
            <w:gridSpan w:val="5"/>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2,617.7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2,649.8</w:t>
            </w:r>
          </w:p>
        </w:tc>
        <w:tc>
          <w:tcPr>
            <w:tcW w:w="80" w:type="dxa"/>
            <w:vAlign w:val="bottom"/>
          </w:tcPr>
          <w:p>
            <w:pPr>
              <w:spacing w:after="0"/>
              <w:rPr>
                <w:sz w:val="16"/>
                <w:szCs w:val="16"/>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4660" w:type="dxa"/>
            <w:vAlign w:val="bottom"/>
          </w:tcPr>
          <w:p>
            <w:pPr>
              <w:ind w:left="20"/>
              <w:spacing w:after="0"/>
              <w:rPr>
                <w:sz w:val="20"/>
                <w:szCs w:val="20"/>
                <w:color w:val="auto"/>
              </w:rPr>
            </w:pPr>
            <w:r>
              <w:rPr>
                <w:rFonts w:ascii="Arial" w:cs="Arial" w:eastAsia="Arial" w:hAnsi="Arial"/>
                <w:sz w:val="14"/>
                <w:szCs w:val="14"/>
                <w:color w:val="auto"/>
              </w:rPr>
              <w:t>Gross profit (GAAP)</w:t>
            </w:r>
          </w:p>
        </w:tc>
        <w:tc>
          <w:tcPr>
            <w:tcW w:w="340" w:type="dxa"/>
            <w:vAlign w:val="bottom"/>
            <w:gridSpan w:val="5"/>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1,197.8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1,214.8</w:t>
            </w:r>
          </w:p>
        </w:tc>
        <w:tc>
          <w:tcPr>
            <w:tcW w:w="8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(17.0)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660" w:type="dxa"/>
            <w:vAlign w:val="bottom"/>
          </w:tcPr>
          <w:p>
            <w:pPr>
              <w:ind w:left="140"/>
              <w:spacing w:after="0"/>
              <w:rPr>
                <w:sz w:val="20"/>
                <w:szCs w:val="20"/>
                <w:color w:val="auto"/>
              </w:rPr>
            </w:pPr>
            <w:r>
              <w:rPr>
                <w:rFonts w:ascii="Arial" w:cs="Arial" w:eastAsia="Arial" w:hAnsi="Arial"/>
                <w:sz w:val="14"/>
                <w:szCs w:val="14"/>
                <w:color w:val="auto"/>
              </w:rPr>
              <w:t>Less: Tariff refunds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60" w:type="dxa"/>
            <w:vAlign w:val="bottom"/>
          </w:tcPr>
          <w:p>
            <w:pPr>
              <w:ind w:left="20"/>
              <w:spacing w:after="0"/>
              <w:rPr>
                <w:sz w:val="20"/>
                <w:szCs w:val="20"/>
                <w:color w:val="auto"/>
              </w:rPr>
            </w:pPr>
            <w:r>
              <w:rPr>
                <w:rFonts w:ascii="Arial" w:cs="Arial" w:eastAsia="Arial" w:hAnsi="Arial"/>
                <w:sz w:val="14"/>
                <w:szCs w:val="14"/>
                <w:color w:val="auto"/>
              </w:rPr>
              <w:t>Adjusted gross profit (Non-GAAP)</w:t>
            </w:r>
          </w:p>
        </w:tc>
        <w:tc>
          <w:tcPr>
            <w:tcW w:w="340" w:type="dxa"/>
            <w:vAlign w:val="bottom"/>
            <w:gridSpan w:val="5"/>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1,191.4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1,214.8</w:t>
            </w:r>
          </w:p>
        </w:tc>
        <w:tc>
          <w:tcPr>
            <w:tcW w:w="80" w:type="dxa"/>
            <w:vAlign w:val="bottom"/>
          </w:tcPr>
          <w:p>
            <w:pPr>
              <w:spacing w:after="0"/>
              <w:rPr>
                <w:sz w:val="17"/>
                <w:szCs w:val="17"/>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(23.4)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4660" w:type="dxa"/>
            <w:vAlign w:val="bottom"/>
          </w:tcPr>
          <w:p>
            <w:pPr>
              <w:ind w:left="20"/>
              <w:spacing w:after="0"/>
              <w:rPr>
                <w:sz w:val="20"/>
                <w:szCs w:val="20"/>
                <w:color w:val="auto"/>
              </w:rPr>
            </w:pPr>
            <w:r>
              <w:rPr>
                <w:rFonts w:ascii="Arial" w:cs="Arial" w:eastAsia="Arial" w:hAnsi="Arial"/>
                <w:sz w:val="14"/>
                <w:szCs w:val="14"/>
                <w:color w:val="auto"/>
              </w:rPr>
              <w:t>Gross profit margin (GAAP)</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45.8 %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45.8 %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gridSpan w:val="2"/>
          </w:tcPr>
          <w:p>
            <w:pPr>
              <w:ind w:left="20"/>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4"/>
                <w:szCs w:val="14"/>
                <w:color w:val="auto"/>
              </w:rPr>
              <w:t>Adjusted Gross profit margin (Non-GAAP)</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45.5 %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45.8 %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418"/>
        </w:trPr>
        <w:tc>
          <w:tcPr>
            <w:tcW w:w="4660" w:type="dxa"/>
            <w:vAlign w:val="bottom"/>
          </w:tcPr>
          <w:p>
            <w:pPr>
              <w:ind w:left="20"/>
              <w:spacing w:after="0"/>
              <w:rPr>
                <w:sz w:val="20"/>
                <w:szCs w:val="20"/>
                <w:color w:val="auto"/>
              </w:rPr>
            </w:pPr>
            <w:r>
              <w:rPr>
                <w:rFonts w:ascii="Arial" w:cs="Arial" w:eastAsia="Arial" w:hAnsi="Arial"/>
                <w:sz w:val="14"/>
                <w:szCs w:val="14"/>
                <w:color w:val="auto"/>
              </w:rPr>
              <w:t>Operating profit (GAAP)</w:t>
            </w:r>
          </w:p>
        </w:tc>
        <w:tc>
          <w:tcPr>
            <w:tcW w:w="340" w:type="dxa"/>
            <w:vAlign w:val="bottom"/>
            <w:gridSpan w:val="5"/>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434.7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407.6</w:t>
            </w:r>
          </w:p>
        </w:tc>
        <w:tc>
          <w:tcPr>
            <w:tcW w:w="8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6.6 %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140"/>
              <w:spacing w:after="0"/>
              <w:rPr>
                <w:sz w:val="20"/>
                <w:szCs w:val="20"/>
                <w:color w:val="auto"/>
              </w:rPr>
            </w:pPr>
            <w:r>
              <w:rPr>
                <w:rFonts w:ascii="Arial" w:cs="Arial" w:eastAsia="Arial" w:hAnsi="Arial"/>
                <w:sz w:val="14"/>
                <w:szCs w:val="14"/>
                <w:color w:val="auto"/>
              </w:rPr>
              <w:t>Add-back: Share-based payment expense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140"/>
              <w:spacing w:after="0"/>
              <w:rPr>
                <w:sz w:val="20"/>
                <w:szCs w:val="20"/>
                <w:color w:val="auto"/>
              </w:rPr>
            </w:pPr>
            <w:r>
              <w:rPr>
                <w:rFonts w:ascii="Arial" w:cs="Arial" w:eastAsia="Arial" w:hAnsi="Arial"/>
                <w:sz w:val="14"/>
                <w:szCs w:val="14"/>
                <w:color w:val="auto"/>
              </w:rPr>
              <w:t>Add-back: Special charges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29.7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60" w:type="dxa"/>
            <w:vAlign w:val="bottom"/>
          </w:tcPr>
          <w:p>
            <w:pPr>
              <w:ind w:left="140"/>
              <w:spacing w:after="0"/>
              <w:rPr>
                <w:sz w:val="20"/>
                <w:szCs w:val="20"/>
                <w:color w:val="auto"/>
              </w:rPr>
            </w:pPr>
            <w:r>
              <w:rPr>
                <w:rFonts w:ascii="Arial" w:cs="Arial" w:eastAsia="Arial" w:hAnsi="Arial"/>
                <w:sz w:val="14"/>
                <w:szCs w:val="14"/>
                <w:color w:val="auto"/>
              </w:rPr>
              <w:t>Less: Tariff refunds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60" w:type="dxa"/>
            <w:vAlign w:val="bottom"/>
          </w:tcPr>
          <w:p>
            <w:pPr>
              <w:ind w:left="20"/>
              <w:spacing w:after="0"/>
              <w:rPr>
                <w:sz w:val="20"/>
                <w:szCs w:val="20"/>
                <w:color w:val="auto"/>
              </w:rPr>
            </w:pPr>
            <w:r>
              <w:rPr>
                <w:rFonts w:ascii="Arial" w:cs="Arial" w:eastAsia="Arial" w:hAnsi="Arial"/>
                <w:sz w:val="14"/>
                <w:szCs w:val="14"/>
                <w:color w:val="auto"/>
              </w:rPr>
              <w:t>Adjusted operating profit (Non-GAAP)</w:t>
            </w:r>
          </w:p>
        </w:tc>
        <w:tc>
          <w:tcPr>
            <w:tcW w:w="340" w:type="dxa"/>
            <w:vAlign w:val="bottom"/>
            <w:gridSpan w:val="5"/>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466.2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468.7</w:t>
            </w:r>
          </w:p>
        </w:tc>
        <w:tc>
          <w:tcPr>
            <w:tcW w:w="80" w:type="dxa"/>
            <w:vAlign w:val="bottom"/>
          </w:tcPr>
          <w:p>
            <w:pPr>
              <w:spacing w:after="0"/>
              <w:rPr>
                <w:sz w:val="17"/>
                <w:szCs w:val="17"/>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4660" w:type="dxa"/>
            <w:vAlign w:val="bottom"/>
          </w:tcPr>
          <w:p>
            <w:pPr>
              <w:ind w:left="20"/>
              <w:spacing w:after="0"/>
              <w:rPr>
                <w:sz w:val="20"/>
                <w:szCs w:val="20"/>
                <w:color w:val="auto"/>
              </w:rPr>
            </w:pPr>
            <w:r>
              <w:rPr>
                <w:rFonts w:ascii="Arial" w:cs="Arial" w:eastAsia="Arial" w:hAnsi="Arial"/>
                <w:sz w:val="14"/>
                <w:szCs w:val="14"/>
                <w:color w:val="auto"/>
              </w:rPr>
              <w:t>Operating profit margin (GAAP)</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16.6 %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15.4 %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4"/>
                <w:szCs w:val="14"/>
                <w:color w:val="auto"/>
              </w:rPr>
              <w:t>Adjusted operating profit margin (Non-GAAP)</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17.8 %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17.7 %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452"/>
        </w:trPr>
        <w:tc>
          <w:tcPr>
            <w:tcW w:w="4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jc w:val="center"/>
              <w:ind w:right="1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Acuity Intelligent Spaces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May 31, 2026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May 31, 2025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46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(Decrease)</w:t>
            </w:r>
          </w:p>
        </w:tc>
        <w:tc>
          <w:tcPr>
            <w:tcW w:w="100" w:type="dxa"/>
            <w:vAlign w:val="bottom"/>
            <w:gridSpan w:val="2"/>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6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40" w:type="dxa"/>
            <w:vAlign w:val="bottom"/>
            <w:gridSpan w:val="5"/>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809.0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509.1</w:t>
            </w:r>
          </w:p>
        </w:tc>
        <w:tc>
          <w:tcPr>
            <w:tcW w:w="80" w:type="dxa"/>
            <w:vAlign w:val="bottom"/>
          </w:tcPr>
          <w:p>
            <w:pPr>
              <w:spacing w:after="0"/>
              <w:rPr>
                <w:sz w:val="16"/>
                <w:szCs w:val="16"/>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299.9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58.9 %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4660" w:type="dxa"/>
            <w:vAlign w:val="bottom"/>
          </w:tcPr>
          <w:p>
            <w:pPr>
              <w:ind w:left="20"/>
              <w:spacing w:after="0"/>
              <w:rPr>
                <w:sz w:val="20"/>
                <w:szCs w:val="20"/>
                <w:color w:val="auto"/>
              </w:rPr>
            </w:pPr>
            <w:r>
              <w:rPr>
                <w:rFonts w:ascii="Arial" w:cs="Arial" w:eastAsia="Arial" w:hAnsi="Arial"/>
                <w:sz w:val="14"/>
                <w:szCs w:val="14"/>
                <w:color w:val="auto"/>
              </w:rPr>
              <w:t>Gross profit (GAAP)</w:t>
            </w:r>
          </w:p>
        </w:tc>
        <w:tc>
          <w:tcPr>
            <w:tcW w:w="340" w:type="dxa"/>
            <w:vAlign w:val="bottom"/>
            <w:gridSpan w:val="5"/>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482.8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272.7</w:t>
            </w:r>
          </w:p>
        </w:tc>
        <w:tc>
          <w:tcPr>
            <w:tcW w:w="8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210.1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77.0 %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660" w:type="dxa"/>
            <w:vAlign w:val="bottom"/>
          </w:tcPr>
          <w:p>
            <w:pPr>
              <w:ind w:left="140"/>
              <w:spacing w:after="0"/>
              <w:rPr>
                <w:sz w:val="20"/>
                <w:szCs w:val="20"/>
                <w:color w:val="auto"/>
              </w:rPr>
            </w:pPr>
            <w:r>
              <w:rPr>
                <w:rFonts w:ascii="Arial" w:cs="Arial" w:eastAsia="Arial" w:hAnsi="Arial"/>
                <w:sz w:val="14"/>
                <w:szCs w:val="14"/>
                <w:color w:val="auto"/>
              </w:rPr>
              <w:t>Add-back: Acquired profit in inventory</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29.6</w:t>
            </w:r>
          </w:p>
        </w:tc>
        <w:tc>
          <w:tcPr>
            <w:tcW w:w="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60" w:type="dxa"/>
            <w:vAlign w:val="bottom"/>
          </w:tcPr>
          <w:p>
            <w:pPr>
              <w:ind w:left="20"/>
              <w:spacing w:after="0"/>
              <w:rPr>
                <w:sz w:val="20"/>
                <w:szCs w:val="20"/>
                <w:color w:val="auto"/>
              </w:rPr>
            </w:pPr>
            <w:r>
              <w:rPr>
                <w:rFonts w:ascii="Arial" w:cs="Arial" w:eastAsia="Arial" w:hAnsi="Arial"/>
                <w:sz w:val="14"/>
                <w:szCs w:val="14"/>
                <w:color w:val="auto"/>
              </w:rPr>
              <w:t>Adjusted gross profit (Non-GAAP)</w:t>
            </w:r>
          </w:p>
        </w:tc>
        <w:tc>
          <w:tcPr>
            <w:tcW w:w="340" w:type="dxa"/>
            <w:vAlign w:val="bottom"/>
            <w:gridSpan w:val="5"/>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482.8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302.3</w:t>
            </w:r>
          </w:p>
        </w:tc>
        <w:tc>
          <w:tcPr>
            <w:tcW w:w="80" w:type="dxa"/>
            <w:vAlign w:val="bottom"/>
          </w:tcPr>
          <w:p>
            <w:pPr>
              <w:spacing w:after="0"/>
              <w:rPr>
                <w:sz w:val="17"/>
                <w:szCs w:val="17"/>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180.5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59.7 %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4660" w:type="dxa"/>
            <w:vAlign w:val="bottom"/>
          </w:tcPr>
          <w:p>
            <w:pPr>
              <w:ind w:left="20"/>
              <w:spacing w:after="0"/>
              <w:rPr>
                <w:sz w:val="20"/>
                <w:szCs w:val="20"/>
                <w:color w:val="auto"/>
              </w:rPr>
            </w:pPr>
            <w:r>
              <w:rPr>
                <w:rFonts w:ascii="Arial" w:cs="Arial" w:eastAsia="Arial" w:hAnsi="Arial"/>
                <w:sz w:val="14"/>
                <w:szCs w:val="14"/>
                <w:color w:val="auto"/>
              </w:rPr>
              <w:t>Gross profit margin (GAAP)</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59.7 %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53.6 %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4"/>
                <w:szCs w:val="14"/>
                <w:color w:val="auto"/>
              </w:rPr>
              <w:t>Adjusted gross profit margin (Non-GAAP)</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59.7 %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59.4 %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418"/>
        </w:trPr>
        <w:tc>
          <w:tcPr>
            <w:tcW w:w="4660" w:type="dxa"/>
            <w:vAlign w:val="bottom"/>
          </w:tcPr>
          <w:p>
            <w:pPr>
              <w:ind w:left="20"/>
              <w:spacing w:after="0"/>
              <w:rPr>
                <w:sz w:val="20"/>
                <w:szCs w:val="20"/>
                <w:color w:val="auto"/>
              </w:rPr>
            </w:pPr>
            <w:r>
              <w:rPr>
                <w:rFonts w:ascii="Arial" w:cs="Arial" w:eastAsia="Arial" w:hAnsi="Arial"/>
                <w:sz w:val="14"/>
                <w:szCs w:val="14"/>
                <w:color w:val="auto"/>
              </w:rPr>
              <w:t>Operating profit (GAAP)</w:t>
            </w:r>
          </w:p>
        </w:tc>
        <w:tc>
          <w:tcPr>
            <w:tcW w:w="340" w:type="dxa"/>
            <w:vAlign w:val="bottom"/>
            <w:gridSpan w:val="5"/>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121.8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48.1</w:t>
            </w:r>
          </w:p>
        </w:tc>
        <w:tc>
          <w:tcPr>
            <w:tcW w:w="8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73.7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153.2 %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26.5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140"/>
              <w:spacing w:after="0"/>
              <w:rPr>
                <w:sz w:val="20"/>
                <w:szCs w:val="20"/>
                <w:color w:val="auto"/>
              </w:rPr>
            </w:pPr>
            <w:r>
              <w:rPr>
                <w:rFonts w:ascii="Arial" w:cs="Arial" w:eastAsia="Arial" w:hAnsi="Arial"/>
                <w:sz w:val="14"/>
                <w:szCs w:val="14"/>
                <w:color w:val="auto"/>
              </w:rPr>
              <w:t>Add-back: Share-based payment expense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60" w:type="dxa"/>
            <w:vAlign w:val="bottom"/>
          </w:tcPr>
          <w:p>
            <w:pPr>
              <w:ind w:left="140"/>
              <w:spacing w:after="0"/>
              <w:rPr>
                <w:sz w:val="20"/>
                <w:szCs w:val="20"/>
                <w:color w:val="auto"/>
              </w:rPr>
            </w:pPr>
            <w:r>
              <w:rPr>
                <w:rFonts w:ascii="Arial" w:cs="Arial" w:eastAsia="Arial" w:hAnsi="Arial"/>
                <w:sz w:val="14"/>
                <w:szCs w:val="14"/>
                <w:color w:val="auto"/>
              </w:rPr>
              <w:t>Add-back: Acquired profit in inventory</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29.6</w:t>
            </w:r>
          </w:p>
        </w:tc>
        <w:tc>
          <w:tcPr>
            <w:tcW w:w="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60" w:type="dxa"/>
            <w:vAlign w:val="bottom"/>
          </w:tcPr>
          <w:p>
            <w:pPr>
              <w:ind w:left="20"/>
              <w:spacing w:after="0"/>
              <w:rPr>
                <w:sz w:val="20"/>
                <w:szCs w:val="20"/>
                <w:color w:val="auto"/>
              </w:rPr>
            </w:pPr>
            <w:r>
              <w:rPr>
                <w:rFonts w:ascii="Arial" w:cs="Arial" w:eastAsia="Arial" w:hAnsi="Arial"/>
                <w:sz w:val="14"/>
                <w:szCs w:val="14"/>
                <w:color w:val="auto"/>
              </w:rPr>
              <w:t>Adjusted operating profit (Non-GAAP)</w:t>
            </w:r>
          </w:p>
        </w:tc>
        <w:tc>
          <w:tcPr>
            <w:tcW w:w="340" w:type="dxa"/>
            <w:vAlign w:val="bottom"/>
            <w:gridSpan w:val="5"/>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180.9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109.7</w:t>
            </w:r>
          </w:p>
        </w:tc>
        <w:tc>
          <w:tcPr>
            <w:tcW w:w="80" w:type="dxa"/>
            <w:vAlign w:val="bottom"/>
          </w:tcPr>
          <w:p>
            <w:pPr>
              <w:spacing w:after="0"/>
              <w:rPr>
                <w:sz w:val="17"/>
                <w:szCs w:val="17"/>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71.2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64.9 %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4660" w:type="dxa"/>
            <w:vAlign w:val="bottom"/>
          </w:tcPr>
          <w:p>
            <w:pPr>
              <w:ind w:left="20"/>
              <w:spacing w:after="0"/>
              <w:rPr>
                <w:sz w:val="20"/>
                <w:szCs w:val="20"/>
                <w:color w:val="auto"/>
              </w:rPr>
            </w:pPr>
            <w:r>
              <w:rPr>
                <w:rFonts w:ascii="Arial" w:cs="Arial" w:eastAsia="Arial" w:hAnsi="Arial"/>
                <w:sz w:val="14"/>
                <w:szCs w:val="14"/>
                <w:color w:val="auto"/>
              </w:rPr>
              <w:t>Operating profit margin (GAAP)</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15.1 %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9.4 %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4"/>
                <w:szCs w:val="14"/>
                <w:color w:val="auto"/>
              </w:rPr>
              <w:t>Adjusted operating profit margin (Non-GAAP)</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22.4 %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21.5 %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560"/>
        </w:trPr>
        <w:tc>
          <w:tcPr>
            <w:tcW w:w="46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8"/>
          </w:tcPr>
          <w:p>
            <w:pPr>
              <w:jc w:val="right"/>
              <w:ind w:right="988"/>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May 31, 2026</w:t>
            </w:r>
          </w:p>
        </w:tc>
        <w:tc>
          <w:tcPr>
            <w:tcW w:w="1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May 31, 2025</w:t>
            </w:r>
          </w:p>
        </w:tc>
        <w:tc>
          <w:tcPr>
            <w:tcW w:w="8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4"/>
          </w:tcPr>
          <w:p>
            <w:pPr>
              <w:ind w:left="140"/>
              <w:spacing w:after="0" w:line="135" w:lineRule="exact"/>
              <w:rPr>
                <w:sz w:val="20"/>
                <w:szCs w:val="20"/>
                <w:color w:val="auto"/>
              </w:rPr>
            </w:pPr>
            <w:r>
              <w:rPr>
                <w:rFonts w:ascii="Arial" w:cs="Arial" w:eastAsia="Arial" w:hAnsi="Arial"/>
                <w:sz w:val="14"/>
                <w:szCs w:val="14"/>
                <w:b w:val="1"/>
                <w:bCs w:val="1"/>
                <w:color w:val="auto"/>
              </w:rPr>
              <w:t>Increase</w:t>
            </w:r>
          </w:p>
        </w:tc>
        <w:tc>
          <w:tcPr>
            <w:tcW w:w="1520" w:type="dxa"/>
            <w:vAlign w:val="bottom"/>
            <w:vMerge w:val="restart"/>
          </w:tcPr>
          <w:p>
            <w:pPr>
              <w:jc w:val="right"/>
              <w:ind w:right="167"/>
              <w:spacing w:after="0"/>
              <w:rPr>
                <w:sz w:val="20"/>
                <w:szCs w:val="20"/>
                <w:color w:val="auto"/>
              </w:rPr>
            </w:pPr>
            <w:r>
              <w:rPr>
                <w:rFonts w:ascii="Arial" w:cs="Arial" w:eastAsia="Arial" w:hAnsi="Arial"/>
                <w:sz w:val="14"/>
                <w:szCs w:val="14"/>
                <w:b w:val="1"/>
                <w:bCs w:val="1"/>
                <w:color w:val="auto"/>
              </w:rPr>
              <w:t>Percent Change</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(Decrease)</w:t>
            </w:r>
          </w:p>
        </w:tc>
        <w:tc>
          <w:tcPr>
            <w:tcW w:w="80" w:type="dxa"/>
            <w:vAlign w:val="bottom"/>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6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 (GAAP)</w:t>
            </w:r>
          </w:p>
        </w:tc>
        <w:tc>
          <w:tcPr>
            <w:tcW w:w="1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520.2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398.9</w:t>
            </w:r>
          </w:p>
        </w:tc>
        <w:tc>
          <w:tcPr>
            <w:tcW w:w="80" w:type="dxa"/>
            <w:vAlign w:val="bottom"/>
          </w:tcPr>
          <w:p>
            <w:pPr>
              <w:spacing w:after="0"/>
              <w:rPr>
                <w:sz w:val="16"/>
                <w:szCs w:val="16"/>
                <w:color w:val="auto"/>
              </w:rPr>
            </w:pPr>
          </w:p>
        </w:tc>
        <w:tc>
          <w:tcPr>
            <w:tcW w:w="2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121.3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30.4 %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60" w:type="dxa"/>
            <w:vAlign w:val="bottom"/>
          </w:tcPr>
          <w:p>
            <w:pPr>
              <w:ind w:left="140"/>
              <w:spacing w:after="0"/>
              <w:rPr>
                <w:sz w:val="20"/>
                <w:szCs w:val="20"/>
                <w:color w:val="auto"/>
              </w:rPr>
            </w:pPr>
            <w:r>
              <w:rPr>
                <w:rFonts w:ascii="Arial" w:cs="Arial" w:eastAsia="Arial" w:hAnsi="Arial"/>
                <w:sz w:val="14"/>
                <w:szCs w:val="14"/>
                <w:color w:val="auto"/>
              </w:rPr>
              <w:t>Less: Purchases of property, plant, and equipment</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60" w:type="dxa"/>
            <w:vAlign w:val="bottom"/>
          </w:tcPr>
          <w:p>
            <w:pPr>
              <w:ind w:left="40"/>
              <w:spacing w:after="0"/>
              <w:rPr>
                <w:sz w:val="20"/>
                <w:szCs w:val="20"/>
                <w:color w:val="auto"/>
              </w:rPr>
            </w:pPr>
            <w:r>
              <w:rPr>
                <w:rFonts w:ascii="Arial" w:cs="Arial" w:eastAsia="Arial" w:hAnsi="Arial"/>
                <w:sz w:val="14"/>
                <w:szCs w:val="14"/>
                <w:color w:val="auto"/>
              </w:rPr>
              <w:t>Free cash flow (Non-GAAP)</w:t>
            </w:r>
          </w:p>
        </w:tc>
        <w:tc>
          <w:tcPr>
            <w:tcW w:w="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461.7</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355.3</w:t>
            </w:r>
          </w:p>
        </w:tc>
        <w:tc>
          <w:tcPr>
            <w:tcW w:w="80" w:type="dxa"/>
            <w:vAlign w:val="bottom"/>
          </w:tcPr>
          <w:p>
            <w:pPr>
              <w:spacing w:after="0"/>
              <w:rPr>
                <w:sz w:val="17"/>
                <w:szCs w:val="17"/>
                <w:color w:val="auto"/>
              </w:rPr>
            </w:pPr>
          </w:p>
        </w:tc>
        <w:tc>
          <w:tcPr>
            <w:tcW w:w="2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106.4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29.9 %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sectPr>
      <w:pgSz w:w="11900" w:h="16838" w:orient="portrait"/>
      <w:cols w:equalWidth="0" w:num="1">
        <w:col w:w="11240"/>
      </w:cols>
      <w:pgMar w:left="320" w:top="2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04"/>
    </w:lvl>
  </w:abstractNum>
  <w:abstractNum w:abstractNumId="3">
    <w:nsid w:val="46E87CCD"/>
    <w:multiLevelType w:val="hybridMultilevel"/>
    <w:lvl w:ilvl="0">
      <w:lvlJc w:val="left"/>
      <w:lvlText w:val="(%1)"/>
      <w:numFmt w:val="decimal"/>
      <w:start w:val="40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2026-06-25T06:30:36Z</dcterms:created>
  <dcterms:modified xsi:type="dcterms:W3CDTF">2026-06-25T06:30:36Z</dcterms:modified>
</cp:coreProperties>
</file>