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w:t>
      </w:r>
    </w:p>
    <w:p>
      <w:pPr>
        <w:spacing w:after="0" w:line="122" w:lineRule="exact"/>
        <w:rPr>
          <w:sz w:val="24"/>
          <w:szCs w:val="24"/>
          <w:color w:val="auto"/>
        </w:rPr>
      </w:pPr>
    </w:p>
    <w:p>
      <w:pPr>
        <w:ind w:left="11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560" w:hanging="2782"/>
        <w:spacing w:after="0" w:line="442" w:lineRule="auto"/>
        <w:tabs>
          <w:tab w:leader="none" w:pos="25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4480" w:right="1440" w:hanging="3082"/>
        <w:spacing w:after="0" w:line="374" w:lineRule="auto"/>
        <w:tabs>
          <w:tab w:leader="none" w:pos="242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ACUITY BRANDS,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jc w:val="center"/>
              <w:ind w:left="8"/>
              <w:spacing w:after="0"/>
              <w:rPr>
                <w:sz w:val="20"/>
                <w:szCs w:val="20"/>
                <w:color w:val="auto"/>
              </w:rPr>
            </w:pPr>
            <w:r>
              <w:rPr>
                <w:rFonts w:ascii="Arial" w:cs="Arial" w:eastAsia="Arial" w:hAnsi="Arial"/>
                <w:sz w:val="14"/>
                <w:szCs w:val="14"/>
                <w:b w:val="1"/>
                <w:bCs w:val="1"/>
                <w:color w:val="auto"/>
              </w:rPr>
              <w:t>Delaware</w:t>
            </w:r>
          </w:p>
        </w:tc>
        <w:tc>
          <w:tcPr>
            <w:tcW w:w="3120" w:type="dxa"/>
            <w:vAlign w:val="bottom"/>
            <w:gridSpan w:val="5"/>
          </w:tcPr>
          <w:p>
            <w:pPr>
              <w:jc w:val="center"/>
              <w:ind w:left="837"/>
              <w:spacing w:after="0"/>
              <w:rPr>
                <w:sz w:val="20"/>
                <w:szCs w:val="20"/>
                <w:color w:val="auto"/>
              </w:rPr>
            </w:pPr>
            <w:r>
              <w:rPr>
                <w:rFonts w:ascii="Arial" w:cs="Arial" w:eastAsia="Arial" w:hAnsi="Arial"/>
                <w:sz w:val="14"/>
                <w:szCs w:val="14"/>
                <w:b w:val="1"/>
                <w:bCs w:val="1"/>
                <w:color w:val="auto"/>
              </w:rPr>
              <w:t>001-16583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20" w:type="dxa"/>
            <w:vAlign w:val="bottom"/>
          </w:tcPr>
          <w:p>
            <w:pPr>
              <w:jc w:val="right"/>
              <w:ind w:right="1388"/>
              <w:spacing w:after="0"/>
              <w:rPr>
                <w:sz w:val="20"/>
                <w:szCs w:val="20"/>
                <w:color w:val="auto"/>
              </w:rPr>
            </w:pPr>
            <w:r>
              <w:rPr>
                <w:rFonts w:ascii="Arial" w:cs="Arial" w:eastAsia="Arial" w:hAnsi="Arial"/>
                <w:sz w:val="14"/>
                <w:szCs w:val="14"/>
                <w:b w:val="1"/>
                <w:bCs w:val="1"/>
                <w:color w:val="auto"/>
              </w:rPr>
              <w:t>58-2632672</w:t>
            </w:r>
          </w:p>
        </w:tc>
      </w:tr>
      <w:tr>
        <w:trPr>
          <w:trHeight w:val="143"/>
        </w:trPr>
        <w:tc>
          <w:tcPr>
            <w:tcW w:w="3600" w:type="dxa"/>
            <w:vAlign w:val="bottom"/>
            <w:tcBorders>
              <w:top w:val="single" w:sz="8" w:color="auto"/>
            </w:tcBorders>
          </w:tcPr>
          <w:p>
            <w:pPr>
              <w:jc w:val="center"/>
              <w:ind w:left="8"/>
              <w:spacing w:after="0" w:line="143" w:lineRule="exact"/>
              <w:rPr>
                <w:sz w:val="20"/>
                <w:szCs w:val="20"/>
                <w:color w:val="auto"/>
              </w:rPr>
            </w:pPr>
            <w:r>
              <w:rPr>
                <w:rFonts w:ascii="Arial" w:cs="Arial" w:eastAsia="Arial" w:hAnsi="Arial"/>
                <w:sz w:val="14"/>
                <w:szCs w:val="14"/>
                <w:i w:val="1"/>
                <w:iCs w:val="1"/>
                <w:color w:val="auto"/>
              </w:rPr>
              <w:t>(State or other jurisdiction of incorporation or</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center"/>
              <w:ind w:right="720"/>
              <w:spacing w:after="0" w:line="143" w:lineRule="exact"/>
              <w:rPr>
                <w:sz w:val="20"/>
                <w:szCs w:val="20"/>
                <w:color w:val="auto"/>
              </w:rPr>
            </w:pPr>
            <w:r>
              <w:rPr>
                <w:rFonts w:ascii="Arial" w:cs="Arial" w:eastAsia="Arial" w:hAnsi="Arial"/>
                <w:sz w:val="14"/>
                <w:szCs w:val="14"/>
                <w:i w:val="1"/>
                <w:iCs w:val="1"/>
                <w:color w:val="auto"/>
              </w:rPr>
              <w:t>(Commission File Number)</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ind w:left="120"/>
              <w:spacing w:after="0" w:line="143" w:lineRule="exact"/>
              <w:rPr>
                <w:sz w:val="20"/>
                <w:szCs w:val="20"/>
                <w:color w:val="auto"/>
              </w:rPr>
            </w:pPr>
            <w:r>
              <w:rPr>
                <w:rFonts w:ascii="Arial" w:cs="Arial" w:eastAsia="Arial" w:hAnsi="Arial"/>
                <w:sz w:val="14"/>
                <w:szCs w:val="14"/>
                <w:i w:val="1"/>
                <w:iCs w:val="1"/>
                <w:color w:val="auto"/>
              </w:rPr>
              <w:t>(I.R.S. Employer Identification Number)</w:t>
            </w:r>
          </w:p>
        </w:tc>
      </w:tr>
      <w:tr>
        <w:trPr>
          <w:trHeight w:val="188"/>
        </w:trPr>
        <w:tc>
          <w:tcPr>
            <w:tcW w:w="3600" w:type="dxa"/>
            <w:vAlign w:val="bottom"/>
          </w:tcPr>
          <w:p>
            <w:pPr>
              <w:jc w:val="center"/>
              <w:ind w:left="8"/>
              <w:spacing w:after="0"/>
              <w:rPr>
                <w:sz w:val="20"/>
                <w:szCs w:val="20"/>
                <w:color w:val="auto"/>
              </w:rPr>
            </w:pPr>
            <w:r>
              <w:rPr>
                <w:rFonts w:ascii="Arial" w:cs="Arial" w:eastAsia="Arial" w:hAnsi="Arial"/>
                <w:sz w:val="14"/>
                <w:szCs w:val="14"/>
                <w:i w:val="1"/>
                <w:iCs w:val="1"/>
                <w:color w:val="auto"/>
              </w:rPr>
              <w:t>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42"/>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c>
          <w:tcPr>
            <w:tcW w:w="3220" w:type="dxa"/>
            <w:vAlign w:val="bottom"/>
          </w:tcPr>
          <w:p>
            <w:pPr>
              <w:spacing w:after="0"/>
              <w:rPr>
                <w:sz w:val="21"/>
                <w:szCs w:val="21"/>
                <w:color w:val="auto"/>
              </w:rPr>
            </w:pPr>
          </w:p>
        </w:tc>
      </w:tr>
      <w:tr>
        <w:trPr>
          <w:trHeight w:val="188"/>
        </w:trPr>
        <w:tc>
          <w:tcPr>
            <w:tcW w:w="3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3120" w:type="dxa"/>
            <w:vAlign w:val="bottom"/>
            <w:gridSpan w:val="5"/>
          </w:tcPr>
          <w:p>
            <w:pPr>
              <w:jc w:val="center"/>
              <w:ind w:left="877"/>
              <w:spacing w:after="0"/>
              <w:rPr>
                <w:sz w:val="20"/>
                <w:szCs w:val="20"/>
                <w:color w:val="auto"/>
              </w:rPr>
            </w:pPr>
            <w:r>
              <w:rPr>
                <w:rFonts w:ascii="Arial" w:cs="Arial" w:eastAsia="Arial" w:hAnsi="Arial"/>
                <w:sz w:val="14"/>
                <w:szCs w:val="14"/>
                <w:b w:val="1"/>
                <w:bCs w:val="1"/>
                <w:color w:val="auto"/>
              </w:rPr>
              <w:t>(404) 853-1400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169"/>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261"/>
        </w:trPr>
        <w:tc>
          <w:tcPr>
            <w:tcW w:w="3600" w:type="dxa"/>
            <w:vAlign w:val="bottom"/>
          </w:tcPr>
          <w:p>
            <w:pPr>
              <w:spacing w:after="0"/>
              <w:rPr>
                <w:sz w:val="22"/>
                <w:szCs w:val="22"/>
                <w:color w:val="auto"/>
              </w:rPr>
            </w:pPr>
          </w:p>
        </w:tc>
        <w:tc>
          <w:tcPr>
            <w:tcW w:w="442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220" w:type="dxa"/>
            <w:vAlign w:val="bottom"/>
          </w:tcPr>
          <w:p>
            <w:pPr>
              <w:spacing w:after="0"/>
              <w:rPr>
                <w:sz w:val="22"/>
                <w:szCs w:val="22"/>
                <w:color w:val="auto"/>
              </w:rPr>
            </w:pPr>
          </w:p>
        </w:tc>
      </w:tr>
      <w:tr>
        <w:trPr>
          <w:trHeight w:val="298"/>
        </w:trPr>
        <w:tc>
          <w:tcPr>
            <w:tcW w:w="360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5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600" w:type="dxa"/>
            <w:vAlign w:val="bottom"/>
          </w:tcPr>
          <w:p>
            <w:pPr>
              <w:jc w:val="center"/>
              <w:ind w:left="728"/>
              <w:spacing w:after="0"/>
              <w:rPr>
                <w:sz w:val="20"/>
                <w:szCs w:val="20"/>
                <w:color w:val="auto"/>
              </w:rPr>
            </w:pPr>
            <w:r>
              <w:rPr>
                <w:rFonts w:ascii="Arial" w:cs="Arial" w:eastAsia="Arial" w:hAnsi="Arial"/>
                <w:sz w:val="14"/>
                <w:szCs w:val="14"/>
                <w:color w:val="auto"/>
              </w:rPr>
              <w:t>Common stock, $0.01 par value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color w:val="auto"/>
                <w:w w:val="97"/>
              </w:rPr>
              <w:t>AYI</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jc w:val="center"/>
              <w:ind w:right="1128"/>
              <w:spacing w:after="0"/>
              <w:rPr>
                <w:sz w:val="20"/>
                <w:szCs w:val="20"/>
                <w:color w:val="auto"/>
              </w:rPr>
            </w:pPr>
            <w:r>
              <w:rPr>
                <w:rFonts w:ascii="Arial" w:cs="Arial" w:eastAsia="Arial" w:hAnsi="Arial"/>
                <w:sz w:val="14"/>
                <w:szCs w:val="14"/>
                <w:color w:val="auto"/>
              </w:rPr>
              <w:t>New York Stock Exchange</w:t>
            </w:r>
          </w:p>
        </w:tc>
      </w:tr>
      <w:tr>
        <w:trPr>
          <w:trHeight w:val="332"/>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22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253"/>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2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5" w:lineRule="exact"/>
        <w:rPr>
          <w:sz w:val="24"/>
          <w:szCs w:val="24"/>
          <w:color w:val="auto"/>
        </w:rPr>
      </w:pPr>
    </w:p>
    <w:p>
      <w:pPr>
        <w:spacing w:after="0" w:line="161" w:lineRule="exact"/>
        <w:tabs>
          <w:tab w:leader="none" w:pos="120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8"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63" w:lineRule="exact"/>
        <w:rPr>
          <w:sz w:val="24"/>
          <w:szCs w:val="24"/>
          <w:color w:val="auto"/>
        </w:rPr>
      </w:pPr>
    </w:p>
    <w:p>
      <w:pPr>
        <w:ind w:left="20" w:right="4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43" w:lineRule="exact"/>
        <w:rPr>
          <w:sz w:val="24"/>
          <w:szCs w:val="24"/>
          <w:color w:val="auto"/>
        </w:rPr>
      </w:pPr>
    </w:p>
    <w:p>
      <w:pPr>
        <w:sectPr>
          <w:pgSz w:w="11900" w:h="16838" w:orient="portrait"/>
          <w:cols w:equalWidth="0" w:num="6">
            <w:col w:w="2280" w:space="720"/>
            <w:col w:w="140" w:space="220"/>
            <w:col w:w="2320" w:space="720"/>
            <w:col w:w="120" w:space="220"/>
            <w:col w:w="2300" w:space="720"/>
            <w:col w:w="1480"/>
          </w:cols>
          <w:pgMar w:left="320" w:top="242" w:right="339" w:bottom="1440" w:gutter="0" w:footer="0" w:header="0"/>
          <w:type w:val="continuous"/>
        </w:sectPr>
      </w:pPr>
    </w:p>
    <w:p>
      <w:pPr>
        <w:ind w:right="30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spacing w:after="0" w:line="301" w:lineRule="auto"/>
        <w:rPr>
          <w:sz w:val="20"/>
          <w:szCs w:val="20"/>
          <w:color w:val="auto"/>
        </w:rPr>
      </w:pPr>
      <w:r>
        <w:rPr>
          <w:rFonts w:ascii="Arial" w:cs="Arial" w:eastAsia="Arial" w:hAnsi="Arial"/>
          <w:sz w:val="14"/>
          <w:szCs w:val="14"/>
          <w:color w:val="auto"/>
        </w:rPr>
        <w:t>Based on the closing price of the Registrant’s common stock of $182.37 as quoted on the New York Stock Exchange on February 28, 2022, the aggregate market value of the voting stock held by non-affiliates of the registrant was $5.4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32,158,387 shares as of October 21, 2022.</w:t>
      </w:r>
    </w:p>
    <w:p>
      <w:pPr>
        <w:spacing w:after="0" w:line="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Location in Form 10-K</w:t>
            </w: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2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5"/>
        </w:trPr>
        <w:tc>
          <w:tcPr>
            <w:tcW w:w="5440" w:type="dxa"/>
            <w:vAlign w:val="bottom"/>
            <w:gridSpan w:val="3"/>
          </w:tcPr>
          <w:p>
            <w:pPr>
              <w:jc w:val="center"/>
              <w:ind w:right="60"/>
              <w:spacing w:after="0"/>
              <w:rPr>
                <w:sz w:val="20"/>
                <w:szCs w:val="20"/>
                <w:color w:val="auto"/>
              </w:rPr>
            </w:pPr>
            <w:r>
              <w:rPr>
                <w:rFonts w:ascii="Arial" w:cs="Arial" w:eastAsia="Arial" w:hAnsi="Arial"/>
                <w:sz w:val="14"/>
                <w:szCs w:val="14"/>
                <w:color w:val="auto"/>
              </w:rPr>
              <w:t>Part II, Item 5; Part III, Items 10, 11, 12, 13, and 14</w:t>
            </w:r>
          </w:p>
        </w:tc>
        <w:tc>
          <w:tcPr>
            <w:tcW w:w="5800" w:type="dxa"/>
            <w:vAlign w:val="bottom"/>
            <w:gridSpan w:val="3"/>
          </w:tcPr>
          <w:p>
            <w:pPr>
              <w:jc w:val="center"/>
              <w:ind w:left="108"/>
              <w:spacing w:after="0"/>
              <w:rPr>
                <w:sz w:val="20"/>
                <w:szCs w:val="20"/>
                <w:color w:val="auto"/>
              </w:rPr>
            </w:pPr>
            <w:r>
              <w:rPr>
                <w:rFonts w:ascii="Arial" w:cs="Arial" w:eastAsia="Arial" w:hAnsi="Arial"/>
                <w:sz w:val="14"/>
                <w:szCs w:val="14"/>
                <w:color w:val="auto"/>
              </w:rPr>
              <w:t>Proxy Statement for 2022 Annual Meeting of Stockholders</w:t>
            </w:r>
          </w:p>
        </w:tc>
      </w:tr>
      <w:tr>
        <w:trPr>
          <w:trHeight w:val="116"/>
        </w:trPr>
        <w:tc>
          <w:tcPr>
            <w:tcW w:w="19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939"/>
        </w:trPr>
        <w:tc>
          <w:tcPr>
            <w:tcW w:w="19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gridSpan w:val="14"/>
          </w:tcPr>
          <w:p>
            <w:pPr>
              <w:jc w:val="center"/>
              <w:ind w:right="3980"/>
              <w:spacing w:after="0"/>
              <w:rPr>
                <w:sz w:val="20"/>
                <w:szCs w:val="20"/>
                <w:color w:val="auto"/>
              </w:rPr>
            </w:pPr>
            <w:r>
              <w:rPr>
                <w:rFonts w:ascii="Arial" w:cs="Arial" w:eastAsia="Arial" w:hAnsi="Arial"/>
                <w:sz w:val="18"/>
                <w:szCs w:val="18"/>
                <w:b w:val="1"/>
                <w:bCs w:val="1"/>
                <w:color w:val="auto"/>
              </w:rPr>
              <w:t>ACUITY BRANDS, INC.</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14"/>
          </w:tcPr>
          <w:p>
            <w:pPr>
              <w:jc w:val="center"/>
              <w:ind w:right="39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80" w:type="dxa"/>
            <w:vAlign w:val="bottom"/>
            <w:gridSpan w:val="10"/>
          </w:tcPr>
          <w:p>
            <w:pPr>
              <w:jc w:val="center"/>
              <w:ind w:right="4820"/>
              <w:spacing w:after="0" w:line="144" w:lineRule="exact"/>
              <w:rPr>
                <w:sz w:val="20"/>
                <w:szCs w:val="20"/>
                <w:color w:val="auto"/>
              </w:rPr>
            </w:pPr>
            <w:r>
              <w:rPr>
                <w:rFonts w:ascii="Arial" w:cs="Arial" w:eastAsia="Arial" w:hAnsi="Arial"/>
                <w:sz w:val="14"/>
                <w:szCs w:val="14"/>
                <w:b w:val="1"/>
                <w:bCs w:val="1"/>
                <w:color w:val="0000FF"/>
              </w:rPr>
              <w:t>Part I</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1.</w:t>
            </w:r>
          </w:p>
        </w:tc>
        <w:tc>
          <w:tcPr>
            <w:tcW w:w="4620" w:type="dxa"/>
            <w:vAlign w:val="bottom"/>
            <w:gridSpan w:val="18"/>
          </w:tcPr>
          <w:p>
            <w:pPr>
              <w:spacing w:after="0"/>
              <w:rPr>
                <w:sz w:val="20"/>
                <w:szCs w:val="20"/>
                <w:color w:val="auto"/>
              </w:rPr>
            </w:pPr>
            <w:r>
              <w:rPr>
                <w:rFonts w:ascii="Arial" w:cs="Arial" w:eastAsia="Arial" w:hAnsi="Arial"/>
                <w:sz w:val="14"/>
                <w:szCs w:val="14"/>
                <w:color w:val="0000FF"/>
              </w:rPr>
              <w:t>Business.</w:t>
            </w:r>
          </w:p>
        </w:tc>
        <w:tc>
          <w:tcPr>
            <w:tcW w:w="360" w:type="dxa"/>
            <w:vAlign w:val="bottom"/>
            <w:tcBorders>
              <w:top w:val="single" w:sz="8" w:color="0000FF"/>
            </w:tcBorders>
            <w:gridSpan w:val="2"/>
          </w:tcPr>
          <w:p>
            <w:pPr>
              <w:spacing w:after="0"/>
              <w:rPr>
                <w:sz w:val="15"/>
                <w:szCs w:val="15"/>
                <w:color w:val="auto"/>
              </w:rPr>
            </w:pPr>
          </w:p>
        </w:tc>
        <w:tc>
          <w:tcPr>
            <w:tcW w:w="4820" w:type="dxa"/>
            <w:vAlign w:val="bottom"/>
            <w:gridSpan w:val="8"/>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240" w:type="dxa"/>
            <w:vAlign w:val="bottom"/>
            <w:gridSpan w:val="2"/>
          </w:tcPr>
          <w:p>
            <w:pPr>
              <w:spacing w:after="0"/>
              <w:rPr>
                <w:sz w:val="15"/>
                <w:szCs w:val="15"/>
                <w:color w:val="auto"/>
              </w:rPr>
            </w:pPr>
          </w:p>
        </w:tc>
        <w:tc>
          <w:tcPr>
            <w:tcW w:w="9800" w:type="dxa"/>
            <w:vAlign w:val="bottom"/>
            <w:gridSpan w:val="28"/>
          </w:tcPr>
          <w:p>
            <w:pPr>
              <w:spacing w:after="0"/>
              <w:rPr>
                <w:sz w:val="20"/>
                <w:szCs w:val="20"/>
                <w:color w:val="auto"/>
              </w:rPr>
            </w:pPr>
            <w:r>
              <w:rPr>
                <w:rFonts w:ascii="Arial" w:cs="Arial" w:eastAsia="Arial" w:hAnsi="Arial"/>
                <w:sz w:val="14"/>
                <w:szCs w:val="14"/>
                <w:color w:val="0000FF"/>
              </w:rPr>
              <w:t>Risk Factors.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1b.</w:t>
            </w:r>
          </w:p>
        </w:tc>
        <w:tc>
          <w:tcPr>
            <w:tcW w:w="240" w:type="dxa"/>
            <w:vAlign w:val="bottom"/>
            <w:gridSpan w:val="2"/>
          </w:tcPr>
          <w:p>
            <w:pPr>
              <w:spacing w:after="0"/>
              <w:rPr>
                <w:sz w:val="15"/>
                <w:szCs w:val="15"/>
                <w:color w:val="auto"/>
              </w:rPr>
            </w:pPr>
          </w:p>
        </w:tc>
        <w:tc>
          <w:tcPr>
            <w:tcW w:w="9800" w:type="dxa"/>
            <w:vAlign w:val="bottom"/>
            <w:gridSpan w:val="28"/>
          </w:tcPr>
          <w:p>
            <w:pPr>
              <w:spacing w:after="0"/>
              <w:rPr>
                <w:sz w:val="20"/>
                <w:szCs w:val="20"/>
                <w:color w:val="auto"/>
              </w:rPr>
            </w:pPr>
            <w:r>
              <w:rPr>
                <w:rFonts w:ascii="Arial" w:cs="Arial" w:eastAsia="Arial" w:hAnsi="Arial"/>
                <w:sz w:val="14"/>
                <w:szCs w:val="14"/>
                <w:color w:val="0000FF"/>
              </w:rPr>
              <w:t>Unresolved Staff Comments.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260" w:type="dxa"/>
            <w:vAlign w:val="bottom"/>
            <w:gridSpan w:val="3"/>
          </w:tcPr>
          <w:p>
            <w:pPr>
              <w:spacing w:after="0"/>
              <w:rPr>
                <w:sz w:val="15"/>
                <w:szCs w:val="15"/>
                <w:color w:val="auto"/>
              </w:rPr>
            </w:pPr>
          </w:p>
        </w:tc>
        <w:tc>
          <w:tcPr>
            <w:tcW w:w="1840" w:type="dxa"/>
            <w:vAlign w:val="bottom"/>
            <w:gridSpan w:val="9"/>
          </w:tcPr>
          <w:p>
            <w:pPr>
              <w:spacing w:after="0"/>
              <w:rPr>
                <w:sz w:val="20"/>
                <w:szCs w:val="20"/>
                <w:color w:val="auto"/>
              </w:rPr>
            </w:pPr>
            <w:r>
              <w:rPr>
                <w:rFonts w:ascii="Arial" w:cs="Arial" w:eastAsia="Arial" w:hAnsi="Arial"/>
                <w:sz w:val="14"/>
                <w:szCs w:val="14"/>
                <w:color w:val="0000FF"/>
              </w:rPr>
              <w:t>Properties.</w:t>
            </w:r>
          </w:p>
        </w:tc>
        <w:tc>
          <w:tcPr>
            <w:tcW w:w="7960" w:type="dxa"/>
            <w:vAlign w:val="bottom"/>
            <w:gridSpan w:val="19"/>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3.</w:t>
            </w:r>
          </w:p>
        </w:tc>
        <w:tc>
          <w:tcPr>
            <w:tcW w:w="9800" w:type="dxa"/>
            <w:vAlign w:val="bottom"/>
            <w:gridSpan w:val="28"/>
          </w:tcPr>
          <w:p>
            <w:pPr>
              <w:spacing w:after="0"/>
              <w:rPr>
                <w:sz w:val="20"/>
                <w:szCs w:val="20"/>
                <w:color w:val="auto"/>
              </w:rPr>
            </w:pPr>
            <w:r>
              <w:rPr>
                <w:rFonts w:ascii="Arial" w:cs="Arial" w:eastAsia="Arial" w:hAnsi="Arial"/>
                <w:sz w:val="14"/>
                <w:szCs w:val="14"/>
                <w:color w:val="0000FF"/>
              </w:rPr>
              <w:t>Legal Proceedings.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4.</w:t>
            </w:r>
          </w:p>
        </w:tc>
        <w:tc>
          <w:tcPr>
            <w:tcW w:w="9800" w:type="dxa"/>
            <w:vAlign w:val="bottom"/>
            <w:gridSpan w:val="28"/>
          </w:tcPr>
          <w:p>
            <w:pPr>
              <w:spacing w:after="0"/>
              <w:rPr>
                <w:sz w:val="20"/>
                <w:szCs w:val="20"/>
                <w:color w:val="auto"/>
              </w:rPr>
            </w:pPr>
            <w:r>
              <w:rPr>
                <w:rFonts w:ascii="Arial" w:cs="Arial" w:eastAsia="Arial" w:hAnsi="Arial"/>
                <w:sz w:val="14"/>
                <w:szCs w:val="14"/>
                <w:color w:val="0000FF"/>
              </w:rPr>
              <w:t>Mine Safety Disclosures.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16</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tcPr>
          <w:p>
            <w:pPr>
              <w:jc w:val="center"/>
              <w:ind w:right="4800"/>
              <w:spacing w:after="0"/>
              <w:rPr>
                <w:sz w:val="20"/>
                <w:szCs w:val="20"/>
                <w:color w:val="auto"/>
              </w:rPr>
            </w:pPr>
            <w:r>
              <w:rPr>
                <w:rFonts w:ascii="Arial" w:cs="Arial" w:eastAsia="Arial" w:hAnsi="Arial"/>
                <w:sz w:val="14"/>
                <w:szCs w:val="14"/>
                <w:b w:val="1"/>
                <w:bCs w:val="1"/>
                <w:color w:val="0000FF"/>
              </w:rPr>
              <w:t>Part 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5.</w:t>
            </w:r>
          </w:p>
        </w:tc>
        <w:tc>
          <w:tcPr>
            <w:tcW w:w="9800" w:type="dxa"/>
            <w:vAlign w:val="bottom"/>
            <w:gridSpan w:val="28"/>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17</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6.</w:t>
            </w:r>
          </w:p>
        </w:tc>
        <w:tc>
          <w:tcPr>
            <w:tcW w:w="9800" w:type="dxa"/>
            <w:vAlign w:val="bottom"/>
            <w:gridSpan w:val="28"/>
          </w:tcPr>
          <w:p>
            <w:pPr>
              <w:spacing w:after="0"/>
              <w:rPr>
                <w:sz w:val="20"/>
                <w:szCs w:val="20"/>
                <w:color w:val="auto"/>
              </w:rPr>
            </w:pPr>
            <w:r>
              <w:rPr>
                <w:rFonts w:ascii="Arial" w:cs="Arial" w:eastAsia="Arial" w:hAnsi="Arial"/>
                <w:sz w:val="14"/>
                <w:szCs w:val="14"/>
                <w:color w:val="0000FF"/>
              </w:rPr>
              <w:t>[Reserved]</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7.</w:t>
            </w:r>
          </w:p>
        </w:tc>
        <w:tc>
          <w:tcPr>
            <w:tcW w:w="9800" w:type="dxa"/>
            <w:vAlign w:val="bottom"/>
            <w:gridSpan w:val="28"/>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7a.</w:t>
            </w:r>
          </w:p>
        </w:tc>
        <w:tc>
          <w:tcPr>
            <w:tcW w:w="9800" w:type="dxa"/>
            <w:vAlign w:val="bottom"/>
            <w:gridSpan w:val="2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28</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8.</w:t>
            </w:r>
          </w:p>
        </w:tc>
        <w:tc>
          <w:tcPr>
            <w:tcW w:w="260" w:type="dxa"/>
            <w:vAlign w:val="bottom"/>
            <w:gridSpan w:val="3"/>
          </w:tcPr>
          <w:p>
            <w:pPr>
              <w:spacing w:after="0"/>
              <w:rPr>
                <w:sz w:val="15"/>
                <w:szCs w:val="15"/>
                <w:color w:val="auto"/>
              </w:rPr>
            </w:pPr>
          </w:p>
        </w:tc>
        <w:tc>
          <w:tcPr>
            <w:tcW w:w="3820" w:type="dxa"/>
            <w:vAlign w:val="bottom"/>
            <w:gridSpan w:val="14"/>
          </w:tcPr>
          <w:p>
            <w:pPr>
              <w:spacing w:after="0"/>
              <w:rPr>
                <w:sz w:val="20"/>
                <w:szCs w:val="20"/>
                <w:color w:val="auto"/>
              </w:rPr>
            </w:pPr>
            <w:r>
              <w:rPr>
                <w:rFonts w:ascii="Arial" w:cs="Arial" w:eastAsia="Arial" w:hAnsi="Arial"/>
                <w:sz w:val="14"/>
                <w:szCs w:val="14"/>
                <w:color w:val="0000FF"/>
              </w:rPr>
              <w:t>Financial Statements and Supplementary Data.</w:t>
            </w:r>
          </w:p>
        </w:tc>
        <w:tc>
          <w:tcPr>
            <w:tcW w:w="5980" w:type="dxa"/>
            <w:vAlign w:val="bottom"/>
            <w:gridSpan w:val="14"/>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29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9.</w:t>
            </w:r>
          </w:p>
        </w:tc>
        <w:tc>
          <w:tcPr>
            <w:tcW w:w="9800" w:type="dxa"/>
            <w:vAlign w:val="bottom"/>
            <w:gridSpan w:val="28"/>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9a.</w:t>
            </w:r>
          </w:p>
        </w:tc>
        <w:tc>
          <w:tcPr>
            <w:tcW w:w="240" w:type="dxa"/>
            <w:vAlign w:val="bottom"/>
            <w:gridSpan w:val="2"/>
          </w:tcPr>
          <w:p>
            <w:pPr>
              <w:spacing w:after="0"/>
              <w:rPr>
                <w:sz w:val="15"/>
                <w:szCs w:val="15"/>
                <w:color w:val="auto"/>
              </w:rPr>
            </w:pPr>
          </w:p>
        </w:tc>
        <w:tc>
          <w:tcPr>
            <w:tcW w:w="9800" w:type="dxa"/>
            <w:vAlign w:val="bottom"/>
            <w:gridSpan w:val="28"/>
          </w:tcPr>
          <w:p>
            <w:pPr>
              <w:spacing w:after="0"/>
              <w:rPr>
                <w:sz w:val="20"/>
                <w:szCs w:val="20"/>
                <w:color w:val="auto"/>
              </w:rPr>
            </w:pPr>
            <w:r>
              <w:rPr>
                <w:rFonts w:ascii="Arial" w:cs="Arial" w:eastAsia="Arial" w:hAnsi="Arial"/>
                <w:sz w:val="14"/>
                <w:szCs w:val="14"/>
                <w:color w:val="0000FF"/>
              </w:rPr>
              <w:t>Controls and Procedures.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9b.</w:t>
            </w:r>
          </w:p>
        </w:tc>
        <w:tc>
          <w:tcPr>
            <w:tcW w:w="240" w:type="dxa"/>
            <w:vAlign w:val="bottom"/>
            <w:gridSpan w:val="2"/>
          </w:tcPr>
          <w:p>
            <w:pPr>
              <w:spacing w:after="0"/>
              <w:rPr>
                <w:sz w:val="15"/>
                <w:szCs w:val="15"/>
                <w:color w:val="auto"/>
              </w:rPr>
            </w:pPr>
          </w:p>
        </w:tc>
        <w:tc>
          <w:tcPr>
            <w:tcW w:w="1640" w:type="dxa"/>
            <w:vAlign w:val="bottom"/>
            <w:gridSpan w:val="8"/>
          </w:tcPr>
          <w:p>
            <w:pPr>
              <w:spacing w:after="0"/>
              <w:rPr>
                <w:sz w:val="20"/>
                <w:szCs w:val="20"/>
                <w:color w:val="auto"/>
              </w:rPr>
            </w:pPr>
            <w:r>
              <w:rPr>
                <w:rFonts w:ascii="Arial" w:cs="Arial" w:eastAsia="Arial" w:hAnsi="Arial"/>
                <w:sz w:val="14"/>
                <w:szCs w:val="14"/>
                <w:color w:val="0000FF"/>
              </w:rPr>
              <w:t>Other Information.</w:t>
            </w:r>
          </w:p>
        </w:tc>
        <w:tc>
          <w:tcPr>
            <w:tcW w:w="8160" w:type="dxa"/>
            <w:vAlign w:val="bottom"/>
            <w:gridSpan w:val="20"/>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9c.</w:t>
            </w:r>
          </w:p>
        </w:tc>
        <w:tc>
          <w:tcPr>
            <w:tcW w:w="260" w:type="dxa"/>
            <w:vAlign w:val="bottom"/>
            <w:gridSpan w:val="3"/>
          </w:tcPr>
          <w:p>
            <w:pPr>
              <w:spacing w:after="0"/>
              <w:rPr>
                <w:sz w:val="15"/>
                <w:szCs w:val="15"/>
                <w:color w:val="auto"/>
              </w:rPr>
            </w:pPr>
          </w:p>
        </w:tc>
        <w:tc>
          <w:tcPr>
            <w:tcW w:w="9800" w:type="dxa"/>
            <w:vAlign w:val="bottom"/>
            <w:gridSpan w:val="28"/>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73</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12"/>
          </w:tcPr>
          <w:p>
            <w:pPr>
              <w:jc w:val="center"/>
              <w:ind w:right="4780"/>
              <w:spacing w:after="0"/>
              <w:rPr>
                <w:sz w:val="20"/>
                <w:szCs w:val="20"/>
                <w:color w:val="auto"/>
              </w:rPr>
            </w:pPr>
            <w:r>
              <w:rPr>
                <w:rFonts w:ascii="Arial" w:cs="Arial" w:eastAsia="Arial" w:hAnsi="Arial"/>
                <w:sz w:val="14"/>
                <w:szCs w:val="14"/>
                <w:b w:val="1"/>
                <w:bCs w:val="1"/>
                <w:color w:val="0000FF"/>
              </w:rPr>
              <w:t>Part III</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Item 10.</w:t>
            </w:r>
          </w:p>
        </w:tc>
        <w:tc>
          <w:tcPr>
            <w:tcW w:w="4580" w:type="dxa"/>
            <w:vAlign w:val="bottom"/>
            <w:gridSpan w:val="16"/>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440" w:type="dxa"/>
            <w:vAlign w:val="bottom"/>
            <w:tcBorders>
              <w:top w:val="single" w:sz="8" w:color="0000FF"/>
            </w:tcBorders>
            <w:gridSpan w:val="6"/>
          </w:tcPr>
          <w:p>
            <w:pPr>
              <w:spacing w:after="0"/>
              <w:rPr>
                <w:sz w:val="15"/>
                <w:szCs w:val="15"/>
                <w:color w:val="auto"/>
              </w:rPr>
            </w:pPr>
          </w:p>
        </w:tc>
        <w:tc>
          <w:tcPr>
            <w:tcW w:w="4780" w:type="dxa"/>
            <w:vAlign w:val="bottom"/>
            <w:gridSpan w:val="6"/>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8"/>
              </w:rPr>
              <w:t>Item 11.</w:t>
            </w: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13"/>
          </w:tcPr>
          <w:p>
            <w:pPr>
              <w:spacing w:after="0"/>
              <w:rPr>
                <w:sz w:val="20"/>
                <w:szCs w:val="20"/>
                <w:color w:val="auto"/>
              </w:rPr>
            </w:pPr>
            <w:r>
              <w:rPr>
                <w:rFonts w:ascii="Arial" w:cs="Arial" w:eastAsia="Arial" w:hAnsi="Arial"/>
                <w:sz w:val="14"/>
                <w:szCs w:val="14"/>
                <w:color w:val="0000FF"/>
              </w:rPr>
              <w:t>Executive Compensation.</w:t>
            </w:r>
          </w:p>
        </w:tc>
        <w:tc>
          <w:tcPr>
            <w:tcW w:w="6120" w:type="dxa"/>
            <w:vAlign w:val="bottom"/>
            <w:gridSpan w:val="15"/>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74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Item 12.</w:t>
            </w:r>
          </w:p>
        </w:tc>
        <w:tc>
          <w:tcPr>
            <w:tcW w:w="80" w:type="dxa"/>
            <w:vAlign w:val="bottom"/>
          </w:tcPr>
          <w:p>
            <w:pPr>
              <w:spacing w:after="0"/>
              <w:rPr>
                <w:sz w:val="15"/>
                <w:szCs w:val="15"/>
                <w:color w:val="auto"/>
              </w:rPr>
            </w:pPr>
          </w:p>
        </w:tc>
        <w:tc>
          <w:tcPr>
            <w:tcW w:w="6460" w:type="dxa"/>
            <w:vAlign w:val="bottom"/>
            <w:tcBorders>
              <w:bottom w:val="single" w:sz="8" w:color="0000FF"/>
            </w:tcBorders>
            <w:gridSpan w:val="26"/>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3340" w:type="dxa"/>
            <w:vAlign w:val="bottom"/>
            <w:gridSpan w:val="2"/>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74</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Item 13.</w:t>
            </w:r>
          </w:p>
        </w:tc>
        <w:tc>
          <w:tcPr>
            <w:tcW w:w="80" w:type="dxa"/>
            <w:vAlign w:val="bottom"/>
          </w:tcPr>
          <w:p>
            <w:pPr>
              <w:spacing w:after="0"/>
              <w:rPr>
                <w:sz w:val="15"/>
                <w:szCs w:val="15"/>
                <w:color w:val="auto"/>
              </w:rPr>
            </w:pPr>
          </w:p>
        </w:tc>
        <w:tc>
          <w:tcPr>
            <w:tcW w:w="9800" w:type="dxa"/>
            <w:vAlign w:val="bottom"/>
            <w:gridSpan w:val="28"/>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74</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0000FF"/>
              </w:rPr>
              <w:t>Item 14.</w:t>
            </w:r>
          </w:p>
        </w:tc>
        <w:tc>
          <w:tcPr>
            <w:tcW w:w="80" w:type="dxa"/>
            <w:vAlign w:val="bottom"/>
          </w:tcPr>
          <w:p>
            <w:pPr>
              <w:spacing w:after="0"/>
              <w:rPr>
                <w:sz w:val="15"/>
                <w:szCs w:val="15"/>
                <w:color w:val="auto"/>
              </w:rPr>
            </w:pPr>
          </w:p>
        </w:tc>
        <w:tc>
          <w:tcPr>
            <w:tcW w:w="4900" w:type="dxa"/>
            <w:vAlign w:val="bottom"/>
            <w:tcBorders>
              <w:top w:val="single" w:sz="8" w:color="0000FF"/>
            </w:tcBorders>
            <w:gridSpan w:val="19"/>
          </w:tcPr>
          <w:p>
            <w:pPr>
              <w:spacing w:after="0"/>
              <w:rPr>
                <w:sz w:val="20"/>
                <w:szCs w:val="20"/>
                <w:color w:val="auto"/>
              </w:rPr>
            </w:pPr>
            <w:r>
              <w:rPr>
                <w:rFonts w:ascii="Arial" w:cs="Arial" w:eastAsia="Arial" w:hAnsi="Arial"/>
                <w:sz w:val="14"/>
                <w:szCs w:val="14"/>
                <w:color w:val="0000FF"/>
              </w:rPr>
              <w:t>Principal Accountant Fees and Services.</w:t>
            </w:r>
          </w:p>
        </w:tc>
        <w:tc>
          <w:tcPr>
            <w:tcW w:w="4900" w:type="dxa"/>
            <w:vAlign w:val="bottom"/>
            <w:gridSpan w:val="9"/>
          </w:tcPr>
          <w:p>
            <w:pPr>
              <w:spacing w:after="0"/>
              <w:rPr>
                <w:sz w:val="15"/>
                <w:szCs w:val="15"/>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74</w:t>
            </w:r>
          </w:p>
        </w:tc>
        <w:tc>
          <w:tcPr>
            <w:tcW w:w="4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0000FF"/>
            </w:tcBorders>
            <w:gridSpan w:val="7"/>
          </w:tcPr>
          <w:p>
            <w:pPr>
              <w:jc w:val="center"/>
              <w:spacing w:after="0"/>
              <w:rPr>
                <w:sz w:val="20"/>
                <w:szCs w:val="20"/>
                <w:color w:val="auto"/>
              </w:rPr>
            </w:pPr>
            <w:r>
              <w:rPr>
                <w:rFonts w:ascii="Arial" w:cs="Arial" w:eastAsia="Arial" w:hAnsi="Arial"/>
                <w:sz w:val="14"/>
                <w:szCs w:val="14"/>
                <w:b w:val="1"/>
                <w:bCs w:val="1"/>
                <w:color w:val="0000FF"/>
              </w:rPr>
              <w:t>Part IV</w:t>
            </w:r>
          </w:p>
        </w:tc>
        <w:tc>
          <w:tcPr>
            <w:tcW w:w="47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15.</w:t>
            </w:r>
          </w:p>
        </w:tc>
        <w:tc>
          <w:tcPr>
            <w:tcW w:w="240" w:type="dxa"/>
            <w:vAlign w:val="bottom"/>
            <w:gridSpan w:val="2"/>
          </w:tcPr>
          <w:p>
            <w:pPr>
              <w:spacing w:after="0"/>
              <w:rPr>
                <w:sz w:val="15"/>
                <w:szCs w:val="15"/>
                <w:color w:val="auto"/>
              </w:rPr>
            </w:pPr>
          </w:p>
        </w:tc>
        <w:tc>
          <w:tcPr>
            <w:tcW w:w="2860" w:type="dxa"/>
            <w:vAlign w:val="bottom"/>
            <w:gridSpan w:val="11"/>
          </w:tcPr>
          <w:p>
            <w:pPr>
              <w:spacing w:after="0"/>
              <w:rPr>
                <w:sz w:val="20"/>
                <w:szCs w:val="20"/>
                <w:color w:val="auto"/>
              </w:rPr>
            </w:pPr>
            <w:r>
              <w:rPr>
                <w:rFonts w:ascii="Arial" w:cs="Arial" w:eastAsia="Arial" w:hAnsi="Arial"/>
                <w:sz w:val="14"/>
                <w:szCs w:val="14"/>
                <w:color w:val="0000FF"/>
              </w:rPr>
              <w:t>Exhibits and Financial Statement Schedules.</w:t>
            </w:r>
          </w:p>
        </w:tc>
        <w:tc>
          <w:tcPr>
            <w:tcW w:w="6940" w:type="dxa"/>
            <w:vAlign w:val="bottom"/>
            <w:gridSpan w:val="17"/>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75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color w:val="0000FF"/>
              </w:rPr>
              <w:t>Item 16.</w:t>
            </w:r>
          </w:p>
        </w:tc>
        <w:tc>
          <w:tcPr>
            <w:tcW w:w="240" w:type="dxa"/>
            <w:vAlign w:val="bottom"/>
            <w:gridSpan w:val="2"/>
          </w:tcPr>
          <w:p>
            <w:pPr>
              <w:spacing w:after="0"/>
              <w:rPr>
                <w:sz w:val="15"/>
                <w:szCs w:val="15"/>
                <w:color w:val="auto"/>
              </w:rPr>
            </w:pPr>
          </w:p>
        </w:tc>
        <w:tc>
          <w:tcPr>
            <w:tcW w:w="1380" w:type="dxa"/>
            <w:vAlign w:val="bottom"/>
            <w:gridSpan w:val="6"/>
          </w:tcPr>
          <w:p>
            <w:pPr>
              <w:spacing w:after="0"/>
              <w:rPr>
                <w:sz w:val="20"/>
                <w:szCs w:val="20"/>
                <w:color w:val="auto"/>
              </w:rPr>
            </w:pPr>
            <w:r>
              <w:rPr>
                <w:rFonts w:ascii="Arial" w:cs="Arial" w:eastAsia="Arial" w:hAnsi="Arial"/>
                <w:sz w:val="14"/>
                <w:szCs w:val="14"/>
                <w:color w:val="0000FF"/>
              </w:rPr>
              <w:t>Form 10-K Summary.</w:t>
            </w:r>
          </w:p>
        </w:tc>
        <w:tc>
          <w:tcPr>
            <w:tcW w:w="1480" w:type="dxa"/>
            <w:vAlign w:val="bottom"/>
            <w:gridSpan w:val="5"/>
          </w:tcPr>
          <w:p>
            <w:pPr>
              <w:spacing w:after="0"/>
              <w:rPr>
                <w:sz w:val="15"/>
                <w:szCs w:val="15"/>
                <w:color w:val="auto"/>
              </w:rPr>
            </w:pPr>
          </w:p>
        </w:tc>
        <w:tc>
          <w:tcPr>
            <w:tcW w:w="6940" w:type="dxa"/>
            <w:vAlign w:val="bottom"/>
            <w:gridSpan w:val="17"/>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0000FF"/>
                <w:w w:val="89"/>
              </w:rPr>
              <w:t>83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80" w:type="dxa"/>
            <w:vAlign w:val="bottom"/>
            <w:gridSpan w:val="5"/>
          </w:tcPr>
          <w:p>
            <w:pPr>
              <w:spacing w:after="0"/>
              <w:rPr>
                <w:sz w:val="20"/>
                <w:szCs w:val="20"/>
                <w:color w:val="auto"/>
              </w:rPr>
            </w:pPr>
            <w:r>
              <w:rPr>
                <w:rFonts w:ascii="Arial" w:cs="Arial" w:eastAsia="Arial" w:hAnsi="Arial"/>
                <w:sz w:val="14"/>
                <w:szCs w:val="14"/>
                <w:color w:val="0000FF"/>
              </w:rPr>
              <w:t>Signatures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4"/>
                <w:szCs w:val="14"/>
                <w:color w:val="0000FF"/>
              </w:rPr>
              <w:t>84</w:t>
            </w:r>
          </w:p>
        </w:tc>
        <w:tc>
          <w:tcPr>
            <w:tcW w:w="40" w:type="dxa"/>
            <w:vAlign w:val="bottom"/>
          </w:tcPr>
          <w:p>
            <w:pPr>
              <w:spacing w:after="0"/>
              <w:rPr>
                <w:sz w:val="24"/>
                <w:szCs w:val="24"/>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4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OPTOTRONIC</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Principal customers of ABL include electrical distributors, retail home improvement centers, electric utilities, national accounts, </w:t>
      </w:r>
      <w:r>
        <w:rPr>
          <w:rFonts w:ascii="Arial" w:cs="Arial" w:eastAsia="Arial" w:hAnsi="Arial"/>
          <w:sz w:val="18"/>
          <w:szCs w:val="18"/>
          <w:color w:val="0E101A"/>
        </w:rPr>
        <w:t>original</w:t>
      </w:r>
      <w:r>
        <w:rPr>
          <w:rFonts w:ascii="Arial" w:cs="Arial" w:eastAsia="Arial" w:hAnsi="Arial"/>
          <w:sz w:val="18"/>
          <w:szCs w:val="18"/>
          <w:color w:val="auto"/>
        </w:rPr>
        <w:t xml:space="preserve"> </w:t>
      </w:r>
      <w:r>
        <w:rPr>
          <w:rFonts w:ascii="Arial" w:cs="Arial" w:eastAsia="Arial" w:hAnsi="Arial"/>
          <w:sz w:val="18"/>
          <w:szCs w:val="18"/>
          <w:color w:val="0E101A"/>
        </w:rPr>
        <w:t xml:space="preserve">equipment manufacturer (“OEM”) customers, </w:t>
      </w:r>
      <w:r>
        <w:rPr>
          <w:rFonts w:ascii="Arial" w:cs="Arial" w:eastAsia="Arial" w:hAnsi="Arial"/>
          <w:sz w:val="18"/>
          <w:szCs w:val="18"/>
          <w:color w:val="000000"/>
        </w:rPr>
        <w:t>digital retailers, lighting showrooms, and energy service companies. Our customers are located</w:t>
      </w:r>
      <w:r>
        <w:rPr>
          <w:rFonts w:ascii="Arial" w:cs="Arial" w:eastAsia="Arial" w:hAnsi="Arial"/>
          <w:sz w:val="18"/>
          <w:szCs w:val="18"/>
          <w:color w:val="0E101A"/>
        </w:rPr>
        <w:t xml:space="preserve"> </w:t>
      </w:r>
      <w:r>
        <w:rPr>
          <w:rFonts w:ascii="Arial" w:cs="Arial" w:eastAsia="Arial" w:hAnsi="Arial"/>
          <w:sz w:val="18"/>
          <w:szCs w:val="18"/>
          <w:color w:val="000000"/>
        </w:rPr>
        <w:t>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ISG delivers products and services that make spaces smarter, safer, and greener. ISG offers a building management platform and location-aware applications. Our building management platform includes products for controlling heating, ventilation, and air conditioning (“HVAC”), lighting, shades, and building access that deliver end-to-end optimization of those building systems.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building software enhances the occupant experience, improves building system management, and automates labor intensive tasks while delivering operational energy efficiency and cost reductions. Through a connected and converged building system architecture,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multiple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Atrius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18 manufacturing facilities, including six facilities in the United States, seven facilities in Mexico, two facilities in Europe, and three in Canada. We utilize a blend of internal and outsourced manufacturing processes and capabilities to fulfill a variety of customer needs in the most cost-effective manner.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2022 by significant geographic region.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Lighting and building technology solutions are delivered to our customers through a network of strategically located distribution centers, regional warehouses, and commercial warehouses in North America or directly to our customers from manufacturing facilities using both common carriers and a company-managed truck fleet. For international customers, distribution methods are adapted to meet individual customer or country requirements. During fiscal 2022, net sales initiated outside of the U.S. represented approximately 13% of total net sales. See the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the geographic distribution of net sales, operating profit, and long-lived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significant improvement to an existing product or service. We invest in product vitality, including enhancement of existing offerings, with a focus on improving the performance-to-cost ratio and energy efficiency as well as redesigning products based on component availability. We also develop software applications and capabilities to enhance data analytics offerings for building performance, enterprise operations, and personal experiences. R&amp;D expenses consist of compensation, payroll taxes, employee benefits, materials, supplies, and other administrative costs, but the amounts do not include all new product development costs. For fiscal 2022, 2021, and 2020, R&amp;D expenses totaled $95.1 million, $88.3 million, and $82.0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lighting and building technology solutions to customers utilizing numerous sales forces, including internal direct salespeople and independent sales agencies, based on the channel and geography served. We also operate an international sales group coordinating export sales outside of North America.</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Segment Information, Revenue Recognition,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more information concerning our sales by segment, type, and geography.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our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several locations throughout North America and Europe designed to enhance the lighting knowledge of customers and industry professionals.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addressable market includes non-portable luminaires as defined by the National Electrical Manufacturers Association; poles for outdoor lighting; emergency lighting fixtures and lighting equipment; daylighting; lighting controls; HVAC controls; and building technology controls, software, and systems. We expect that the industry’s addressable market is likely to expand due to the benefits and value creation provided by our intelligent building platform services and location-aware and asset tracking applications.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highly competitive industry that is affected by a number of general business and economic factors, such as, but not limited to, gross domestic product growth, employment levels, credit availability, interest rates and inflation, building costs, freight, construction-related labor availability, building occupancy rates, imports and trade, energy costs, freight costs, and commodity costs (including tariffs) and availability.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third-party data estimate the size of the markets to be about the same. Non-residential construction spending on commercial, institutional, industrial, and infrastructure projects has a material impact on the demand for our lighting and building technology solutions. Demand for our residential lighting products is highly dependent on economic drivers, such as consumer spending and discretionary income, along with housing construction and home improvement spending.</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is influenced by evolving technologies. This evolution includes: the development of new or improved lighting technologies, including solid-state lighting, electronic drivers, embedded lighting controls, and more effective optical designs and lamps; federal, state, and local requirements for updated energy codes; design strategies and technologies addressing sustainability and facilitating intelligent buildings; and incentives by federal, state, and local municipal authorities, as well as utility companies, for using more energy-efficient lighting and building technology solutions. We are a leading provider of integrated lighting and building technology solutions based on these technologies and utilize internally developed, licensed, or acquired intellectual property. Solid-state lighting and digital building technology systems can be converged allowing for an optimal local operating system to increase efficiency and reduce costs while also delivering productivity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experience competition based on numerous factors, including product vitality, service capabilities, price, brand name recognition, product quality, product and system design, energy efficiency, and customer relationships. The market for lighting and building technology services and solutions is competitive and continues to evolve through acquisition and consolidation activities. New entrants continue to develop capabilities and solutions that are both complementary as well as competitive to those of traditional industry participants. Additionally, the market for artificial intelligence and software solutions is active with a wide range of competitors, from existing large companies to startup organizations. Certain global and more diversified manufacturers may provide a broader product offering utilizing electrical, lighting, and building technology products and services as well as pricing benefits from the bundling of various offerings. In addition, there are competitors, including Asian importers, small startup companies, and global electronics, technology, and software companies, offering competing solutions, sometimes deploying different technologies.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various federal, state, and local laws and regulations that impose increasingly complex, stringent and costly compliance activities. These regulations include but are not limited to, the Clean Water Act; the Safe Harbor data privacy program between the U.S. and European Union; the United States-Mexico-Canada-Free Trade Agreement (“USMCA”); regulations from the Occupational Safety and Health Administration agency (“OSHA”); the European Union’s General Data Protection Regulation; California’s Consumer Privacy Act and Connected Device Privacy Act; the Civil Rights Act of 1964; the U.S. Foreign Corrupt Practices Act (the “FCPA”); and the U.K. Bribery Act.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current or future standards, laws, or regulations, including those imposed in response to energy, substances in or components in or used in the manufacturing of our products, climate change, product functionality, geopolitical, corporate social responsibility, employee health and safety, privacy, or similar concerns. These standards, laws, or regulations may impact our costs of operation, the sourcing of raw materials, and the manufacture and distribution of our products and services. They may also place restrictions and other requirements or impediments on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products and solutions we can sell in certain geographical locations or may impact the willingness of certain investors to own our shares. See </w:t>
      </w:r>
      <w:r>
        <w:rPr>
          <w:rFonts w:ascii="Arial" w:cs="Arial" w:eastAsia="Arial" w:hAnsi="Arial"/>
          <w:sz w:val="18"/>
          <w:szCs w:val="18"/>
          <w:i w:val="1"/>
          <w:iCs w:val="1"/>
          <w:color w:val="auto"/>
        </w:rPr>
        <w:t xml:space="preserve">Part I. Item 1a. Risk Factors </w:t>
      </w:r>
      <w:r>
        <w:rPr>
          <w:rFonts w:ascii="Arial" w:cs="Arial" w:eastAsia="Arial" w:hAnsi="Arial"/>
          <w:sz w:val="18"/>
          <w:szCs w:val="18"/>
          <w:color w:val="auto"/>
        </w:rPr>
        <w:t>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freight, tariffs, and duties on certain materials, particularly imports from Asia, as well as disruptions in availability of raw materials, components, and sourced finished goods.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currently engage in significant commodity hedging transactions for raw materials, though we have and will continue to commit to purchase certain materials generally for a period of up to 12 months. We monitor and investigate alternative suppliers and materials based on numerous attributes including, but not limited to, quality, service, and price. We currently source raw materials and components from a number of suppliers, but our ongoing efforts to improve the cost effectiveness and availability of our products and services may result in a reduction in the number of our suppliers.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or have licenses to use various domestic and foreign patents, trademarks, and other intellectual property related to our products, processes, and businesses. These intellectual property rights are important factors for our businesses. We rely on copyright, patent, trade secret, and trademark laws as well as agreements, restrictive covenants, and internal processes and controls to protect these proprietary rights. Despite these protections, unauthorized parties may attempt to infringe on our intellectual property. As of August 31, 2022, we had approximately 2,700 total patent assets including issued United States and foreign patents as well as pending United States and foreign patent applications. While patents and patent applications in the aggregate are important to our competitive position, no single patent or patent application is individually material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Because of these seasonal factors we historically have experienced our highest sales in the last two quarters of each fiscal year; however, in the prior years presented our seasonality was meaningfully impacted by the COVID-19 pandemic.</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lighting and building technology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has a major impact on our profitability. Economic downturns and the potential decline in key construction markets may have a material adverse effect on our net sales, operating income, financial position, and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various health and safety policies and processes at our facilities in the United States, Mexico, Canada, and other locations as permitted by law.</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and other agencies.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allowable under the Coronavirus Aid, Relief, and Economic Security Act (the “CARES” Act) signed into law on March 27, 2020. Half of these deferrals were paid in December 2021, and the remaining deferrals are due in December 2022.</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the COVID-19 pandemic to our results of operations, financial position,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employed approximately 13,200 associates at August 31, 2022 of which approximately 3,900 were employed in the United States and approximately 8,400 were employed in Mexico. Our remaining associates were employed in other international locations including Europe, Canada, and the Asia/Pacific region. Union recognition and collective bargaining arrangements in place or in process cover approximately 1,600 and 7,000 associates in the United States and Mexico, respectively. Arrangements related to approximately 100 associates in the United States will expire after the next fiscal year, and arrangements for approximately 7,000 associates in Mexico will expire within the next fiscal year, primarily due to annual negotiations of union contracts. We believe that we have strong relationships with both our unionized and non-unionized associates.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and Development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key pillar to attract, develop, and retain top talent is our focus on the growth and development of our associates. In fiscal 2022, we remained focused on development through the creation of development plans for associates, training opportunities, and other activities. Our Performance Management and other processes are intended to align associate aspirations, interests, performance, and experiences with the talent needs that enable the business. Managers and associates conduct periodic check-in discussions to encourage continuous performance feedback and improvement. These discussions also act to hold leaders accountable for creating an associate development culture. In fiscal 2022, we piloted a management effectiveness series focused on coaching to performance, which we offered through in-person events and a virtual series.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provide self-learning resources to help associates expand their lighting, controls, and building management technical knowledge through Acuity Academy and other resources.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fiscal 2022, we enhanced our career framework through the completion of our Global Career Architecture project. The focus of this project was to enable a culture that more effectively attracts, retains, rewards, and mobilizes talent. This project will continue to underpin our initiatives in fiscal 2023, including the launch of several new development programs and tools aimed at helping both managers and associates respond to the desire to learn and grow.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our compensation and benefit plans annually to ensure that we are providing competitive, contemporary, and inclusive programs so we can attract and retain the best people and support the health and well-being of our associates and their families. Based on this review, we offer a competitive total rewards package to our associates that includes base compensation, bonuses, profit-sharing plans, stock grants, health benefits, and/or retirement benefits commensurate with an employee's position, skill set, and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diversity, equity, and inclusion are important factors in our ongoing success. Our goal is to ensure that all associates feel valued, respected, and accepted for their contributions regardless of their race, sex, religion, ethnicity, age, gender identity, disabilities, national origin, sexual orientation, or other unique characteristics. To promote diversity in the workplace, we sponsor a diversity, equity, and inclusion council that is responsible for setting our diversity strategy and initiatives, many resulting from associate feedback. Our diversity, equity, and inclusion council consists of members of management as well as key human resource process leaders and leaders from our various employee resource groups. We currently have three employee resource groups: Minorities Amplifying Growth, Inclusion, and Community (“MAGIC”); the Women’s Network; and People Respecting Identity, Diversity, and Equity (“PRIDE”). These groups are designed to embrace, celebrate, and recognize the power of diversity.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ensure our associates have a safe and collaborative work environment.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review each facility’s qualitative and quantitative results, with an emphasis on leading indicators that help avoid violations, accidents, and injuries. A variety of different metrics are averaged to determine a facility’s performance, which is used to find continuous improvement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remain committed to prioritizing the health and well-being of our associates and their families in light of the COVID-19 pandemic. We continue to follow guidelines issued by the World Health Organization, Centers for Disease Control and Prevention, and local health providers, adapting our policies and procedures quickly in response to continually evolving information, statistics, and best practices. We expanded paid and unpaid leave policies to cover exposures, quarantines, vaccination, and testing. At our manufacturing and distribution facilities, we continue to have in place safety protocols, regularly clean work areas, and encourage all associates to engage in good handwashing and hygiene practices. We also offered on-site vaccination clinics at several facilities and strongly encouraged our associates to get vaccinated.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save energy and help reduce carbon emissions through our lighting, lighting controls, and building management solutions replacing older technologies, and we drive innovation and performance across our business to minimize our impact on the environment. We also seek to use raw materials more efficiently and to operate our own facilities in a more intelligent, environmentally-friendly manner. We have extended the capabilities of our energy data management software, Atrius Building Insights, to enable users to track and report their full carbon footprint. We regularly communicate progress as part of our EarthLIGHT sustainability program.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Acuity Brands, Inc. was incorporated in 2001 under the laws of the State of Delaware.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under the "Financials" heading within the “For Investors” section on our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“Committee Charters and Governance Documents” link under the “Governance” heading within the “For Investors” section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and Management Development Committee, and Governance Committee are available free of charge through the “Committee Charters and Governance Documents” link under the “Governance” heading within the "For Investors" section on our website. The Code of Ethics and Business Conduct, the Corporate Governance Guidelines, and the committee charters are available in print to any of our stockholders that request such document by contacting our Investor Relations department.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These risks could adversely impact our financial position,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financial expectations and could cause the market price of our securities to decrease. Such risks include the following, without limitation.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and results have been and may be adversely affected by fluctuations in the cost or availability of raw materials, components, purchased finished goods, or services.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microchips, light emitting diodes (“LED”), LED drivers, ballasts, wire, electronic components, power supplies, petroleum-based byproducts, natural gas, and copper. We also source certain finished goods externally. During fiscal 2022, the ongoing effects of the COVID-19 pandemic have continued to disrupt our supply chain for certain components, including, notably, microchips and electronic, and have resulted in higher prices for significant commodities, including oil and steel, as well as increased warehousing and container costs, which have continued to negatively impact our business. These disruptions in the supply chain and shortages could affect our ability to procure components for our products on a timely basis, or at all, or could require us to commit to increased purchases and provide longer lead times to secure critical components by entering into longer term guaranteed supply agreements. Alternatively, supply chain disruptions and shortages could require us to rely on relatively high-cost spot market purchases for certain materials or products.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Future increases in our costs and/or continued disruptions in the supply chain could negatively impact our profitability, as there can be no assurance that future price increases will be successfully passed through to customers. We generally source these goods from a number of suppliers. However, there are a limited number of suppliers for certain components and certain purchased finished goods, which on a limited basis, results in sole-source supplier situations.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competitors supply certain of those items, and those competitors may, for various strategic reasons, choose to cease selling to us. In addition, our ongoing efforts to improve the cost effectiveness of our products and services may result in a reduction in the number of our suppliers, and in turn, increased risk associated with reliance on a single or a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the labor market for skilled manufacturing remains tight as the U.S. economy recovers after the COVID-19 pandemic shutdowns, and our labor costs have increased as a result.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our inability to maintain pricing.</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Aggressive pricing actions by competitors may affect our ability to achieve desired revenue growth and profitability levels under our current pricing strategies. Potential decreased demand for our products resulting from factors including uncertainty in the global economy, the ongoing impacts of COVID-19, the current inflationary environment, and a potential global recession may influence competitor pricing. We may also decide to lower prices to match the competition or to adjust for current demand levels, as well as for other reasons. Additionally, dynamic pricing models may not cover our rising costs. Even if we were able to increase prices to cover our costs, competitive pricing pressures may not allow us to pass on any more than the cost increases. Alternatively, if costs were to decline, the marketplace may not allow us to hold prices at their current levels.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innovate could adversely affect our ability to compete.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we cannot fully predict the ultimate effect of new product introductions on our business. Additionally, new products and solutions may not achieve the same profit margins as expected or as compared to our historic products and solutions. Furthermore, other market participants, such as well-established competitors, could develop alternative platforms for monetizing products, solutions, and services that result in a paradigm shift in our industry, particularly with respect to new and developing technologies.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alliances, or investments, and we may pursue future growth through acquisitions, alliances, or investments, which may not yield anticipated benefits.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strengthened our business through acquisitions, alliances, and investments and may continue to do so as opportunities arise in the future. Such investments have been and may be in startup or development-stage entities. We will benefit from such activity only to the extent that we can effectively identify suitable acquisition and alliance candidates and leverage and integrate the assets or capabilities of the acquired businesses and alliances, including, but not limited to, personnel, technology, and operating processes. It may be difficult for us to integrate acquired businesses efficiently into our business operations. Any acquisitions, alliances, or investments may not be successful or realize the intended benefits. Moreover, unanticipated events, negative revisions to valuation assumptions and estimates, diversion of resources and management's attention from other business concerns, and difficulties in attaining synergies, among other factors, could adversely affect our ability to recover initial and subsequent investments, particularly those related to acquired goodwill and intangible assets or non-controlling interests. In addition, such investment transactions may limit our ability to invest in other activities, which could be more profitable or advantageous.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effectively execute our business strategies could adversely affect our financial condition and results of operations.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uncertainties and risks are associated with the implementation of a number of aspects of our global business strategies, including but not limited to, the development, marketing, and selling of lighting, building technology, and software-based solutions; the development, marketing, and selling of new or enhanced products and solutions; effective integration of acquisitions; and our environmental strategies and climate change commitments. Those uncertainties and risks include, but are not limited to: diversion of management’s attention; difficulty in retaining or attracting employees; negative impact on relationships with distributors and customers; obsolescence of current products and slow new product development; inability to effectively participate in opportunities utilizing our digital lighting and building technology systems; additional streamlining efforts; inability to produce certain components with quality, performance, and cost attributes equal to or better than provided by other component manufacturers; and unforeseen difficulties in the implementation of the management operating structure. Problems with strategy execution could offset anticipated benefits, disrupt service to customers, and impact product quality as well as adversely affect our business and reputation. With the addition of new products and solutions, we may encounter new and different competitors that may have more experience with respect to such products and solutions.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benefit from potential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market, political events, or other factors may affect demand for our products and services.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based on numerous factors, including product vitality and service levels, as well as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lighting controls, and building technology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which in turn may impact demand for our product and service offerings.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ongoing effects of the COVID-19 pandemic could have a material adverse effect on our ability to operate, results of operations, financial condition, liquidity, and capital investments.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negatively impacted, and may continue to (along with similar events in the future) negatively impact, our ability to operate, results of operations, financial condition, liquidity, and capital investments. Several public health organizations have recommended, and some governments have implemented, certain measures to slow and limit the transmission of the virus, including shelter in place, social distancing ordinances, and business shutdowns, which temporarily disrupted our ability to manufacture or distribute our products in some of these markets. A reoccurrence of these disruptions could materially adversely impact our ability to operate and results of operations. There is considerable uncertainty regarding the extent to which the COVID-19 outbreak will continue to spread, including the impact of identified and potential new variants, the extent and duration of governmental and other measures implemented to try to slow the spread of the virus, and public response to the pandemic.</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and such preventive measures have significantly impacted economic activity and markets around the world and our business, and they (and similar events in the future), may have a material adverse effect on our business for an indefinite period of time, such as the potential shut down of certain locations; decreased employee availability; increased claims or other expenses; potential border closures; disruptions to the businesses of our channel partners; and others. We may incur additional costs related to additional testing and screening of our employees, governmental vaccination mandates, and additional safety requirements from organizations such as the Occupational Safety and Health Administration (“OSHA”). Our suppliers and customers have also faced these and other challenges, which has led to a disruption in our supply chain for certain components, decreased construction and renovation spending and consumer demand for our products and services, rising commodity costs, and increased freight, warehousing, and container costs. These disruptions and challenges may continue for an indefinite period of time and may also materially affect our future access to our sources of liquidity, particularly our cash flows from operations, financial condition, capitalization, and capital investments. Additionally, the continued effects of COVID-19 on the global economy, including economic slowdowns, supply chain disruptions, or recessions, could adversely affect our ability to access the capital and other financial markets, and if so, we may need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these disruptions may continue to occur, the long -term economic impact and near-term financial impacts of the COVID-19 pandemic (and similar events in the future), including but not limited to, possible impairment, restructuring, and other charges, cannot be reliably quantified or estimated at this time due to the uncertainty of future developments.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offering broader and more integrated solutions utilizing electrical, lighting, controls, building automation systems, and data analytics, and small startup companies may offer more localized product sales and support services within individual regions.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sales during fiscal 2022,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disruptions to our operations.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public health epidemics (including the COVID-19 pandemic), climate change, brown outs and other power outages, earthquakes, fires, explosions, terrorism, adverse weather conditions, water scarcity, cyber-attacks, civil disruptions, or catastrophic events such as war or natural disasters, leading to production interruptions in our or one or more of our suppliers’ facilities could adversely affect us. Approximately 56%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or delay opening a facility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Further, these types of events may negatively impact residential, commercial, and industrial spending in impacted regions or, depending on the severity, globally. As a result, any of such events could adversely impact us.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Company operating systems, information systems, or devices have experienced, and may experience in the future, a failure, a compromise of security, or a violation of data privacy laws or regulations, which could adversely impact our operations as well as the effectiveness of internal controls over operations and financial reporting.</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have experienced, and could experience in the future, a failure of one or more of these software and automated systems or could fail to complete all necessary data reconciliation or other conversion controls when implementing a new software system.</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experienced compromises of our security, and could experience in the future, a compromise of our security due to many reasons, including technical system flaws, clerical, data input or record-keeping errors, or tampering or manipulation of our systems by employees or unauthorized third parties, including viruses, malware, or phishing. Information security risks also exist with respect to the use of portable electronic devices, such as laptops and smartphones, which are particularly vulnerable to loss and theft. We may also be subject to disruptions of any of these systems arising from events that are wholly or partially beyond our control (for example, natural disasters, acts of terrorism, cyber-attacks, including but not limited to hacking, malware, ransomware attacks, denial-of-service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attacks, social engineering, exploitation of internet-connected devises, and other attacks, epidemics, computer viruses, and electrical/telecommunications outages). While prior compromises of our security have not had, in the aggregate, a material impact on the Company’s operations and financial condition, the Company expects events of this nature to continue as cyber-attacks are becoming more sophisticated and frequent, and the techniques used in such attacks change rapidly. The Company monitors its data, information technology and personnel usage of Company systems to reduce these risks and continues to do so on an ongoing basis for any current or potential threats.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our hardware, software, or automated systems are compromised, fail, or have other significant shortcomings, it could disrupt our business, require us to incur substantial additional expenses, or result in potential liability or reputational damage. There can be no assurance that our efforts to protect our data and information technology will prevent such compromises of security.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provide and maintain technology to enable lighting controls and building technology systems.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are outside of our control and could result in a failure in functionality or security of our technology.</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certain of our third-party vendors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our or our clients' confidential, proprietary and other information (including personal identifying information of individuals), or otherwise disrupt our or our clients' or other third parties' business operations. To the extent that any disruption or security breach results in a loss or damage to our data, or an inappropriate disclosure of confidential or customer or employee information, it could cause significant damage to our reputation, affect relationships with our customers, employees, and other counterparties, lead to claims against us, which may result in the payment of fines, penalties, and costs, and ultimately harm our business. In addition, we may be required to incur significant costs, or regulatory fines, penalties, or intervention, to protect against damage caused by these disruptions or security breaches in the future.</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an increasing number of data privacy and security laws and regulations that impose requirements on us and our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 For example, the European Court of Justice’s decision in October 2015 to invalidate the Safe Harbor data privacy program between the United States and the implementation of Data Protection Commission v. Facebook Ireland, Schrems (aka Schrems II) as well as the new and proposed privacy and security laws around the world all could disrupt our ability to use or transfer data or sell products and solutions because such activities may not be in compliance with applicable law in certain jurisdictions.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our relationship with employees, changes in U.S. or international employment regulations, an inability to attract and retain talented employees, or a loss of key employees could adversely impact the effectiveness of our operations.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employed approximately 13,200 people as of August 31, 2022, approximately 9,300 of whom are employed in international locations. As such,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66% of our workforce. Collective bargaining agreements representing approximately 54%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is also dependent upon our ability to attract, retain, and motivate a qualified and diverse workforce, and there can be no assurance that we will be able to do so, particularly during times of increased labor costs or labor shortages. We rely upon the knowledge and experience of employees involved in functions throughout the organization that require technical expertise and knowledge of the industry. We have experienced intense competition for qualified and capable personnel in key markets and with key skills, and we cannot provide assurance that we will be able to retain our key employees or that we will be successful in attracting, assimilating, and retaining personnel in the future. In addition, our growth may be constrained by resource limitations as competitors and customers compete for increasingly scarce human capital resources. The demand for skilled workers is currently high. We face an increasingly competitive labor market due to sustained labor shortages in part from the COVID-19 pandemic and are subject to inflationary pressures on employee wages and salaries, which may increase labor costs. Our competitors may be able to offer a work environment with higher compensation or more opportunities than we can. An inability to attract and retain a sufficient number of employees could adversely impact our ability to execute key operational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As we expand our service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to contract manufacturing of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 In addition, we act as a general contractor in certain relationships with third-parties, and as such are subject to risks applicable to general contractors.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foreign currency fluctuations;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terrorist action; nationalization and expropriation; limitations on repatriation of earnings or other capital requirements; and other changes in regulation in international jurisdictions that could result in substantial additional legal or compliance obligations for us.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certain components and approximately 16% of our finished goods from Asia, a significant portion of which are subject to import tariffs. These tariffs could increase in future periods resulting in higher costs and/or lower demand. We are seeking to mitigate the impact of Chinese tariffs on our profitability, including a variety of activities such as engaging alternative suppliers that produce products and components whose origin is in countries other than China, insourcing the production of certain products, and raising selling prices. We could be adversely affected to the extent we are unable to mitigate the impacts of the tariffs.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additional adverse changes to the program, including nationalization, our manufacturing costs in Mexico would increase.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United States, Mexico, Canada Free Trade Agreement (“USMCA”) which, among other things, provide certain beneficial duties and tariffs for qualifying imports and exports, subject to compliance with the applicable classification and other requirements. A majority of our sales are subject to USMCA. In addition, the US government has initiated or is considering imposing tariffs on certain foreign goods, including steel and aluminum. Related to this action, certain foreign governments, including China, have instituted or are considering imposing tariffs on certain U.S. goods. We source certain components and approximately 16% of our finished goods from Asia, a significant portion of which are subject to Chinese tariffs. It remains unclear what the U.S. Administration or foreign governments will or will not do with respect to tariffs, the USMCA, or other international trade agreements and policies. A trade war or other governmental action related to tariffs or international trade agreements or policies has the potential to adversely impact demand for our products, costs, customers, suppliers, and/or the US economy or certain sectors thereof and, thus, to adversely impact our business.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social impact and sustainability matters.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an increasing focus from U.S. and foreign government agencies, certain investors, customers, consumers, employees, and other stakeholders concerning environmental, social and governance (“ESG”) matters. Some investors may use ESG criteria to guide their investment strategies and, in some cases, may choose not to invest in us if they believe our policies relating to corporate responsibilities are inadequate. In addition, if our competitors’ corporate responsibility performance is perceived to be greater than ours, potential or current investors may elect to invest in our competitors instead.</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communicate certain initiatives and goals, regarding environmental matters, diversity, responsible sourcing and social investments and other ESG matters, in our EarthLIGHT (ESG) Report, on our website, in our SEC filings, and elsewhere. These initiatives and goals could be difficult and expensive to implement, and we could be criticized for the accuracy, adequacy, or completeness of the disclosure of our ESG initiatives. Further, statements about our ESG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or are perceived to fail, to achieve progress with respect to our ESG goals on a timely basis, or at all, our reputation, business, financial performance, and growth could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laws and regulations impacting us impose increasingly complex, stringent, and costly compliance activities, including but not limited to environmental, health, and safety protection standards and permitting, labeling, and other requirements regarding, among other things, electronic and wireless communications, air emissions, wastewater discharges, the use, handling, and disposal of hazardous or toxic materials, remediation of environmental contamination, and working conditions for and compensation of our employees. 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become stricter in recent years, and federal, state, and local governments domestically and internationally are considering new laws and regulations, including those governing raw material composition, carbon dioxide and other air emissions, end-of-life product dispositions, and energy efficiency. We may be affected by those or other future standards, laws, or regulations, including those imposed in response to energy, climate change, our carbon footprint, product functionality, geopolitical, corporate social responsibility, or similar concerns. These standards, laws, or regulations may impact our costs of operation, the sourcing of raw materials, and the manufacture and distribution of our products and may place restrictions and other requirements or impediments on the products and solutions we can sell in certain geographical locations or on the willingness of certain investors to own our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warranties, commercial disputes, and patent infringement.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such as LED, generally provide for more extensive warranty protection, which may result in higher costs if warranty claims on these products are higher than historical amounts. We may also be liable if the use or failure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A significant product recall, warranty claim, or product liability case could also result in adverse publicity, damage to our reputation, and a loss of consumer confidence in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could be the target of intellectual property claims.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own certain patents, trademarks, copyrights, trade secrets, and other intellectual property. In addition, we continue to file patent applications, when appropriate. We cannot be certain that others have not and will not infringe on our intellectual property rights; however, we seek to establish and protect those rights, which could result in significant legal expenses and adversely affect our financial condition and results of operations.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last several years, we and others in the industry have received an increased number of allegations of patent infringement from competitors and from non-practicing entity patent holders, often coupled with offers to license such patents for our use. Such offers typically relate to various technologies including electronics, power systems, controls, and software, as well as the use of visible light to communicate data, the use of certain wireless networking methods, and the design of specific products. We believe that we do not need or will be able to invalidate or access such patents through licensing, cross-licensing, or other mutually beneficial arrangements,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although to the extent we are required but unable to enter into such arrangements on acceptable economic terms, it could adversely impact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financial and other risks related to climate change and other sustainability matters.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scientific consensus indicates that emissions of greenhouse gases (“GHG”) continue to alter the composition of Earth’s atmosphere in ways that are affecting, and are expected to continue to affect, the global climate. The potential impacts of climate change on our customers, product offerings, operations, facilities, and suppliers are accelerating and uncertain, as they will be particular to local and customer-specific circumstances.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Concerns regarding climate change may lead to significant legislative and regulatory responses, including efforts to limit GHG emissions.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Accord, and these and other existing or potential international initiatives and regulations could affect our international operations.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laws will be enacted, and therefore we cannot predict the potential impact of such laws on our future financial condition, results of operations, and cash flows.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investors and stakeholders are increasingly focused on ESG matters, and as stakeholder ESG expectations and standards are evolving, our failure to sufficiently respond to these evolving standards and expectations may cause us to suffer from reputational damage, and our business or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Our performance could be different than analyst expectations, causing a decline in our stock price. To the extent that other large companies within our industry experience declines in share price, our share price may decline as well. In addition, we may discontinue or reduce dividend payments and may discontinue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or suspension of dividends and any suspension or termination of our share repurchase program could cause our stock price to decline.</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the market price of a company’s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w:t>
      </w:r>
    </w:p>
    <w:p>
      <w:pPr>
        <w:spacing w:after="0" w:line="3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and Lighting Controls (“ABL”) or the Intelligent Spaces Group (“ISG”), the facility primarily benefits as of August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ABL</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ISG</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30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Nature of Facilities</w:t>
            </w:r>
          </w:p>
        </w:tc>
        <w:tc>
          <w:tcPr>
            <w:tcW w:w="780" w:type="dxa"/>
            <w:vAlign w:val="bottom"/>
          </w:tcPr>
          <w:p>
            <w:pPr>
              <w:ind w:left="300"/>
              <w:spacing w:after="0" w:line="157" w:lineRule="exact"/>
              <w:rPr>
                <w:sz w:val="20"/>
                <w:szCs w:val="20"/>
                <w:color w:val="auto"/>
              </w:rPr>
            </w:pPr>
            <w:r>
              <w:rPr>
                <w:rFonts w:ascii="Arial" w:cs="Arial" w:eastAsia="Arial" w:hAnsi="Arial"/>
                <w:sz w:val="14"/>
                <w:szCs w:val="14"/>
                <w:b w:val="1"/>
                <w:bCs w:val="1"/>
                <w:color w:val="auto"/>
                <w:w w:val="98"/>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Leased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100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Leased</w:t>
            </w:r>
          </w:p>
        </w:tc>
        <w:tc>
          <w:tcPr>
            <w:tcW w:w="11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rPr>
              <w:t>Leased</w:t>
            </w:r>
          </w:p>
        </w:tc>
        <w:tc>
          <w:tcPr>
            <w:tcW w:w="80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213"/>
              <w:spacing w:after="0" w:line="157" w:lineRule="exact"/>
              <w:rPr>
                <w:sz w:val="20"/>
                <w:szCs w:val="20"/>
                <w:color w:val="auto"/>
              </w:rPr>
            </w:pPr>
            <w:r>
              <w:rPr>
                <w:rFonts w:ascii="Arial" w:cs="Arial" w:eastAsia="Arial" w:hAnsi="Arial"/>
                <w:sz w:val="14"/>
                <w:szCs w:val="14"/>
                <w:b w:val="1"/>
                <w:bCs w:val="1"/>
                <w:color w:val="auto"/>
              </w:rPr>
              <w:t>Leased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facilities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Warehouses</w:t>
            </w:r>
          </w:p>
        </w:tc>
        <w:tc>
          <w:tcPr>
            <w:tcW w:w="780" w:type="dxa"/>
            <w:vAlign w:val="bottom"/>
          </w:tcPr>
          <w:p>
            <w:pPr>
              <w:spacing w:after="0"/>
              <w:rPr>
                <w:sz w:val="19"/>
                <w:szCs w:val="19"/>
                <w:color w:val="auto"/>
              </w:rPr>
            </w:pPr>
          </w:p>
        </w:tc>
        <w:tc>
          <w:tcPr>
            <w:tcW w:w="1200" w:type="dxa"/>
            <w:vAlign w:val="bottom"/>
            <w:gridSpan w:val="3"/>
          </w:tcPr>
          <w:p>
            <w:pPr>
              <w:jc w:val="right"/>
              <w:ind w:right="90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w:t>
      </w:r>
    </w:p>
    <w:p>
      <w:pPr>
        <w:spacing w:after="0" w:line="67" w:lineRule="exact"/>
        <w:rPr>
          <w:sz w:val="20"/>
          <w:szCs w:val="20"/>
          <w:color w:val="auto"/>
        </w:rPr>
      </w:pPr>
    </w:p>
    <w:p>
      <w:pPr>
        <w:ind w:left="100" w:hanging="92"/>
        <w:spacing w:after="0"/>
        <w:tabs>
          <w:tab w:leader="none" w:pos="100" w:val="left"/>
        </w:tabs>
        <w:numPr>
          <w:ilvl w:val="0"/>
          <w:numId w:val="3"/>
        </w:numPr>
        <w:rPr>
          <w:rFonts w:ascii="Arial" w:cs="Arial" w:eastAsia="Arial" w:hAnsi="Arial"/>
          <w:sz w:val="14"/>
          <w:szCs w:val="14"/>
          <w:i w:val="1"/>
          <w:iCs w:val="1"/>
          <w:color w:val="auto"/>
        </w:rPr>
      </w:pPr>
      <w:r>
        <w:rPr>
          <w:rFonts w:ascii="Arial" w:cs="Arial" w:eastAsia="Arial" w:hAnsi="Arial"/>
          <w:sz w:val="14"/>
          <w:szCs w:val="14"/>
          <w:color w:val="auto"/>
        </w:rPr>
        <w:t>Many of the distribution centers also have certain manufacturing and assembly capabilities.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2022:</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 States</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Mexico</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Europe</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Canada</w:t>
            </w: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ABL:</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Owned</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ISG:</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of certain facilities.</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regarding our legal proceedings.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listed on the New York Stock Exchange under the symbol “AYI.” At October 21, 2022, there were 1,856 stockholders of record.</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timing, declaration, and payment of future dividends to holders of our common stock will depend upon many factors, including our cash balances and potential future capital requirements for strategic transactions, including acquisitions, results of operations, financial condition, and other factors that our Board of Directors may deem relevant.</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equity compensation plans is included under the caption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in our proxy statement for the annual meeting of stockholders to be held January 25, 2023, which we will file with the Securities and Exchange Commission pursuant to Regulation 14A. The proxy statement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August 31, 2022, the maximum number of shares that may yet be repurchased under the share repurchase program authorized by the Board equaled 2.8 million shares. The following table summarizes share repurchase activity by month for the quarter ended August 31, 2022:</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2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6/1/2022 through 6/30/2022</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339,454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166.98</w:t>
            </w:r>
          </w:p>
        </w:tc>
        <w:tc>
          <w:tcPr>
            <w:tcW w:w="2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339,454</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3,111,550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7/1/2022 through 7/31/2022</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215,320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166.92</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215,320</w:t>
            </w:r>
          </w:p>
        </w:tc>
        <w:tc>
          <w:tcPr>
            <w:tcW w:w="1960" w:type="dxa"/>
            <w:vAlign w:val="bottom"/>
          </w:tcPr>
          <w:p>
            <w:pPr>
              <w:jc w:val="right"/>
              <w:spacing w:after="0"/>
              <w:rPr>
                <w:sz w:val="20"/>
                <w:szCs w:val="20"/>
                <w:color w:val="auto"/>
              </w:rPr>
            </w:pPr>
            <w:r>
              <w:rPr>
                <w:rFonts w:ascii="Arial" w:cs="Arial" w:eastAsia="Arial" w:hAnsi="Arial"/>
                <w:sz w:val="16"/>
                <w:szCs w:val="16"/>
                <w:color w:val="auto"/>
              </w:rPr>
              <w:t>2,896,230</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8/1/2022 through 8/31/2022</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78,030</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179.42</w:t>
            </w:r>
          </w:p>
        </w:tc>
        <w:tc>
          <w:tcPr>
            <w:tcW w:w="2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78,030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2,818,200</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632,804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168.50</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632,804</w:t>
            </w:r>
          </w:p>
        </w:tc>
        <w:tc>
          <w:tcPr>
            <w:tcW w:w="1960" w:type="dxa"/>
            <w:vAlign w:val="bottom"/>
          </w:tcPr>
          <w:p>
            <w:pPr>
              <w:jc w:val="right"/>
              <w:spacing w:after="0"/>
              <w:rPr>
                <w:sz w:val="20"/>
                <w:szCs w:val="20"/>
                <w:color w:val="auto"/>
              </w:rPr>
            </w:pPr>
            <w:r>
              <w:rPr>
                <w:rFonts w:ascii="Arial" w:cs="Arial" w:eastAsia="Arial" w:hAnsi="Arial"/>
                <w:sz w:val="16"/>
                <w:szCs w:val="16"/>
                <w:color w:val="auto"/>
              </w:rPr>
              <w:t>2,818,200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Stock Performance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2022,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Brands,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692140" cy="3711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2017 in stock or index, including reinvestment of dividends.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Aug-17</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Aug-18</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Aug-19</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Aug-20</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Aug-21</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Aug-22</w:t>
            </w:r>
          </w:p>
        </w:tc>
      </w:tr>
      <w:tr>
        <w:trPr>
          <w:trHeight w:val="34"/>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Acuity Brands, Inc.</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S&amp;P Midcap 400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Dow Jones U.S. Electrical Components &amp; Equipment Index</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5"/>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Dow Jones U.S. Building Materials &amp; Fixtures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55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[Reserved]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42"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for the fiscal years ended August 31, 2022 and 2021.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w:t>
      </w:r>
    </w:p>
    <w:p>
      <w:pPr>
        <w:spacing w:after="0" w:line="190" w:lineRule="exact"/>
        <w:rPr>
          <w:sz w:val="20"/>
          <w:szCs w:val="20"/>
          <w:color w:val="auto"/>
        </w:rPr>
      </w:pPr>
    </w:p>
    <w:p>
      <w:pPr>
        <w:jc w:val="both"/>
        <w:spacing w:after="0" w:line="268" w:lineRule="auto"/>
        <w:rPr>
          <w:rFonts w:ascii="Arial" w:cs="Arial" w:eastAsia="Arial" w:hAnsi="Arial"/>
          <w:sz w:val="18"/>
          <w:szCs w:val="18"/>
          <w:i w:val="1"/>
          <w:iCs w:val="1"/>
          <w:color w:val="0000FF"/>
        </w:rPr>
      </w:pPr>
      <w:r>
        <w:rPr>
          <w:rFonts w:ascii="Arial" w:cs="Arial" w:eastAsia="Arial" w:hAnsi="Arial"/>
          <w:sz w:val="18"/>
          <w:szCs w:val="18"/>
          <w:color w:val="auto"/>
        </w:rPr>
        <w:t xml:space="preserve">A discussion of the year ended August 31, 2021 compared to the year ended August 31, 2020 can be found within </w:t>
      </w:r>
      <w:hyperlink r:id="rId33">
        <w:r>
          <w:rPr>
            <w:rFonts w:ascii="Arial" w:cs="Arial" w:eastAsia="Arial" w:hAnsi="Arial"/>
            <w:sz w:val="18"/>
            <w:szCs w:val="18"/>
            <w:i w:val="1"/>
            <w:iCs w:val="1"/>
            <w:u w:val="single" w:color="auto"/>
            <w:color w:val="0000FF"/>
          </w:rPr>
          <w:t>Part II, Item 7.</w:t>
        </w:r>
      </w:hyperlink>
      <w:r>
        <w:rPr>
          <w:rFonts w:ascii="Arial" w:cs="Arial" w:eastAsia="Arial" w:hAnsi="Arial"/>
          <w:sz w:val="18"/>
          <w:szCs w:val="18"/>
          <w:color w:val="auto"/>
        </w:rPr>
        <w:t xml:space="preserve"> </w:t>
      </w:r>
      <w:hyperlink r:id="rId33">
        <w:r>
          <w:rPr>
            <w:rFonts w:ascii="Arial" w:cs="Arial" w:eastAsia="Arial" w:hAnsi="Arial"/>
            <w:sz w:val="18"/>
            <w:szCs w:val="18"/>
            <w:i w:val="1"/>
            <w:iCs w:val="1"/>
            <w:u w:val="single" w:color="auto"/>
            <w:color w:val="0000FF"/>
          </w:rPr>
          <w:t>Management's Discussion and Analysis</w:t>
        </w:r>
        <w:r>
          <w:rPr>
            <w:rFonts w:ascii="Arial" w:cs="Arial" w:eastAsia="Arial" w:hAnsi="Arial"/>
            <w:sz w:val="18"/>
            <w:szCs w:val="18"/>
            <w:i w:val="1"/>
            <w:iCs w:val="1"/>
            <w:color w:val="0000FF"/>
          </w:rPr>
          <w:t xml:space="preserve"> </w:t>
        </w:r>
      </w:hyperlink>
      <w:r>
        <w:rPr>
          <w:rFonts w:ascii="Arial" w:cs="Arial" w:eastAsia="Arial" w:hAnsi="Arial"/>
          <w:sz w:val="18"/>
          <w:szCs w:val="18"/>
          <w:color w:val="000000"/>
        </w:rPr>
        <w:t>within</w:t>
      </w:r>
      <w:r>
        <w:rPr>
          <w:rFonts w:ascii="Arial" w:cs="Arial" w:eastAsia="Arial" w:hAnsi="Arial"/>
          <w:sz w:val="18"/>
          <w:szCs w:val="18"/>
          <w:i w:val="1"/>
          <w:iCs w:val="1"/>
          <w:color w:val="0000FF"/>
        </w:rPr>
        <w:t xml:space="preserve"> </w:t>
      </w:r>
      <w:r>
        <w:rPr>
          <w:rFonts w:ascii="Arial" w:cs="Arial" w:eastAsia="Arial" w:hAnsi="Arial"/>
          <w:sz w:val="18"/>
          <w:szCs w:val="18"/>
          <w:color w:val="000000"/>
        </w:rPr>
        <w:t>our fiscal 2021 Annual Report on Form 10-K filed with the Securities and Exchange</w:t>
      </w:r>
      <w:r>
        <w:rPr>
          <w:rFonts w:ascii="Arial" w:cs="Arial" w:eastAsia="Arial" w:hAnsi="Arial"/>
          <w:sz w:val="18"/>
          <w:szCs w:val="18"/>
          <w:i w:val="1"/>
          <w:iCs w:val="1"/>
          <w:color w:val="0000FF"/>
        </w:rPr>
        <w:t xml:space="preserve"> </w:t>
      </w:r>
      <w:r>
        <w:rPr>
          <w:rFonts w:ascii="Arial" w:cs="Arial" w:eastAsia="Arial" w:hAnsi="Arial"/>
          <w:sz w:val="18"/>
          <w:szCs w:val="18"/>
          <w:color w:val="000000"/>
        </w:rPr>
        <w:t>Commission on October 27,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 We achieve customer-focused efficiencies that allow us to increase market share and deliver superior returns. We look to aggressively deploy capital to grow the business and to enter attractive new verticals.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significant contractual cash requirements as of August 31, 2022 primarily include principal and interest on our unsecured notes and borrowings under our credit agreement as well as payments for operating lease liabilities. Further details on our borrowings and operating lease liabilities are outlined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respectively, within this Form 10-K.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incur purchase obligations in the ordinary course of business that are enforceable and legally binding. Contractual purchase obligations for years subsequent to August 31, 2022 include $533.1 million in fiscal 2023. Contractual purchase obligations beyond fiscal 2023 are not significant.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August 31, 2022 was $223.2 million, a decrease of $ 268.1 million from August 31, 2021. Cash generated from operating activities and cash on hand were used during the current year to fund our capital allocation priorities as discussed below.</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$316.3 million of cash flows from operating activities during fiscal 2022 compared with $408.7 million in the prior-year period, a decrease of $92.4 million. This decline was due primarily to higher working capital investments to support year-over-year growth as well as to mitigate inconsistent supply availability at our production facilities.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our various financing arrangements, including the $ 500.0 million aggregate principal amount of 2.150% senior unsecured notes due December 15, 2030 (the “Unsecured Notes”) as well as the terms of our $600.0 million five-year unsecured revolving credit facility (the “Revolving Credit Facility”).</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August 31, 2022, our outstanding debt balance was $513.0 million compared to our cash position of $223.2 million. We were in compliance with all financial covenants under our financing arrangements as of August 31, 2022.</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August 31, 2022, we had additional borrowing capacity under the revolving credit facility of $577.9 million under the most restrictive covenant in effect at the time, which represents the full amount of the facility less the outstanding letters of credit of $4.1 million issued under the facility. As of August 31, 2022, our cash on hand combined with the additional borrowing capacity under the revolving credit facility totaled approximately $801.1 million.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4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31, 2022</w:t>
            </w: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1,172.0</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assets due from non-guarantor affiliates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213.4</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595.1</w:t>
            </w:r>
          </w:p>
        </w:tc>
      </w:tr>
      <w:tr>
        <w:trPr>
          <w:trHeight w:val="21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38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b w:val="1"/>
                <w:bCs w:val="1"/>
                <w:color w:val="auto"/>
              </w:rPr>
              <w:t>Year Ended August 31, 2022</w:t>
            </w:r>
          </w:p>
        </w:tc>
      </w:tr>
      <w:tr>
        <w:trPr>
          <w:trHeight w:val="209"/>
        </w:trPr>
        <w:tc>
          <w:tcPr>
            <w:tcW w:w="8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3,397.2</w:t>
            </w: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1,406.4</w:t>
            </w: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Growth</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$56.5 million and $43.8 million in fiscal 2022 and 2021, respectively, in property, plant, and equipment, primarily related to investments in new and enhanced information technology capabilities, tooling, equipment, and facility enhancements. Additionally, we invested in working capital to support growth and to mitigate inconsistent supply availability at our production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and Investments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There were no acquisitions during fiscal 2022. The $12.9 million of cash outflows in fiscal 2022 reflected in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primarily relate to working capital settlements for fiscal 2021 acquisitions. We invested in acquisitions of businesses, net of cash acquired, of $75.3 million in fiscal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$18.1 million ($0.52 per share) in fiscal 2022 and $19.1 million ($ 0.52 per share) in fiscal 2021, indicating a quarterly dividend rate of $0.13 per share.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fiscal 2022, we repurchased 2.9 million shares of our outstanding common stock for $511.7 million. Total cash outflows for share repurchases during fiscal 2022 were $514.8 million. We expect to repurchase shares on an opportunistic basis subject to various factors including stock price, Company performance, market conditions, and other possible uses of cash. As of August 31, 2022, the maximum number of shares that may yet be repurchased under the share repurchase program authorized by the Board equaled 2.8 million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various health and safety policies and processes at our facilities in the United States, Mexico, Canada, and other locations as permitted by law.</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were paid in December 2021, and the remaining deferrals are due in December 2022.</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COVID-19 to our results of operations, financial position,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of our results of operations in fiscal 2022 compared to fiscal 2021. A discussion of our fiscal 2021 results of operations compared to fiscal 2020 can be found within </w:t>
      </w:r>
      <w:hyperlink r:id="rId33">
        <w:r>
          <w:rPr>
            <w:rFonts w:ascii="Arial" w:cs="Arial" w:eastAsia="Arial" w:hAnsi="Arial"/>
            <w:sz w:val="18"/>
            <w:szCs w:val="18"/>
            <w:i w:val="1"/>
            <w:iCs w:val="1"/>
            <w:u w:val="single" w:color="auto"/>
            <w:color w:val="0000FF"/>
          </w:rPr>
          <w:t>Part II, Item 7. Management's Discussion and Analysis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within our fiscal 2021 Annual Report on Form 10-K filed with the Securities and Exchange Commission on October 27,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2022 with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31, 2021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August 31,</w:t>
            </w:r>
          </w:p>
        </w:tc>
        <w:tc>
          <w:tcPr>
            <w:tcW w:w="1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5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4,006.1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3,461.0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1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17.5 %</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41.8 %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3"/>
          </w:tcPr>
          <w:p>
            <w:pPr>
              <w:jc w:val="right"/>
              <w:ind w:right="1399"/>
              <w:spacing w:after="0"/>
              <w:rPr>
                <w:sz w:val="20"/>
                <w:szCs w:val="20"/>
                <w:color w:val="auto"/>
              </w:rPr>
            </w:pPr>
            <w:r>
              <w:rPr>
                <w:rFonts w:ascii="Arial" w:cs="Arial" w:eastAsia="Arial" w:hAnsi="Arial"/>
                <w:sz w:val="16"/>
                <w:szCs w:val="16"/>
                <w:i w:val="1"/>
                <w:iCs w:val="1"/>
                <w:color w:val="auto"/>
              </w:rPr>
              <w:t>(80) 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 charges</w:t>
            </w: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509.7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7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30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54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7.3 %</w:t>
            </w:r>
          </w:p>
        </w:tc>
      </w:tr>
      <w:tr>
        <w:trPr>
          <w:trHeight w:val="217"/>
        </w:trPr>
        <w:tc>
          <w:tcPr>
            <w:tcW w:w="5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Miscellaneous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1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90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22.2 %</w:t>
            </w:r>
          </w:p>
        </w:tc>
      </w:tr>
      <w:tr>
        <w:trPr>
          <w:trHeight w:val="209"/>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90"/>
        </w:trPr>
        <w:tc>
          <w:tcPr>
            <w:tcW w:w="5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32.2 %</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of $ 4.01 billion for the year ended August 31, 2022 increased by $545.1 million, or 15.7%, compared with the prior-year period. Both our ABL and ISG segments benefited from recent price increases as well as higher volumes. Revenues from acquired companies contributed an approximately 3% increase in net sales compared to the prior year. Changes in foreign currency rates did not have a meaningful impact on net sales for the year ended August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year ended August 31, 2022 increased $197.7 million, or 13.4%, to $1.67 billion compared with $1.48 billion for the prior year. Gross profit margin decreased 80 basis points to 41.8% for fiscal 2022 compared with 42.6% in the prior-year period. In this inflationary environment, we continued to experience material, labor, and freight escalations while also taking pricing actions that mitigated these escalations. Gross profit margin was also unfavorably impacted by the near-term dilutive effects of recent acquisitions.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distribution, and administrative expenses of $1.16 billion for the year ended August 31, 2022 increased $118.9 million, or 11.4%, compared with the prior year. This increase was due primarily to higher commissions and freight costs associated with higher sales as well as increased employee-related costs due, in part, to recent acquisitions.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profit for fiscal 2022 was $509.7 million compared with $ 427.6 million reported for the prior-year period, an increase of $82.1 million, or 19.2%. Operating profit margin increased 30 basis points to 12.7% for fiscal 2022</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compared with 12.4% for fiscal 2021. The increase in operating profit margin was primarily the result of improved leveraging of our operating costs as well as lower special charges, partially offset by a lower gross profit margin.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$24.9 million and $23.2 million for the years ended August 31, 2022 and 2021, respectively.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reported net miscellaneous income of $9.1 million in fiscal 2022 compared with net miscellaneous expense of $8.2 million in fiscal 2021. During fiscal 2021, we recorded impairment charges totaling $6.0 million for certain unconsolidated equity investments. Further details regarding the impairment charges are included in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Excluding the impairments, the year-over-year change in net miscellaneous (income) expense was largely due to changes in pension cost as well as foreign currency-related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effective income tax rate was 22.3% and 22.7% for the years ended August 31, 2022 and 2021, respectively. The change in our effective income tax rate year over year is due primarily to the impact of discrete items. Further details regarding income taxes are included in the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for fiscal 2022 increased $77.7 million, or 25.4%, to $384.0 million from $306.3 million reported for the prior year. The increase in net income resulted primarily from an increase in operating profit compared to the prior-year period partially offset by higher income tax expense related to the increase in profit.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Diluted earnings per share for fiscal 2022 was $11.08 compared with $8.38 for the prior-year period, an increase of $2.70, or 32.2%. This increase reflects higher net income as well as lower outstanding diluted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set forth information comparing the operating results of our segments, ABL and ISG, for the year ended August 31, 2022 with the year ended August 31, 2021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August 31,</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1"/>
                <w:szCs w:val="11"/>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3,810.1</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3,287.3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522.8</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545.6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476.2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ISG:</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216.1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190.0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129.3 %</w:t>
            </w:r>
          </w:p>
        </w:tc>
        <w:tc>
          <w:tcPr>
            <w:tcW w:w="0" w:type="dxa"/>
            <w:vAlign w:val="bottom"/>
          </w:tcPr>
          <w:p>
            <w:pPr>
              <w:spacing w:after="0"/>
              <w:rPr>
                <w:sz w:val="1"/>
                <w:szCs w:val="1"/>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ABL net sales for the year ended August 31, 2022 increased 15.9% compared with the prior-year period. Sales within the independent and direct sales network channels increased due primarily to benefits from recent price increases as well as higher volumes. Additionally, sales within the corporate accounts channel increased year over year as some large accounts began previously deferred maintenance and renovations. Acquisitions contributed an approximately 3% increase in sales compared to the prior year and are reflected within the other sales channel in ABL's disaggregated revenue.</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$545.6 million (14.3% of ABL net sales) for the year ended August 31, 2022 compared to $ 476.2 million (14.5% of ABL net sales) in the prior-year period, an increase of $69.4 million. The increase in operating profit was due primarily to contributions from higher sales partially offset by increased material, labor, and freight costs as well as higher operating costs to support the increase in sales.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ISG net sales for the year ended August 31, 2022 increased 13.7% compared with the prior-year period driven primarily by strong demand for building and heating, ventilation, and air conditioning controls as well as price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increases. ISG operating profit was $22.7 million (10.5% of ISG net sales) for the year ended August 31, 2022 compared with $9.9 million (5.2% of ISG net sales) in the prior-year period, an increase of $12.8 million. This increase was due primarily to higher sales, partially offset by increased employee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2022 and Accounting Standards Yet to Be Adopted</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carrying values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 w:cs="Arial" w:eastAsia="Arial" w:hAnsi="Arial"/>
          <w:sz w:val="18"/>
          <w:szCs w:val="18"/>
          <w:i w:val="1"/>
          <w:iCs w:val="1"/>
          <w:color w:val="auto"/>
        </w:rPr>
        <w:t>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 summary of our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topics represent our critical accounting estimates.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we estimate and record provisions for certain rebates, sales incentives, product returns, and discounts to customers, in most instances, as reductions of revenue. We also maintain one-time or on-going marketing and trade-promotion programs with certain customers that require us to estimate and accrue the expected costs of such programs. Generally, these items are estimated based on customer agreements, historical trends, and expected demand. For sales with multiple deliverables,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estimated using a cost plus margin valuation when no observable input is available.</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Actual results could differ from estimates, which would require adjustments to recorded amounts.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estimates related to revenue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We review inventory quantities on hand and record a provision for excess or obsolete inventory primarily based on estimated future demand and current market conditions. A significant change in customer demand, market conditions, or technology could render certain inventory obsolete and thus could have a material adverse impact on our operating results in the period the change occurs.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Indefinite-lived intangible assets consist of trade names acquired through multiple acquisitions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customer attrition rates, royalty rates, and discount rates. Goodwill is calculated as the residual value of an acquisition's purchase price less the value of the identifiable net assets and is thus dependent on the appropriate identification and valuation of the net assets obtained in an acquisition.</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goodwill and indefinite-lived intangible assets for impairment on an annual basis in the fiscal fourth quarter and on an interim basis if an event occurs or circumstances change that would more likely than not indicate that the fair value of the goodwill or an indefinite-lived asset is below its carrying value.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currently believe that the estimates used in the evaluation of goodwill and indefinite-lived intangibles are reasonable, differences between actual and expected net sales, operating results, and cash flows and/or changes in the discount rates or theoretical royalty rates used could cause these assets to be deemed impaired. If this occurs, we are required to record a non-cash charge to earnings for the write-down in the value of such assets. Such charges could have a material adverse effect on our results of operations and financial position but not our cash flows from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 our annual goodwill impairment analysis on the first day of our fiscal fourth quarter (June 1). Goodwill is tested for impairment at the reporting unit level using a combination of discounted future cash flows and relevant market multiples. Our discounted cash flow analyses required significant assumptions about discount rates, short and long-term growth rates, and future profitability. We utilized estimated discount rates ranging from 9% to 13% as of June 1, 2022, based on the Capital Asset Pricing Model, which considers a risk-free interest rate, beta, market risk premium, and size premium to determine an appropriate discount rate for a reporting unit. Short-term growth rates were based on management’s forecasted financial results, which consider key business drivers such as specific revenue growth initiatives, market share changes, growth in our addressable market, and general economic factors such as macroeconomic conditions, credit availability, and interest rates. We calculated the discounted cash flows attributable to our reporting units for a 10-year discrete period with a terminal value and compared this calculation to the discounted cash flows generated over a 40-year period to corroborate the reasonableness of assumptions used. The long-term growth rate used in determining terminal value was estimated at 3.5% and was primarily based on our understanding of projections for expected long-term growth in our addressable market and historical long-term performance.</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corroborate the values determined from our discounted cash flow models using a relevant market multiple, generally published earnings and/or revenue multiples. We also reconcile the sum of the fair values for each reporting unit to our market capitalization at the testing date, including consideration of a control premium.</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Any reasonably likely change in the assumptions used in these analyses, including revenue growth rates, discount rates, long-term growth rates, or relevant multiples would not cause the carrying value of any reporting unit to exceed its estimated fair value as determined under the goodwill impairment analysis.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perform our annual indefinite-lived intangible asset impairment analyses on the first day of our fiscal fourth quarter (June 1). Our indefinite-lived intangible assets consist of 13 trade names with an aggregate carrying value of $173.7 million at August 31, 2022. We utilized significant assumptions to estimate the fair value of these indefinite-lived trade names using a fair value model based on discounted future cash flows (“fair value model”) in accordance with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Future cash flows associated with each of our indefinite-lived trade names are calculated by multiplying a theoretical royalty rate a willing third party would pay for use of the particular trade name by estimated future net sales attributable to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relevant trade name. The present value of the resulting after-tax cash flows is our current estimate of the fair value of each trade name. This fair value model requires us to make several significant assumptions, including specific estimated future net sales (including short and long-term growth rates), the royalty rate, and the discount rate for each trade name.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net sales and short-term growth rates are estimated for each particular trade name based on management’s financial forecasts, which consider key business drivers, such as specific revenue growth initiatives, market share changes, expected growth in our addressable market, and general economic factors, such as macroeconomic conditions, credit availability, and interest rates. The long-term growth rate used in determining terminal value was estimated at 3.5% and was based primarily on our understanding of projections for expected long-term growth for our addressable market and historical long-term performance. The theoretical royalty rate is estimated primarily using management’s assumptions regarding the amount a willing third party would pay to use the particular trade name and is compared with market information for similar intellectual property within and outside of the industry. If future operating results are unfavorable compared with forecasted amounts, we may be required to reduce the theoretical royalty rate used in the fair value model, which would result in lower expected future after-tax cash flows in the fair value model. We utilized a range of estimated discount rates between 9% and 13% as of June 1, 2022, based on the Capital Asset Pricing Model, which considers a current risk-free interest rate, beta, market risk premium, and size premium appropriate for each intangible.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fiscal 2022, we performed an evaluation of the fair values of our indefinite-lived trade names. Our expected revenues were based on our fiscal 2023 projections and recent third-party lighting, controls, and building technology solutions market growth estimates for fiscal 2024 through 2025 as of June 1, 2022. We also included revenue growth estimates based on current initiatives expected to help improve performance. During fiscal 2022, estimated theoretical royalty rates ranged between 1% and 3%. The impairment analyses of our indefinite-lived intangible assets indicated that their fair values exceeded their carrying values; therefore, no impairments were recorded for fiscal 2022. Any reasonably likely change in the assumptions used in the analyses for our trade names, including revenue growth rates, royalty rates, and discount rates, would not be material to our financial condition or results of operations.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 compensation cost for share-based payment transactions in the financial statements under the provisions of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Restricted stock awards, performance stock awards, and director stock units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deferrals into the Nonemployee Director Deferred Compensation Plan (the “Director Plan”) are valued based on the fair value of our common stock on the grant date. We review the values of our performance awards on a frequent and recurring basis and adjust those values based on the probability that the related performance metric will be satisfied. We utilize the Black-Scholes model in deriving the fair value estimates of our stock option awards that only have a service requirement, and we utilize the Monte Carlo simulation model to determine grant date fair value estimates of stock options also subject to a market condition.</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estimate forfeitures of all share-based awards at the time of grant, which are revised in subsequent periods if actual forfeitures differ from initial estimates. Forfeitures are estimated based on historical experience. If factors change causing different assumptions to be made in future periods, estimated compensation expense may differ significantly from that recorded in the current period.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as defined by ASC 718. In certain circumstances, such as when a performance award is subject to graded vesting, we apply the accelerated attribution method to recognize compensation cost related to our share-based payment awards.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these awards, including assumptions used in estimating the fair value of our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generally have a standard warranty term of five years. We accrue for the estimated amount of future warranty costs when the related revenue is recognized. Estimated future warranty costs are primarily based on historical experience of identified warranty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Any estimated or actual loss recoveries that offset our costs and payments are reflected as assets based on the timing of receipt of recovery.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fully self-insured for product warranty costs. Although we expect that historical activity will continue to be the best indicator of future warranty costs, there can be no assurance that future warranty costs will not exceed historical amounts. If actual future warranty or recall costs exceed recorded amounts, additional accruals may be required, which could have a material adverse impact on our results of operations and cash flow.</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sell certain service-type warranties that extend coverages for products beyond their base warranties. We account for service-type warranties as distinct performance obligations, allocate an appropriate amount of transaction price to these transactions,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including our expected margins and ability to leverage operating costs, liquidity, capital structure, capital expenditures, investments, share repurchases, and dividends; (b) external and internal forecasts projecting growth in our addressable market; (c) expectations about the impact of any changes in demand, including improvements in our end markets, as well as volatility, challenges, and uncertainty in general economic conditions; (d) expectations about volatility in raw material, purchased finished goods, and transportation costs as well as component and labor availability; (e) our ability to execute and realize benefits from initiatives related to streamlining our operations and integrating recent acquisitions, realize synergies from acquisitions, capitalize on growth opportunities, introduce innovative products and services, and realize benefits from sustainability initiatives; (f) our estimate of our future results of operations and cash flows; (g) our estimate of future amortization expense; (h) the impact of future product warranty and recall costs; (i) our ability to achieve our long-term financial goals and measures; (j) the impact of changes in the political landscape and related policy changes, including monetary, regulatory, tax, and trade policies; (k) our expectations about the resolution of legal matters; (l) our expectations of the impact of the ongoing COVID-19 pandemic and the conflict between Russia and Ukraine; (m) our human capital initiatives; and (n) our ability to reduce our carbon output and seize market opportunities related to sustainability. You are cautioned not to place undue reliance on any forward looking statements, which speak only as of the date of this annual report. Except as required by law, we undertake no obligation to publicly update or release any revisions to these forward-looking statements to reflect any events or circumstances after the date of this annual report or to reflect the occurrence of unanticipated events. Our forward-looking statements are subject to certain risks and uncertainties that could cause actual results to differ materially from the historical experience of the organization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that have affected us as a company.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this Annual Report on Form 10-K, and are specifically incorporated herein by reference.</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industry and market data contained in this report are based either on management’s own estimates or, where indicated, independent industry publications, reports by governmental agencies, or market research firms or other published independent sources and, in each case, are believed by our management to be reasonable estimates. However,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We have not independently verified market and industry data from third-party sources.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Stockholders' Equity </w:t>
      </w:r>
      <w:r>
        <w:rPr>
          <w:rFonts w:ascii="Arial" w:cs="Arial" w:eastAsia="Arial" w:hAnsi="Arial"/>
          <w:sz w:val="18"/>
          <w:szCs w:val="18"/>
          <w:color w:val="auto"/>
        </w:rPr>
        <w:t>due primarily to changing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exchange rates. We do not currently engage in significant commodity hedging transactions for raw materials. The following discussion provides additional information regarding our market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Interest rate fluctuations expose variable-rate debt of the organization to changes in interest expense and cash flows. As of August 31, 2022, our long-term debt consisted primarily of fixed-rate senior unsecured notes. A fluctuation in interest rates would not affect interest expense or cash flows related to the Company’s fixed-rate debt. However, a 10% increase in market interest rates at August 31, 2022 would have decreased the estimated fair value of our senior unsecured notes by approximately $14.9 million. Additionally, as of August 31, 2022, we had $18.0 million of borrowings outstanding on our credit facility. Interest incurred on these borrowings is not significant to our overall results of operations.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contained in this Form 10-K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net sales, expense, and capital purchases are transacted in U.S. dollars. However, exposure with respect to foreign exchange rate fluctuation exists due to our operations in Mexico and Canada, where a significant portion of products sold are produced or sourced from the United States, and, to a lesser extent, in Europe. Based on fiscal 2022 performance, a hypothetical decline in the value of the Canadian dollar in relation to the U.S. dollar of 10% would negatively impact operating profit by approximately $ 13 million, while a hypothetical appreciation of 10% in the value of the Canadian dollar in relation to the U.S. dollar would favorably impact operating profit by approximately $16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$15 million, while a hypothetical increase of 10% in the value of the Mexican peso in relation to the U.S. dollar would negatively impact operating profits by approximately $18 million. The individual impacts to the operating profit of hypothetical currency fluctuations in the Canadian dollar and Mexican peso have been calculated in isolation from any potential responses to address such exchange rate changes in our foreign markets.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480" w:type="dxa"/>
            <w:vAlign w:val="bottom"/>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Page</w:t>
            </w:r>
          </w:p>
        </w:tc>
      </w:tr>
      <w:tr>
        <w:trPr>
          <w:trHeight w:val="218"/>
        </w:trPr>
        <w:tc>
          <w:tcPr>
            <w:tcW w:w="10480" w:type="dxa"/>
            <w:vAlign w:val="bottom"/>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720" w:type="dxa"/>
            <w:vAlign w:val="bottom"/>
          </w:tcPr>
          <w:p>
            <w:pPr>
              <w:jc w:val="right"/>
              <w:spacing w:after="0"/>
              <w:rPr>
                <w:sz w:val="20"/>
                <w:szCs w:val="20"/>
                <w:color w:val="auto"/>
              </w:rPr>
            </w:pPr>
            <w:r>
              <w:rPr>
                <w:rFonts w:ascii="Arial" w:cs="Arial" w:eastAsia="Arial" w:hAnsi="Arial"/>
                <w:sz w:val="18"/>
                <w:szCs w:val="18"/>
                <w:color w:val="0000FF"/>
              </w:rPr>
              <w:t>30</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0000FF"/>
              </w:rPr>
              <w:t>31</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Balance Sheets as of August 31, 2022 and 2021</w:t>
            </w:r>
          </w:p>
        </w:tc>
        <w:tc>
          <w:tcPr>
            <w:tcW w:w="720" w:type="dxa"/>
            <w:vAlign w:val="bottom"/>
          </w:tcPr>
          <w:p>
            <w:pPr>
              <w:jc w:val="right"/>
              <w:spacing w:after="0"/>
              <w:rPr>
                <w:sz w:val="20"/>
                <w:szCs w:val="20"/>
                <w:color w:val="auto"/>
              </w:rPr>
            </w:pPr>
            <w:r>
              <w:rPr>
                <w:rFonts w:ascii="Arial" w:cs="Arial" w:eastAsia="Arial" w:hAnsi="Arial"/>
                <w:sz w:val="18"/>
                <w:szCs w:val="18"/>
                <w:color w:val="0000FF"/>
              </w:rPr>
              <w:t>34</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Comprehensive Income for the years ended August 31, 2022, 2021, and 2020</w:t>
            </w:r>
          </w:p>
        </w:tc>
        <w:tc>
          <w:tcPr>
            <w:tcW w:w="720" w:type="dxa"/>
            <w:vAlign w:val="bottom"/>
          </w:tcPr>
          <w:p>
            <w:pPr>
              <w:jc w:val="right"/>
              <w:spacing w:after="0"/>
              <w:rPr>
                <w:sz w:val="20"/>
                <w:szCs w:val="20"/>
                <w:color w:val="auto"/>
              </w:rPr>
            </w:pPr>
            <w:r>
              <w:rPr>
                <w:rFonts w:ascii="Arial" w:cs="Arial" w:eastAsia="Arial" w:hAnsi="Arial"/>
                <w:sz w:val="18"/>
                <w:szCs w:val="18"/>
                <w:color w:val="0000FF"/>
              </w:rPr>
              <w:t>35</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August 31, 2022, 2021, and 2020</w:t>
            </w:r>
          </w:p>
        </w:tc>
        <w:tc>
          <w:tcPr>
            <w:tcW w:w="720" w:type="dxa"/>
            <w:vAlign w:val="bottom"/>
          </w:tcPr>
          <w:p>
            <w:pPr>
              <w:jc w:val="right"/>
              <w:spacing w:after="0"/>
              <w:rPr>
                <w:sz w:val="20"/>
                <w:szCs w:val="20"/>
                <w:color w:val="auto"/>
              </w:rPr>
            </w:pPr>
            <w:r>
              <w:rPr>
                <w:rFonts w:ascii="Arial" w:cs="Arial" w:eastAsia="Arial" w:hAnsi="Arial"/>
                <w:sz w:val="18"/>
                <w:szCs w:val="18"/>
                <w:color w:val="0000FF"/>
              </w:rPr>
              <w:t>36</w:t>
            </w:r>
          </w:p>
        </w:tc>
      </w:tr>
      <w:tr>
        <w:trPr>
          <w:trHeight w:val="229"/>
        </w:trPr>
        <w:tc>
          <w:tcPr>
            <w:tcW w:w="10480" w:type="dxa"/>
            <w:vAlign w:val="bottom"/>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2022, 2021, and 2020</w:t>
            </w:r>
          </w:p>
        </w:tc>
        <w:tc>
          <w:tcPr>
            <w:tcW w:w="720" w:type="dxa"/>
            <w:vAlign w:val="bottom"/>
          </w:tcPr>
          <w:p>
            <w:pPr>
              <w:jc w:val="right"/>
              <w:spacing w:after="0"/>
              <w:rPr>
                <w:sz w:val="20"/>
                <w:szCs w:val="20"/>
                <w:color w:val="auto"/>
              </w:rPr>
            </w:pPr>
            <w:r>
              <w:rPr>
                <w:rFonts w:ascii="Arial" w:cs="Arial" w:eastAsia="Arial" w:hAnsi="Arial"/>
                <w:sz w:val="18"/>
                <w:szCs w:val="18"/>
                <w:color w:val="0000FF"/>
              </w:rPr>
              <w:t>37</w:t>
            </w: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 — Description of Business and Basis of Presentation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2 — Significant Accounting Policies</w:t>
            </w:r>
          </w:p>
        </w:tc>
        <w:tc>
          <w:tcPr>
            <w:tcW w:w="720" w:type="dxa"/>
            <w:vAlign w:val="bottom"/>
          </w:tcPr>
          <w:p>
            <w:pPr>
              <w:jc w:val="right"/>
              <w:spacing w:after="0"/>
              <w:rPr>
                <w:sz w:val="20"/>
                <w:szCs w:val="20"/>
                <w:color w:val="auto"/>
              </w:rPr>
            </w:pPr>
            <w:r>
              <w:rPr>
                <w:rFonts w:ascii="Arial" w:cs="Arial" w:eastAsia="Arial" w:hAnsi="Arial"/>
                <w:sz w:val="18"/>
                <w:szCs w:val="18"/>
                <w:color w:val="0000FF"/>
              </w:rPr>
              <w:t>39</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3 — New Accounting Pronouncements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4 — Acquisitions</w:t>
            </w:r>
          </w:p>
        </w:tc>
        <w:tc>
          <w:tcPr>
            <w:tcW w:w="72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5 — Fair Value Measurements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48</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6 — Leases</w:t>
            </w:r>
          </w:p>
        </w:tc>
        <w:tc>
          <w:tcPr>
            <w:tcW w:w="72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7 — Debt and Lines of Credit</w:t>
            </w:r>
          </w:p>
        </w:tc>
        <w:tc>
          <w:tcPr>
            <w:tcW w:w="720" w:type="dxa"/>
            <w:vAlign w:val="bottom"/>
          </w:tcPr>
          <w:p>
            <w:pPr>
              <w:jc w:val="right"/>
              <w:spacing w:after="0"/>
              <w:rPr>
                <w:sz w:val="20"/>
                <w:szCs w:val="20"/>
                <w:color w:val="auto"/>
              </w:rPr>
            </w:pPr>
            <w:r>
              <w:rPr>
                <w:rFonts w:ascii="Arial" w:cs="Arial" w:eastAsia="Arial" w:hAnsi="Arial"/>
                <w:sz w:val="18"/>
                <w:szCs w:val="18"/>
                <w:color w:val="0000FF"/>
              </w:rPr>
              <w:t>51</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8 — Commitments and Contingencies</w:t>
            </w:r>
          </w:p>
        </w:tc>
        <w:tc>
          <w:tcPr>
            <w:tcW w:w="720" w:type="dxa"/>
            <w:vAlign w:val="bottom"/>
          </w:tcPr>
          <w:p>
            <w:pPr>
              <w:jc w:val="right"/>
              <w:spacing w:after="0"/>
              <w:rPr>
                <w:sz w:val="20"/>
                <w:szCs w:val="20"/>
                <w:color w:val="auto"/>
              </w:rPr>
            </w:pPr>
            <w:r>
              <w:rPr>
                <w:rFonts w:ascii="Arial" w:cs="Arial" w:eastAsia="Arial" w:hAnsi="Arial"/>
                <w:sz w:val="18"/>
                <w:szCs w:val="18"/>
                <w:color w:val="0000FF"/>
              </w:rPr>
              <w:t>52</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9 — Segment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10 — Revenue Recognition</w:t>
            </w:r>
          </w:p>
        </w:tc>
        <w:tc>
          <w:tcPr>
            <w:tcW w:w="720" w:type="dxa"/>
            <w:vAlign w:val="bottom"/>
          </w:tcPr>
          <w:p>
            <w:pPr>
              <w:jc w:val="right"/>
              <w:spacing w:after="0"/>
              <w:rPr>
                <w:sz w:val="20"/>
                <w:szCs w:val="20"/>
                <w:color w:val="auto"/>
              </w:rPr>
            </w:pPr>
            <w:r>
              <w:rPr>
                <w:rFonts w:ascii="Arial" w:cs="Arial" w:eastAsia="Arial" w:hAnsi="Arial"/>
                <w:sz w:val="18"/>
                <w:szCs w:val="18"/>
                <w:color w:val="0000FF"/>
              </w:rPr>
              <w:t>56</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11 — Share-based Payments</w:t>
            </w:r>
          </w:p>
        </w:tc>
        <w:tc>
          <w:tcPr>
            <w:tcW w:w="72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29"/>
        </w:trPr>
        <w:tc>
          <w:tcPr>
            <w:tcW w:w="10480" w:type="dxa"/>
            <w:vAlign w:val="bottom"/>
          </w:tcPr>
          <w:p>
            <w:pPr>
              <w:ind w:left="200"/>
              <w:spacing w:after="0"/>
              <w:rPr>
                <w:sz w:val="20"/>
                <w:szCs w:val="20"/>
                <w:color w:val="auto"/>
              </w:rPr>
            </w:pPr>
            <w:r>
              <w:rPr>
                <w:rFonts w:ascii="Arial" w:cs="Arial" w:eastAsia="Arial" w:hAnsi="Arial"/>
                <w:sz w:val="18"/>
                <w:szCs w:val="18"/>
                <w:color w:val="0000FF"/>
              </w:rPr>
              <w:t>Note 12 — Pension and Defined Contribution Plans</w:t>
            </w:r>
          </w:p>
        </w:tc>
        <w:tc>
          <w:tcPr>
            <w:tcW w:w="720" w:type="dxa"/>
            <w:vAlign w:val="bottom"/>
          </w:tcPr>
          <w:p>
            <w:pPr>
              <w:jc w:val="right"/>
              <w:spacing w:after="0"/>
              <w:rPr>
                <w:sz w:val="20"/>
                <w:szCs w:val="20"/>
                <w:color w:val="auto"/>
              </w:rPr>
            </w:pPr>
            <w:r>
              <w:rPr>
                <w:rFonts w:ascii="Arial" w:cs="Arial" w:eastAsia="Arial" w:hAnsi="Arial"/>
                <w:sz w:val="18"/>
                <w:szCs w:val="18"/>
                <w:color w:val="0000FF"/>
              </w:rPr>
              <w:t>62</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13 — Common Stock and Related Matters</w:t>
            </w:r>
          </w:p>
        </w:tc>
        <w:tc>
          <w:tcPr>
            <w:tcW w:w="720" w:type="dxa"/>
            <w:vAlign w:val="bottom"/>
          </w:tcPr>
          <w:p>
            <w:pPr>
              <w:jc w:val="right"/>
              <w:spacing w:after="0"/>
              <w:rPr>
                <w:sz w:val="20"/>
                <w:szCs w:val="20"/>
                <w:color w:val="auto"/>
              </w:rPr>
            </w:pPr>
            <w:r>
              <w:rPr>
                <w:rFonts w:ascii="Arial" w:cs="Arial" w:eastAsia="Arial" w:hAnsi="Arial"/>
                <w:sz w:val="18"/>
                <w:szCs w:val="18"/>
                <w:color w:val="0000FF"/>
              </w:rPr>
              <w:t>68</w:t>
            </w:r>
          </w:p>
        </w:tc>
      </w:tr>
      <w:tr>
        <w:trPr>
          <w:trHeight w:val="230"/>
        </w:trPr>
        <w:tc>
          <w:tcPr>
            <w:tcW w:w="10480" w:type="dxa"/>
            <w:vAlign w:val="bottom"/>
          </w:tcPr>
          <w:p>
            <w:pPr>
              <w:ind w:left="200"/>
              <w:spacing w:after="0"/>
              <w:rPr>
                <w:sz w:val="20"/>
                <w:szCs w:val="20"/>
                <w:color w:val="auto"/>
              </w:rPr>
            </w:pPr>
            <w:r>
              <w:rPr>
                <w:rFonts w:ascii="Arial" w:cs="Arial" w:eastAsia="Arial" w:hAnsi="Arial"/>
                <w:sz w:val="18"/>
                <w:szCs w:val="18"/>
                <w:color w:val="0000FF"/>
              </w:rPr>
              <w:t>Note 14 — Income Taxes</w:t>
            </w:r>
          </w:p>
        </w:tc>
        <w:tc>
          <w:tcPr>
            <w:tcW w:w="720" w:type="dxa"/>
            <w:vAlign w:val="bottom"/>
          </w:tcPr>
          <w:p>
            <w:pPr>
              <w:jc w:val="right"/>
              <w:spacing w:after="0"/>
              <w:rPr>
                <w:sz w:val="20"/>
                <w:szCs w:val="20"/>
                <w:color w:val="auto"/>
              </w:rPr>
            </w:pPr>
            <w:r>
              <w:rPr>
                <w:rFonts w:ascii="Arial" w:cs="Arial" w:eastAsia="Arial" w:hAnsi="Arial"/>
                <w:sz w:val="18"/>
                <w:szCs w:val="18"/>
                <w:color w:val="0000FF"/>
              </w:rPr>
              <w:t>70</w:t>
            </w:r>
          </w:p>
        </w:tc>
      </w:tr>
      <w:tr>
        <w:trPr>
          <w:trHeight w:val="239"/>
        </w:trPr>
        <w:tc>
          <w:tcPr>
            <w:tcW w:w="10480" w:type="dxa"/>
            <w:vAlign w:val="bottom"/>
          </w:tcPr>
          <w:p>
            <w:pPr>
              <w:ind w:left="200"/>
              <w:spacing w:after="0"/>
              <w:rPr>
                <w:sz w:val="20"/>
                <w:szCs w:val="20"/>
                <w:color w:val="auto"/>
              </w:rPr>
            </w:pPr>
            <w:r>
              <w:rPr>
                <w:rFonts w:ascii="Arial" w:cs="Arial" w:eastAsia="Arial" w:hAnsi="Arial"/>
                <w:sz w:val="18"/>
                <w:szCs w:val="18"/>
                <w:color w:val="0000FF"/>
              </w:rPr>
              <w:t>Note 15 — Supplemental Disaggregated Information</w:t>
            </w:r>
          </w:p>
        </w:tc>
        <w:tc>
          <w:tcPr>
            <w:tcW w:w="720" w:type="dxa"/>
            <w:vAlign w:val="bottom"/>
          </w:tcPr>
          <w:p>
            <w:pPr>
              <w:jc w:val="right"/>
              <w:spacing w:after="0"/>
              <w:rPr>
                <w:sz w:val="20"/>
                <w:szCs w:val="20"/>
                <w:color w:val="auto"/>
              </w:rPr>
            </w:pPr>
            <w:r>
              <w:rPr>
                <w:rFonts w:ascii="Arial" w:cs="Arial" w:eastAsia="Arial" w:hAnsi="Arial"/>
                <w:sz w:val="18"/>
                <w:szCs w:val="18"/>
                <w:color w:val="0000FF"/>
              </w:rPr>
              <w:t>72</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August 31, 2022.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Framework)</w:t>
      </w:r>
      <w:r>
        <w:rPr>
          <w:rFonts w:ascii="Arial" w:cs="Arial" w:eastAsia="Arial" w:hAnsi="Arial"/>
          <w:sz w:val="18"/>
          <w:szCs w:val="18"/>
          <w:color w:val="auto"/>
        </w:rPr>
        <w:t>. Based on this assessment, management believes that, as of August 31, 2022, the Company’s internal control over financial reporting is effective.</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Ernst &amp; Young LLP (PCAOB ID: 42), the Company’s independent registered public accounting firm, has issued an audit report on its audit of the Company’s internal control over financial reporting. This report dated October 26, 2022 is included within this Form 10-K.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gridSpan w:val="2"/>
          </w:tcPr>
          <w:p>
            <w:pPr>
              <w:ind w:left="2000"/>
              <w:spacing w:after="0"/>
              <w:rPr>
                <w:sz w:val="20"/>
                <w:szCs w:val="20"/>
                <w:color w:val="auto"/>
              </w:rPr>
            </w:pPr>
            <w:r>
              <w:rPr>
                <w:rFonts w:ascii="Arial" w:cs="Arial" w:eastAsia="Arial" w:hAnsi="Arial"/>
                <w:sz w:val="18"/>
                <w:szCs w:val="18"/>
                <w:color w:val="auto"/>
              </w:rPr>
              <w:t>/s/ NEIL M. ASHE</w:t>
            </w:r>
          </w:p>
        </w:tc>
        <w:tc>
          <w:tcPr>
            <w:tcW w:w="5460" w:type="dxa"/>
            <w:vAlign w:val="bottom"/>
          </w:tcPr>
          <w:p>
            <w:pPr>
              <w:jc w:val="center"/>
              <w:spacing w:after="0"/>
              <w:rPr>
                <w:sz w:val="20"/>
                <w:szCs w:val="20"/>
                <w:color w:val="auto"/>
              </w:rPr>
            </w:pPr>
            <w:r>
              <w:rPr>
                <w:rFonts w:ascii="Arial" w:cs="Arial" w:eastAsia="Arial" w:hAnsi="Arial"/>
                <w:sz w:val="18"/>
                <w:szCs w:val="18"/>
                <w:color w:val="auto"/>
              </w:rPr>
              <w:t>/s/ KAREN J. HOLCOM</w:t>
            </w:r>
          </w:p>
        </w:tc>
      </w:tr>
      <w:tr>
        <w:trPr>
          <w:trHeight w:val="169"/>
        </w:trPr>
        <w:tc>
          <w:tcPr>
            <w:tcW w:w="5440" w:type="dxa"/>
            <w:vAlign w:val="bottom"/>
            <w:tcBorders>
              <w:top w:val="single" w:sz="8" w:color="auto"/>
            </w:tcBorders>
          </w:tcPr>
          <w:p>
            <w:pPr>
              <w:jc w:val="center"/>
              <w:ind w:left="70"/>
              <w:spacing w:after="0" w:line="169" w:lineRule="exact"/>
              <w:rPr>
                <w:sz w:val="20"/>
                <w:szCs w:val="20"/>
                <w:color w:val="auto"/>
              </w:rPr>
            </w:pPr>
            <w:r>
              <w:rPr>
                <w:rFonts w:ascii="Arial" w:cs="Arial" w:eastAsia="Arial" w:hAnsi="Arial"/>
                <w:sz w:val="18"/>
                <w:szCs w:val="18"/>
                <w:b w:val="1"/>
                <w:bCs w:val="1"/>
                <w:color w:val="auto"/>
              </w:rPr>
              <w:t>Neil M. Ashe</w:t>
            </w:r>
          </w:p>
        </w:tc>
        <w:tc>
          <w:tcPr>
            <w:tcW w:w="340" w:type="dxa"/>
            <w:vAlign w:val="bottom"/>
          </w:tcPr>
          <w:p>
            <w:pPr>
              <w:spacing w:after="0"/>
              <w:rPr>
                <w:sz w:val="14"/>
                <w:szCs w:val="14"/>
                <w:color w:val="auto"/>
              </w:rPr>
            </w:pPr>
          </w:p>
        </w:tc>
        <w:tc>
          <w:tcPr>
            <w:tcW w:w="5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Karen J. Holcom</w:t>
            </w:r>
          </w:p>
        </w:tc>
      </w:tr>
      <w:tr>
        <w:trPr>
          <w:trHeight w:val="176"/>
        </w:trPr>
        <w:tc>
          <w:tcPr>
            <w:tcW w:w="578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Chairman, President and</w:t>
            </w:r>
          </w:p>
        </w:tc>
        <w:tc>
          <w:tcPr>
            <w:tcW w:w="5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Senior Vice President and</w:t>
            </w:r>
          </w:p>
        </w:tc>
      </w:tr>
      <w:tr>
        <w:trPr>
          <w:trHeight w:val="247"/>
        </w:trPr>
        <w:tc>
          <w:tcPr>
            <w:tcW w:w="5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Chief Executive Officer</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2022 and 2021, the related consolidated statements of comprehensive income, cash flows and stockholders’ equity for each of the three years in the period ended August 31, 2022, and the related notes (collectively referred to as the “consolidated financial statements”). In our opinion, the consolidated financial statements present fairly, in all material respects, the financial position of the Company at August 31, 2022 and 2021, and the results of its operations and its cash flows for each of the three years in the period ended August 31, 2022, in conformity with U.S. generally accepted accounting principles.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August 31, 2022,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26, 2022 expressed an unqualified opinion thereon.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Arial" w:cs="Arial" w:eastAsia="Arial" w:hAnsi="Arial"/>
          <w:sz w:val="17"/>
          <w:szCs w:val="17"/>
          <w:b w:val="1"/>
          <w:bCs w:val="1"/>
          <w:i w:val="1"/>
          <w:iCs w:val="1"/>
          <w:color w:val="auto"/>
        </w:rPr>
        <w:t>Valuation of Indefinite-Lived Trade Names</w:t>
      </w:r>
    </w:p>
    <w:p>
      <w:pPr>
        <w:sectPr>
          <w:pgSz w:w="11900" w:h="16838" w:orient="portrait"/>
          <w:cols w:equalWidth="0" w:num="1">
            <w:col w:w="11200"/>
          </w:cols>
          <w:pgMar w:left="320" w:top="242" w:right="379" w:bottom="1440" w:gutter="0" w:footer="0" w:header="0"/>
        </w:sectPr>
      </w:pPr>
    </w:p>
    <w:p>
      <w:pPr>
        <w:spacing w:after="0" w:line="291" w:lineRule="exact"/>
        <w:rPr>
          <w:sz w:val="20"/>
          <w:szCs w:val="20"/>
          <w:color w:val="auto"/>
        </w:rPr>
      </w:pPr>
    </w:p>
    <w:p>
      <w:pPr>
        <w:ind w:left="40"/>
        <w:spacing w:after="0" w:line="285"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August 31, 2022, the Company’s indefinite-lived intangible assets consisted of thirteen trade names with an aggregate carrying value of approximately $173.7 million. As explained in Note 2 to the consolidated financial statements, the Company tests indefinite-lived trade names for impairment on an annual basis or more frequently if an event occurs or circumstances change that would more likely than not indicate that the fair value of the indefinite-lived trade name is below its carrying amount. If the carrying amount exceeds the estimated fair value, an impairment loss would be recorded in the amount equal to the excess.</w:t>
      </w:r>
    </w:p>
    <w:p>
      <w:pPr>
        <w:spacing w:after="0" w:line="196" w:lineRule="exact"/>
        <w:rPr>
          <w:sz w:val="20"/>
          <w:szCs w:val="20"/>
          <w:color w:val="auto"/>
        </w:rPr>
      </w:pPr>
    </w:p>
    <w:p>
      <w:pPr>
        <w:sectPr>
          <w:pgSz w:w="11900" w:h="16838" w:orient="portrait"/>
          <w:cols w:equalWidth="0" w:num="2">
            <w:col w:w="1440" w:space="160"/>
            <w:col w:w="9600"/>
          </w:cols>
          <w:pgMar w:left="320" w:top="242" w:right="379" w:bottom="1440" w:gutter="0" w:footer="0" w:header="0"/>
          <w:type w:val="continuous"/>
        </w:sectPr>
      </w:pPr>
    </w:p>
    <w:p>
      <w:pPr>
        <w:jc w:val="both"/>
        <w:ind w:left="1600"/>
        <w:spacing w:after="0" w:line="257" w:lineRule="auto"/>
        <w:rPr>
          <w:sz w:val="20"/>
          <w:szCs w:val="20"/>
          <w:color w:val="auto"/>
        </w:rPr>
      </w:pPr>
      <w:r>
        <w:rPr>
          <w:rFonts w:ascii="Arial" w:cs="Arial" w:eastAsia="Arial" w:hAnsi="Arial"/>
          <w:sz w:val="18"/>
          <w:szCs w:val="18"/>
          <w:color w:val="auto"/>
        </w:rPr>
        <w:t>Auditing the Company’s impairment tests for indefinite-lived trade names was especially complex due to the judgmental nature of the significant assumptions used in the determination of estimated fair values for trade names. The Company estimates the fair values of trade names using a fair value model based on discounted future cash flows. Significant assumptions used to estimate the value of the trade names included estimated future net sales (including short- and long-term growth rates), discount rates and royalty rates, all of which are forward-looking and could be affected by economic, industry and company-specific qualitative factors.</w:t>
      </w:r>
    </w:p>
    <w:p>
      <w:pPr>
        <w:spacing w:after="0" w:line="250" w:lineRule="exact"/>
        <w:rPr>
          <w:sz w:val="20"/>
          <w:szCs w:val="20"/>
          <w:color w:val="auto"/>
        </w:rPr>
      </w:pPr>
    </w:p>
    <w:p>
      <w:pPr>
        <w:ind w:left="40"/>
        <w:spacing w:after="0" w:line="263" w:lineRule="auto"/>
        <w:rPr>
          <w:sz w:val="20"/>
          <w:szCs w:val="20"/>
          <w:color w:val="auto"/>
        </w:rPr>
      </w:pPr>
      <w:r>
        <w:rPr>
          <w:rFonts w:ascii="Arial" w:cs="Arial" w:eastAsia="Arial" w:hAnsi="Arial"/>
          <w:sz w:val="18"/>
          <w:szCs w:val="18"/>
          <w:i w:val="1"/>
          <w:iCs w:val="1"/>
          <w:color w:val="auto"/>
        </w:rPr>
        <w:t xml:space="preserve">How We </w:t>
      </w:r>
      <w:r>
        <w:rPr>
          <w:rFonts w:ascii="Arial" w:cs="Arial" w:eastAsia="Arial" w:hAnsi="Arial"/>
          <w:sz w:val="18"/>
          <w:szCs w:val="18"/>
          <w:color w:val="auto"/>
        </w:rPr>
        <w:t>We obtained an understanding, evaluated the design and tested the operating effectiveness of controls over the</w:t>
      </w:r>
      <w:r>
        <w:rPr>
          <w:rFonts w:ascii="Arial" w:cs="Arial" w:eastAsia="Arial" w:hAnsi="Arial"/>
          <w:sz w:val="18"/>
          <w:szCs w:val="18"/>
          <w:i w:val="1"/>
          <w:iCs w:val="1"/>
          <w:color w:val="auto"/>
        </w:rPr>
        <w:t xml:space="preserve"> Addressed the </w:t>
      </w:r>
      <w:r>
        <w:rPr>
          <w:rFonts w:ascii="Arial" w:cs="Arial" w:eastAsia="Arial" w:hAnsi="Arial"/>
          <w:sz w:val="18"/>
          <w:szCs w:val="18"/>
          <w:color w:val="auto"/>
        </w:rPr>
        <w:t>Company’s annual impairment process. This included testing controls over management’s review of the discounted cash</w:t>
      </w:r>
    </w:p>
    <w:p>
      <w:pPr>
        <w:sectPr>
          <w:pgSz w:w="11900" w:h="16838" w:orient="portrait"/>
          <w:cols w:equalWidth="0" w:num="1">
            <w:col w:w="11200"/>
          </w:cols>
          <w:pgMar w:left="320" w:top="242" w:right="37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Matter in Our Audit </w:t>
      </w:r>
      <w:r>
        <w:rPr>
          <w:rFonts w:ascii="Arial" w:cs="Arial" w:eastAsia="Arial" w:hAnsi="Arial"/>
          <w:sz w:val="18"/>
          <w:szCs w:val="18"/>
          <w:color w:val="auto"/>
        </w:rPr>
        <w:t>flow model, including the significant assumptions described above.</w:t>
      </w:r>
    </w:p>
    <w:p>
      <w:pPr>
        <w:spacing w:after="0" w:line="216" w:lineRule="exact"/>
        <w:rPr>
          <w:sz w:val="20"/>
          <w:szCs w:val="20"/>
          <w:color w:val="auto"/>
        </w:rPr>
      </w:pPr>
    </w:p>
    <w:p>
      <w:pPr>
        <w:jc w:val="both"/>
        <w:ind w:left="1600"/>
        <w:spacing w:after="0" w:line="256" w:lineRule="auto"/>
        <w:rPr>
          <w:sz w:val="20"/>
          <w:szCs w:val="20"/>
          <w:color w:val="auto"/>
        </w:rPr>
      </w:pPr>
      <w:r>
        <w:rPr>
          <w:rFonts w:ascii="Arial" w:cs="Arial" w:eastAsia="Arial" w:hAnsi="Arial"/>
          <w:sz w:val="18"/>
          <w:szCs w:val="18"/>
          <w:color w:val="auto"/>
        </w:rPr>
        <w:t>To test the fair values of the Company’s indefinite-lived trade names, our audit procedures included, among others, evaluating the Company’s use of the discounted cash flow model, the completeness and accuracy of the underlying data and the significant assumptions described above. We compared the significant assumptions to current industry, market and economic trends, the Company’s historical results and other relevant factors. We involved our valuation specialists to assist in evaluating the Company’s discount rates and royalty rates. In addition, we considered the accuracy of the Company’s historical projections of net sales compared to actual net sales. We also performed a sensitivity analysis to evaluate the potential change in the fair values of the trade names resulting from changes in the significant assumptions.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audited Acuity Brands, Inc.’s internal control over financial reporting as of August 31, 2022,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(2013 framework) (the</w:t>
      </w:r>
      <w:r>
        <w:rPr>
          <w:rFonts w:ascii="Arial" w:cs="Arial" w:eastAsia="Arial" w:hAnsi="Arial"/>
          <w:sz w:val="18"/>
          <w:szCs w:val="18"/>
          <w:i w:val="1"/>
          <w:iCs w:val="1"/>
          <w:color w:val="auto"/>
        </w:rPr>
        <w:t xml:space="preserve"> </w:t>
      </w:r>
      <w:r>
        <w:rPr>
          <w:rFonts w:ascii="Arial" w:cs="Arial" w:eastAsia="Arial" w:hAnsi="Arial"/>
          <w:sz w:val="18"/>
          <w:szCs w:val="18"/>
          <w:color w:val="auto"/>
        </w:rPr>
        <w:t>COSO criteria). In our opinion, Acuity Brands, Inc. (the Company) maintained, in all material respects, effective internal control over financial reporting as of August 31, 2022, based on the COSO criteria.</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2022 and 2021, the related consolidated statements of comprehensive income, cash flows and stockholders’ equity for each of the three years in the period ended August 31, 2022, and the related notes and our report dated October 26, 2022 expressed an unqualified opinion thereon.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26, 2022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2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r>
      <w:tr>
        <w:trPr>
          <w:trHeight w:val="198"/>
        </w:trPr>
        <w:tc>
          <w:tcPr>
            <w:tcW w:w="86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$1.2 and $1.2, respectively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665.9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571.8</w:t>
            </w: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r>
      <w:tr>
        <w:trPr>
          <w:trHeight w:val="198"/>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r>
      <w:tr>
        <w:trPr>
          <w:trHeight w:val="200"/>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w:t>
            </w: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269.1</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1,084.3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1,094.7</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200"/>
        </w:trPr>
        <w:tc>
          <w:tcPr>
            <w:tcW w:w="86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r>
      <w:tr>
        <w:trPr>
          <w:trHeight w:val="198"/>
        </w:trPr>
        <w:tc>
          <w:tcPr>
            <w:tcW w:w="86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98"/>
        </w:trPr>
        <w:tc>
          <w:tcPr>
            <w:tcW w:w="86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92"/>
        </w:trPr>
        <w:tc>
          <w:tcPr>
            <w:tcW w:w="86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692.2</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w:t>
            </w:r>
          </w:p>
        </w:tc>
      </w:tr>
      <w:tr>
        <w:trPr>
          <w:trHeight w:val="192"/>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1,530.6</w:t>
            </w:r>
          </w:p>
        </w:tc>
      </w:tr>
      <w:tr>
        <w:trPr>
          <w:trHeight w:val="18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680" w:type="dxa"/>
            <w:vAlign w:val="bottom"/>
          </w:tcPr>
          <w:p>
            <w:pPr>
              <w:ind w:left="140"/>
              <w:spacing w:after="0"/>
              <w:rPr>
                <w:sz w:val="20"/>
                <w:szCs w:val="20"/>
                <w:color w:val="auto"/>
              </w:rPr>
            </w:pPr>
            <w:r>
              <w:rPr>
                <w:rFonts w:ascii="Arial" w:cs="Arial" w:eastAsia="Arial" w:hAnsi="Arial"/>
                <w:sz w:val="14"/>
                <w:szCs w:val="14"/>
                <w:color w:val="auto"/>
              </w:rPr>
              <w:t>Common stock, $0.01 par value; 500,000,000 shares authorized; 54,241,069 and 54,018,978 issued, respectively</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995.6</w:t>
            </w:r>
          </w:p>
        </w:tc>
      </w:tr>
      <w:tr>
        <w:trPr>
          <w:trHeight w:val="198"/>
        </w:trPr>
        <w:tc>
          <w:tcPr>
            <w:tcW w:w="86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2,810.3</w:t>
            </w:r>
          </w:p>
        </w:tc>
      </w:tr>
      <w:tr>
        <w:trPr>
          <w:trHeight w:val="207"/>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98"/>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 21,753,820 and 18,826,611 shares, respectively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(1,663.7)</w:t>
            </w:r>
          </w:p>
        </w:tc>
      </w:tr>
      <w:tr>
        <w:trPr>
          <w:trHeight w:val="19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2,044.5</w:t>
            </w:r>
          </w:p>
        </w:tc>
      </w:tr>
      <w:tr>
        <w:trPr>
          <w:trHeight w:val="200"/>
        </w:trPr>
        <w:tc>
          <w:tcPr>
            <w:tcW w:w="86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r>
      <w:tr>
        <w:trPr>
          <w:trHeight w:val="21"/>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per-share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3,326.3</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1,028.5</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9"/>
        </w:trPr>
        <w:tc>
          <w:tcPr>
            <w:tcW w:w="69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353.9</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9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46"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306.3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(Gain) loss on the sale or disposal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credit facility, net of repayments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Issuances of long-term debt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long-term debt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option exercises and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Payments of taxes withheld on net settlement of equity awards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Other financing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for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5"/>
        </w:trPr>
        <w:tc>
          <w:tcPr>
            <w:tcW w:w="764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Common Stock</w:t>
      </w:r>
    </w:p>
    <w:p>
      <w:pPr>
        <w:jc w:val="center"/>
        <w:ind w:right="-199"/>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8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36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8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40" w:type="dxa"/>
            <w:vAlign w:val="bottom"/>
          </w:tcPr>
          <w:p>
            <w:pPr>
              <w:spacing w:after="0"/>
              <w:rPr>
                <w:sz w:val="10"/>
                <w:szCs w:val="10"/>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 Items</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2019</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930.0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1,918.9</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248.3</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7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4"/>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2021</w:t>
            </w: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(98.2)</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(1,663.7)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71"/>
        </w:trPr>
        <w:tc>
          <w:tcPr>
            <w:tcW w:w="4880" w:type="dxa"/>
            <w:vAlign w:val="bottom"/>
          </w:tcPr>
          <w:p>
            <w:pPr>
              <w:ind w:left="140"/>
              <w:spacing w:after="0"/>
              <w:rPr>
                <w:sz w:val="20"/>
                <w:szCs w:val="20"/>
                <w:color w:val="auto"/>
              </w:rPr>
            </w:pPr>
            <w:r>
              <w:rPr>
                <w:rFonts w:ascii="Arial" w:cs="Arial" w:eastAsia="Arial" w:hAnsi="Arial"/>
                <w:sz w:val="13"/>
                <w:szCs w:val="13"/>
                <w:color w:val="auto"/>
              </w:rPr>
              <w:t>Stock options exercised</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(511.7)</w:t>
            </w:r>
          </w:p>
        </w:tc>
        <w:tc>
          <w:tcPr>
            <w:tcW w:w="0" w:type="dxa"/>
            <w:vAlign w:val="bottom"/>
          </w:tcPr>
          <w:p>
            <w:pPr>
              <w:spacing w:after="0"/>
              <w:rPr>
                <w:sz w:val="1"/>
                <w:szCs w:val="1"/>
                <w:color w:val="auto"/>
              </w:rPr>
            </w:pPr>
          </w:p>
        </w:tc>
      </w:tr>
      <w:tr>
        <w:trPr>
          <w:trHeight w:val="174"/>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2022</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1,036.3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OPTOTRONIC</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Principal customers of ABL include electrical distributors, retail home improvement centers, electric utilities, national accounts, </w:t>
      </w:r>
      <w:r>
        <w:rPr>
          <w:rFonts w:ascii="Arial" w:cs="Arial" w:eastAsia="Arial" w:hAnsi="Arial"/>
          <w:sz w:val="18"/>
          <w:szCs w:val="18"/>
          <w:color w:val="0E101A"/>
        </w:rPr>
        <w:t>original</w:t>
      </w:r>
      <w:r>
        <w:rPr>
          <w:rFonts w:ascii="Arial" w:cs="Arial" w:eastAsia="Arial" w:hAnsi="Arial"/>
          <w:sz w:val="18"/>
          <w:szCs w:val="18"/>
          <w:color w:val="auto"/>
        </w:rPr>
        <w:t xml:space="preserve"> </w:t>
      </w:r>
      <w:r>
        <w:rPr>
          <w:rFonts w:ascii="Arial" w:cs="Arial" w:eastAsia="Arial" w:hAnsi="Arial"/>
          <w:sz w:val="18"/>
          <w:szCs w:val="18"/>
          <w:color w:val="0E101A"/>
        </w:rPr>
        <w:t xml:space="preserve">equipment manufacturer (“OEM”) customers, </w:t>
      </w:r>
      <w:r>
        <w:rPr>
          <w:rFonts w:ascii="Arial" w:cs="Arial" w:eastAsia="Arial" w:hAnsi="Arial"/>
          <w:sz w:val="18"/>
          <w:szCs w:val="18"/>
          <w:color w:val="000000"/>
        </w:rPr>
        <w:t>digital retailers, lighting showrooms, and energy service companies located in North America</w:t>
      </w:r>
      <w:r>
        <w:rPr>
          <w:rFonts w:ascii="Arial" w:cs="Arial" w:eastAsia="Arial" w:hAnsi="Arial"/>
          <w:sz w:val="18"/>
          <w:szCs w:val="18"/>
          <w:color w:val="0E101A"/>
        </w:rPr>
        <w:t xml:space="preserve"> </w:t>
      </w:r>
      <w:r>
        <w:rPr>
          <w:rFonts w:ascii="Arial" w:cs="Arial" w:eastAsia="Arial" w:hAnsi="Arial"/>
          <w:sz w:val="18"/>
          <w:szCs w:val="18"/>
          <w:color w:val="000000"/>
        </w:rPr>
        <w:t>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ISG delivers products and services that make spaces smarter, safer, and greener. ISG offers a building management platform and location-aware applications. Our building management platform includes products for controlling heating, ventilation, and air conditioning (“HVAC”), lighting, shades, and building access that deliver end-to-end optimization of those building systems.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building software enhances the occupant experience, improves building system management, and automates labor intensive tasks while delivering operational energy efficiency and cost reductions. Through a connected and converged building system architecture,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multiple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Atrius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Inc. and its wholly-owned subsidiaries after elimination of intercompany transactions and accounts.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related to our revenue recognition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our estimate of expected credit losses over the contractual term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reserve is sufficient to cover uncollectible amounts; however, there can be no assurance that unanticipated future business conditions of customers will not have a negative impact on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lighting, lighting controls, building management systems, and location-aware applications as well as their dispersion across many different geographic areas. One customer accounted for approximately 10% of receivables at August 31, 2022 and at August 31, 2020. No single customer accounted for 10% of receivables at August 31, 2021. No single customer accounted for more than 10% of net sales in fiscal 2022, 2021, or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09"/>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264.0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excluding reserves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1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3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485.7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left="660" w:right="500" w:hanging="328"/>
        <w:spacing w:after="0" w:line="231" w:lineRule="auto"/>
        <w:tabs>
          <w:tab w:leader="none" w:pos="61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 The following table summarizes the changes in our inventory reserves for the periods presented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Additions to reserve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 of reserved inventory</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5"/>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and generally reflect balances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We did not have any assets classified as held for sale at August 31, 2022.</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year ended August 31, 2022, we sold one building classified as held for sale at August 31, 2021 with a total carrying value of $6.6 million for a gain of approximately $2.3 million. This gain is reflected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periods presented by segment are summarized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ISG</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Additions from acquired businesses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August 31, 2021</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1,094.7</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for our acquired intangible assets is as follows as of the dates presented (in millions except amortization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August 31,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spacing w:after="0"/>
              <w:rPr>
                <w:sz w:val="17"/>
                <w:szCs w:val="17"/>
                <w:color w:val="auto"/>
              </w:rPr>
            </w:pPr>
          </w:p>
        </w:tc>
      </w:tr>
      <w:tr>
        <w:trPr>
          <w:trHeight w:val="143"/>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34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Accumulated</w:t>
            </w:r>
          </w:p>
        </w:tc>
      </w:tr>
      <w:tr>
        <w:trPr>
          <w:trHeight w:val="189"/>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198"/>
        </w:trPr>
        <w:tc>
          <w:tcPr>
            <w:tcW w:w="4880" w:type="dxa"/>
            <w:vAlign w:val="bottom"/>
          </w:tcPr>
          <w:p>
            <w:pPr>
              <w:ind w:left="140"/>
              <w:spacing w:after="0"/>
              <w:rPr>
                <w:sz w:val="20"/>
                <w:szCs w:val="20"/>
                <w:color w:val="auto"/>
              </w:rPr>
            </w:pPr>
            <w:r>
              <w:rPr>
                <w:rFonts w:ascii="Arial" w:cs="Arial" w:eastAsia="Arial" w:hAnsi="Arial"/>
                <w:sz w:val="14"/>
                <w:szCs w:val="14"/>
                <w:color w:val="auto"/>
              </w:rPr>
              <w:t>Patents and patented 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160.8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164.6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(104.4)</w:t>
            </w:r>
          </w:p>
        </w:tc>
      </w:tr>
      <w:tr>
        <w:trPr>
          <w:trHeight w:val="207"/>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Trademarks and trade names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198"/>
        </w:trPr>
        <w:tc>
          <w:tcPr>
            <w:tcW w:w="4880" w:type="dxa"/>
            <w:vAlign w:val="bottom"/>
          </w:tcPr>
          <w:p>
            <w:pPr>
              <w:ind w:left="140"/>
              <w:spacing w:after="0"/>
              <w:rPr>
                <w:sz w:val="20"/>
                <w:szCs w:val="20"/>
                <w:color w:val="auto"/>
              </w:rPr>
            </w:pPr>
            <w:r>
              <w:rPr>
                <w:rFonts w:ascii="Arial" w:cs="Arial" w:eastAsia="Arial" w:hAnsi="Arial"/>
                <w:sz w:val="14"/>
                <w:szCs w:val="14"/>
                <w:color w:val="auto"/>
              </w:rPr>
              <w:t>Distribution network</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03"/>
        </w:trPr>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r>
      <w:tr>
        <w:trPr>
          <w:trHeight w:val="200"/>
        </w:trPr>
        <w:tc>
          <w:tcPr>
            <w:tcW w:w="4880" w:type="dxa"/>
            <w:vAlign w:val="bottom"/>
          </w:tcPr>
          <w:p>
            <w:pPr>
              <w:ind w:left="360"/>
              <w:spacing w:after="0"/>
              <w:rPr>
                <w:sz w:val="20"/>
                <w:szCs w:val="20"/>
                <w:color w:val="auto"/>
              </w:rPr>
            </w:pPr>
            <w:r>
              <w:rPr>
                <w:rFonts w:ascii="Arial" w:cs="Arial" w:eastAsia="Arial" w:hAnsi="Arial"/>
                <w:sz w:val="14"/>
                <w:szCs w:val="14"/>
                <w:color w:val="auto"/>
              </w:rPr>
              <w:t>Total definite-lived intangible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677.5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(322.0)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682.8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(284.4)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Indefinite-lived trade names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of $41.0 million, $40.7 million, and $41.7 million related to acquired intangible assets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 respectively. Amortization expense is generally recorded on a straight-line basis and is expected to be approximately $42.9 million in fiscal 2023, $38.5 million in fiscal 2024, $30.9 million in fiscal 2025, $28.3 million in fiscal 2026, and $26.4 million in fiscal 2027.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test goodwill and indefinite-lived intangible assets for impairment on an annual basis as of the first date of our fourth fiscal quarter (June</w:t>
      </w:r>
    </w:p>
    <w:p>
      <w:pPr>
        <w:spacing w:after="0" w:line="27" w:lineRule="exact"/>
        <w:rPr>
          <w:sz w:val="20"/>
          <w:szCs w:val="20"/>
          <w:color w:val="auto"/>
        </w:rPr>
      </w:pPr>
    </w:p>
    <w:p>
      <w:pPr>
        <w:jc w:val="both"/>
        <w:ind w:firstLine="8"/>
        <w:spacing w:after="0" w:line="255"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or more frequently as facts and circumstances change, as required by Accounting Standards Codification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w:t>
      </w:r>
      <w:r>
        <w:rPr>
          <w:rFonts w:ascii="Arial" w:cs="Arial" w:eastAsia="Arial" w:hAnsi="Arial"/>
          <w:sz w:val="18"/>
          <w:szCs w:val="18"/>
          <w:color w:val="auto"/>
        </w:rPr>
        <w:t>(“ASC 350”). ASC 350 allows for an optional qualitative analysis for goodwill to determine the likelihood of impairment. If</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qualitative review results in a more likely than not probability of impairment, a quantitative analysis is required. The qualitative step may be bypassed entirely in favor of a quantitative test.</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quantitative analysis identifies impairments by comparing the fair value of a reporting unit to its carrying value, including goodwill. The fair values can be determined based on a combination of valuation techniques including the expected present value of future cash flows, a market multiple approach, and a comparable transaction approach. If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a reporting unit exceeds its carrying value, goodwill is not considered impaired. Conversely, if the carrying value of a reporting unit exceeds its fair value, an impairment charge for the difference would be recorded.</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2022, 2021, and 2020, we used a quantitative analysis to calculate the fair value of our reporting units using a combination of discounted future cash flows and relevant market multiples. The analysis for goodwill did not result in an impairment charge during fiscal 2022, 2021, or 2020.</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impairment test for indefinite-lived trade names compares the fair value of a trade name with its carrying value. If the carrying amount exceeds the estimated fair value, an impairment loss would be recorded for the amount of the excess. We estimate the fair value of indefinite-lived trade names using a fair value model based on discounted future cash flows. Significant assumptions, including estimated future short-term and long-term net sales, royalty rates, and discount rates, are used in the determination of estimated fair value for indefinite-lived trade names. The impairment analyses of our indefinite-lived intangible assets indicated that their fair values exceeded their carrying values for fiscal 2022 and fiscal 2021, and thus no impairment charges were recorded during those years. Any reasonably likely change in the assumptions used in the analyses for our trade names would not be material to our financial condition or results of operations.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Based on the results of the indefinite-lived intangible asset analyses for fiscal 2020, we recorded an impairment charge of $1.4 million for one trade name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related to our ABL segment. The impairment analyses for fiscal 2020 of the other 12 indefinite-lived intangible assets indicated that their fair values exceeded their carrying values.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long-term assets consist of the following items whose economic benefits are expected to be realized greater than one year from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8"/>
                <w:szCs w:val="18"/>
                <w:color w:val="auto"/>
              </w:rPr>
            </w:pPr>
          </w:p>
        </w:tc>
      </w:tr>
      <w:tr>
        <w:trPr>
          <w:trHeight w:val="209"/>
        </w:trPr>
        <w:tc>
          <w:tcPr>
            <w:tcW w:w="86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costs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Investments in debt and equity securities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Pensions plans in which plan assets exceed benefit obligation</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6"/>
        </w:trPr>
        <w:tc>
          <w:tcPr>
            <w:tcW w:w="86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25"/>
                <w:szCs w:val="25"/>
                <w:color w:val="auto"/>
                <w:vertAlign w:val="subscript"/>
              </w:rPr>
              <w:t>Other</w:t>
            </w:r>
            <w:r>
              <w:rPr>
                <w:rFonts w:ascii="Arial" w:cs="Arial" w:eastAsia="Arial" w:hAnsi="Arial"/>
                <w:sz w:val="9"/>
                <w:szCs w:val="9"/>
                <w:color w:val="auto"/>
              </w:rPr>
              <w:t>(1) (2)</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assets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9"/>
          <w:szCs w:val="9"/>
          <w:color w:val="auto"/>
        </w:rPr>
      </w:pPr>
      <w:r>
        <w:rPr>
          <w:rFonts w:ascii="Arial" w:cs="Arial" w:eastAsia="Arial" w:hAnsi="Arial"/>
          <w:sz w:val="14"/>
          <w:szCs w:val="14"/>
          <w:color w:val="auto"/>
        </w:rPr>
        <w:t>Estimated recoveries of warranty and recall costs are included in this category and account for the majority of the year-over-year change.</w:t>
      </w:r>
    </w:p>
    <w:p>
      <w:pPr>
        <w:spacing w:after="0" w:line="14" w:lineRule="exact"/>
        <w:rPr>
          <w:rFonts w:ascii="Arial" w:cs="Arial" w:eastAsia="Arial" w:hAnsi="Arial"/>
          <w:sz w:val="9"/>
          <w:szCs w:val="9"/>
          <w:color w:val="auto"/>
        </w:rPr>
      </w:pPr>
    </w:p>
    <w:p>
      <w:pPr>
        <w:jc w:val="both"/>
        <w:ind w:left="660" w:hanging="328"/>
        <w:spacing w:after="0" w:line="272" w:lineRule="auto"/>
        <w:tabs>
          <w:tab w:leader="none" w:pos="65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within this category are company-owned life insurance investments. We maintain life insurance policies on 60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8"/>
                <w:szCs w:val="18"/>
                <w:color w:val="auto"/>
              </w:rPr>
            </w:pPr>
          </w:p>
        </w:tc>
      </w:tr>
      <w:tr>
        <w:trPr>
          <w:trHeight w:val="209"/>
        </w:trPr>
        <w:tc>
          <w:tcPr>
            <w:tcW w:w="8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8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0"/>
        </w:trPr>
        <w:tc>
          <w:tcPr>
            <w:tcW w:w="86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r>
      <w:tr>
        <w:trPr>
          <w:trHeight w:val="21"/>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accruals for income, property, sales and use, and value added taxes.</w:t>
      </w:r>
    </w:p>
    <w:p>
      <w:pPr>
        <w:ind w:left="640" w:hanging="308"/>
        <w:spacing w:after="0" w:line="193"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as of the dates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0"/>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Self-insurance liabilities</w:t>
            </w:r>
            <w:r>
              <w:rPr>
                <w:rFonts w:ascii="Arial" w:cs="Arial" w:eastAsia="Arial" w:hAnsi="Arial"/>
                <w:sz w:val="21"/>
                <w:szCs w:val="21"/>
                <w:color w:val="auto"/>
                <w:vertAlign w:val="superscript"/>
              </w:rPr>
              <w:t>(4)</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Product warranty and recall costs</w:t>
            </w:r>
            <w:r>
              <w:rPr>
                <w:rFonts w:ascii="Arial" w:cs="Arial" w:eastAsia="Arial" w:hAnsi="Arial"/>
                <w:sz w:val="21"/>
                <w:szCs w:val="21"/>
                <w:color w:val="auto"/>
                <w:vertAlign w:val="superscript"/>
              </w:rPr>
              <w:t>(4)</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liabilities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69" w:lineRule="exact"/>
        <w:rPr>
          <w:sz w:val="20"/>
          <w:szCs w:val="20"/>
          <w:color w:val="auto"/>
        </w:rPr>
      </w:pPr>
    </w:p>
    <w:p>
      <w:pPr>
        <w:jc w:val="both"/>
        <w:ind w:left="660" w:hanging="328"/>
        <w:spacing w:after="0" w:line="234" w:lineRule="auto"/>
        <w:tabs>
          <w:tab w:leader="none" w:pos="65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We maintain life insurance policies on certain former officers and other key employees as a means of satisfying a portion of these obligations.</w:t>
      </w:r>
    </w:p>
    <w:p>
      <w:pPr>
        <w:ind w:left="640" w:hanging="308"/>
        <w:spacing w:after="0" w:line="192"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3" w:lineRule="auto"/>
        <w:tabs>
          <w:tab w:leader="none" w:pos="6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When a product is sold, the associated shipping and handling costs are recorded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their function.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which may be capitalized into inventory</w:t>
      </w:r>
      <w:r>
        <w:rPr>
          <w:rFonts w:ascii="Arial" w:cs="Arial" w:eastAsia="Arial" w:hAnsi="Arial"/>
          <w:sz w:val="18"/>
          <w:szCs w:val="18"/>
          <w:i w:val="1"/>
          <w:iCs w:val="1"/>
          <w:color w:val="auto"/>
        </w:rPr>
        <w:t>.</w:t>
      </w:r>
      <w:r>
        <w:rPr>
          <w:rFonts w:ascii="Arial" w:cs="Arial" w:eastAsia="Arial" w:hAnsi="Arial"/>
          <w:sz w:val="18"/>
          <w:szCs w:val="18"/>
          <w:color w:val="auto"/>
        </w:rPr>
        <w:t xml:space="preserve"> Other shipping and handling costs, which primarily include amounts incurred to transfer finished goods to a customer's desired location, are included in </w:t>
      </w:r>
      <w:r>
        <w:rPr>
          <w:rFonts w:ascii="Arial" w:cs="Arial" w:eastAsia="Arial" w:hAnsi="Arial"/>
          <w:sz w:val="18"/>
          <w:szCs w:val="18"/>
          <w:i w:val="1"/>
          <w:iCs w:val="1"/>
          <w:color w:val="auto"/>
        </w:rPr>
        <w:t>Selling, distribution,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and totaled $151.2 million, $132.0 million, and $121.9 million in fiscal 2022, 2021, and 2020,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recognize compensation cost for share-based payment transactions in the financial statements based on the estimated grant date fair value of the equity instrument issued. We account for stock options, restricted stock, performance stock units, and stock units representing certain deferrals into the Nonemployee Director Deferred Compensation Plan (the “Director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 grant-date fair value estimated under the current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Share-based payment expense includes expense related to restricted stock, performance stock units, options issued, and stock units deferred into the Director Plan. We recorded $37.4 million, $32.5 million, and $38.2 million of share-based payment expense for the years ended August 31, 2022, 2021, and 2020, respectively. We generally recognize compensation cost for share-based payment transactions on a straight-line basis over an award's requisite service period as defined by ASC 718. In certain circumstances, such as when a performance award is subject to graded vesting, we apply the accelerated attribution method to recognize compensation cost related to our share-based payment awards. We have recorded share-based payment expense, net of estimated forfeitures, in </w:t>
      </w:r>
      <w:r>
        <w:rPr>
          <w:rFonts w:ascii="Arial" w:cs="Arial" w:eastAsia="Arial" w:hAnsi="Arial"/>
          <w:sz w:val="18"/>
          <w:szCs w:val="18"/>
          <w:i w:val="1"/>
          <w:iCs w:val="1"/>
          <w:color w:val="auto"/>
        </w:rPr>
        <w:t>Selling, distribution,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total income tax benefit recognized for share-based payment expense was $9.6 million, $6.5 million, and $6.6 million for the years ended August 31, 2022, 2021, and 2020, respectively. Excess tax benefits and/or expense related to share-based payment awards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recognized net excess tax benefit related to share-based payment cost of $4.8 million for the year ended August 31, 2022 and net excess tax expense related to share-based payment cost of $0.5 million and $1.4 million for the years ended August 31, 2021 and 2020,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is initially recorded at cost and depreciated principally on a straight-line basis using estimated useful lives of plant and equipment (3 to 40 years for buildings and related improvements and 2 to 15 years for machinery and equipment) for financial reporting purposes. Accelerated depreciation methods are used for income tax purposes. Leasehold improvements are amortized over the shorter of the life of the lease or the estimated useful life of the improvement. Depreciation expense amounted to $53.8 million, $ 59.4 million, and $ 59.4 million during fiscal 2022, 2021, and 2020, respectively. The balance of property, plant, and equipment consists of the following as of the dates presented (in millions):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August 31,</w:t>
            </w:r>
          </w:p>
        </w:tc>
        <w:tc>
          <w:tcPr>
            <w:tcW w:w="136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845.3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Research and development (“R&amp;D”) expense consists of compensation, payroll taxes, employee benefits, materials, supplies, and other administrative costs, but it does not include all new or enhanced product development costs. R&amp;D expense is expensed as incurred and is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R&amp;D expense amounted to $95.1 million, $88.3 million, and $82.0 million during fiscal 2022, 2021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2020,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$19.3 million, $15.9 million, and $15.1 million during fiscal 2022, 2021</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components of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during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20" w:type="dxa"/>
            <w:vAlign w:val="bottom"/>
            <w:tcBorders>
              <w:bottom w:val="single" w:sz="8" w:color="auto"/>
            </w:tcBorders>
          </w:tcPr>
          <w:p>
            <w:pPr>
              <w:spacing w:after="0"/>
              <w:rPr>
                <w:sz w:val="18"/>
                <w:szCs w:val="18"/>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(Income) Expense, Net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is comprised primarily of non-service related components of net periodic pension cost,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associated with foreign currency-related transactions, and non-operating gains and losses. Amounts relating to foreign currency transactions consisted of net gains of $5.3 million in fiscal 2022, net losses of $1.3 million in fiscal 2021, and net losses of $5.9 million in fiscal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functional currency for foreign operations is generally the local currency where the foreign operations are domiciled. The translation of foreign currencies into U.S. dollars is performed for balance sheet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are excluded from net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420" w:type="dxa"/>
            <w:vAlign w:val="bottom"/>
          </w:tcPr>
          <w:p>
            <w:pPr>
              <w:jc w:val="right"/>
              <w:ind w:right="501"/>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p>
    <w:p>
      <w:pPr>
        <w:ind w:left="660" w:hanging="328"/>
        <w:spacing w:after="0" w:line="227"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during the periods presented (in millions):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29"/>
        </w:trPr>
        <w:tc>
          <w:tcPr>
            <w:tcW w:w="2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Foreign currency translation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280" w:type="dxa"/>
            <w:vAlign w:val="bottom"/>
          </w:tcPr>
          <w:p>
            <w:pPr>
              <w:ind w:left="220"/>
              <w:spacing w:after="0"/>
              <w:rPr>
                <w:sz w:val="20"/>
                <w:szCs w:val="20"/>
                <w:color w:val="auto"/>
              </w:rPr>
            </w:pPr>
            <w:r>
              <w:rPr>
                <w:rFonts w:ascii="Arial" w:cs="Arial" w:eastAsia="Arial" w:hAnsi="Arial"/>
                <w:sz w:val="14"/>
                <w:szCs w:val="14"/>
                <w:color w:val="auto"/>
              </w:rPr>
              <w:t>Actuarial gains (losses)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53"/>
        </w:trPr>
        <w:tc>
          <w:tcPr>
            <w:tcW w:w="22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defined benefit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items: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460"/>
              <w:spacing w:after="0"/>
              <w:rPr>
                <w:sz w:val="20"/>
                <w:szCs w:val="20"/>
                <w:color w:val="auto"/>
              </w:rPr>
            </w:pPr>
            <w:r>
              <w:rPr>
                <w:rFonts w:ascii="Arial" w:cs="Arial" w:eastAsia="Arial" w:hAnsi="Arial"/>
                <w:sz w:val="14"/>
                <w:szCs w:val="14"/>
                <w:color w:val="auto"/>
              </w:rPr>
              <w:t>Prior service cost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Actuarial losses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8"/>
        </w:trPr>
        <w:tc>
          <w:tcPr>
            <w:tcW w:w="2280" w:type="dxa"/>
            <w:vAlign w:val="bottom"/>
          </w:tcPr>
          <w:p>
            <w:pPr>
              <w:ind w:left="460"/>
              <w:spacing w:after="0"/>
              <w:rPr>
                <w:sz w:val="20"/>
                <w:szCs w:val="20"/>
                <w:color w:val="auto"/>
              </w:rPr>
            </w:pPr>
            <w:r>
              <w:rPr>
                <w:rFonts w:ascii="Arial" w:cs="Arial" w:eastAsia="Arial" w:hAnsi="Arial"/>
                <w:sz w:val="14"/>
                <w:szCs w:val="14"/>
                <w:color w:val="auto"/>
              </w:rPr>
              <w:t>Settlement losses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defined benefit plans,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line="129" w:lineRule="exact"/>
              <w:rPr>
                <w:sz w:val="20"/>
                <w:szCs w:val="20"/>
                <w:color w:val="auto"/>
              </w:rPr>
            </w:pPr>
            <w:r>
              <w:rPr>
                <w:rFonts w:ascii="Arial" w:cs="Arial" w:eastAsia="Arial" w:hAnsi="Arial"/>
                <w:sz w:val="14"/>
                <w:szCs w:val="14"/>
                <w:color w:val="auto"/>
              </w:rPr>
              <w:t>Other comprehensive (loss)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7"/>
        </w:trPr>
        <w:tc>
          <w:tcPr>
            <w:tcW w:w="2280" w:type="dxa"/>
            <w:vAlign w:val="bottom"/>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or our fiscal 2022. Most amendments within the standard are required to be applied on a prospective basis, while certain amendments must be applied on a retrospective or modified retrospective basis. We adopted ASU 2019-12 as of September 1, 2021 as required by the standard. This standard did not have a material effect on our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xml:space="preserve"> (“ASU 2021-08”)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2021,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discussion relates to fiscal 2021 and 2020 acquisitions. There were no acquisitions during fiscal 2022. The $12.9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fiscal 2021 acquisitions primarily for working capital settlements.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ams OSRAM's North American Digital Systems Business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is intended to enhance our LED driver and controls technology portfolio and accelerate our innovation, expand our access to market through a more fulsome original equipment manufacturer (“OEM”) product offering, and give us more control over our supply chain.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Rockpile Ventures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Fiscal 2021 Acquisitions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accounted for the acquisitions of Rockpile Ventures and OSRAM DS (collectively the “2021 Acquisitions”)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We finalized the acquisition accounting for the 2021 Acquisitions during fiscal 2022. There were no material changes to our financial statements as a result of the finalization of the acquisition accounting for these acquisitions.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purchase price of the 2021 Acquisitions reflects goodwill of $12.3 million and definite-lived customer-based intangible assets of $6.7 million, which have a useful life of approximately 11 years. Goodwill recognized from the 2021 Acquisitions is comprised primarily of expected synergies from obtaining more control over our supply chain and technology, combining the operations of the acquired business with our operations, and acquiring the associated trained workforce. As of August 31, 2022, goodwill from the 2021 Acquisitions totaling $9.2 million is tax deductible.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Luminaires Group</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at that time, we acquired all of the equity interests of The Luminaires Group (“TLG”), a leading provider of specification-grade luminaires for commercial, institutional, hospitality, and municipal markets, all of which complement our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LocusLabs, Inc.</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Fiscal 2020 Acquisitions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TLG and LocusLabs acquisitions are referred to herein collectively as the “2020 Acquisitions.” We finalized the acquisition accounting for the 2020 Acquisitions during the first quarter of fiscal 2021. There were no material changes to our financial statements as a result of the finalization of the acquisition accounting for the 2020 Acquisitions.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purchase price of the 2020 Acquisitions reflects total goodwill and identified intangible assets of approximately $107.6 million and $180.6 million, respectively. Identified intangible assets consist of indefinite-lived marketing-related intangibles as well as definite-lived customer-based and technology-based assets, which have a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of the acquired businesses with our operations. Goodwill from these acquisitions totaling $77.7 million is tax deductible.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quoted market prices to determine the fair value of Level 1 assets and liabilities. Our cash and cash equivalents (Level 1), which are required to be carried at fair value and measured on a recurring basis, were $223.2 million and $491.3 million as of August 31, 2022 and 2021, respectively.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hold a small number of strategic investments totaling $11.9 million and $ 5.3 million as of August 31, 2022 and 2021, respectively. These investments are primarily equity instruments in privately-held entities over which we do not exercise significant influence or control. We generally account for these investments at fair value on a recurring basis; however,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these investments at cost less any impairment adjusted for observable price changes, if any. As such, these investments are excluded from the fair value hierarchy.</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year ended August 31, 2021, we recorded impairment charges totaling $6.0 million for two of these investments, one due to the recapitalization of the underlying company diluting our value and one due to a deterioration in the financial condition and long-term prospects of the underlying company. These impairment charges are reflected 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for the year ended August 31, 2021 within our </w:t>
      </w:r>
      <w:r>
        <w:rPr>
          <w:rFonts w:ascii="Arial" w:cs="Arial" w:eastAsia="Arial" w:hAnsi="Arial"/>
          <w:sz w:val="18"/>
          <w:szCs w:val="18"/>
          <w:i w:val="1"/>
          <w:iCs w:val="1"/>
          <w:color w:val="auto"/>
        </w:rPr>
        <w:t>Consolidated Statements of Comprehensive Income.</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Changes in the fair values of these financial instruments during the year ended August 31, 2022 and 2021 were not material to our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$399.2 million and $496.5 million as of August 31, 2022 and 2021, respectively. The decrease in fair value is due to increases in market bond yields since the end of fiscal 2021. As of August 31, 2022, we also had $18.0 million of short-term borrowings outstanding under our revolving credit facility. These borrowings are variable-rate instruments that reset on a frequent short-term basis; therefore, we estimate that the carrying values, which is equal to the face amounts, of these instruments approximate their fair values as of August 31, 2022. See </w:t>
      </w:r>
      <w:r>
        <w:rPr>
          <w:rFonts w:ascii="Arial" w:cs="Arial" w:eastAsia="Arial" w:hAnsi="Arial"/>
          <w:sz w:val="18"/>
          <w:szCs w:val="18"/>
          <w:i w:val="1"/>
          <w:iCs w:val="1"/>
          <w:color w:val="auto"/>
        </w:rPr>
        <w:t>Debt and Lines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w:t>
      </w:r>
      <w:r>
        <w:rPr>
          <w:rFonts w:ascii="Arial" w:cs="Arial" w:eastAsia="Arial" w:hAnsi="Arial"/>
          <w:sz w:val="18"/>
          <w:szCs w:val="18"/>
          <w:color w:val="auto"/>
        </w:rPr>
        <w:t>footnote for further details on our outstanding borrowings.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Lease payments generally consist of fixed amounts, and variable amounts based on a market rate or an index are not material to our consolidated lease cost. We have elected to use the practical expedient present in ASC 842 to not separate lease and non-lease components for all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significant underlying asset classes and instead account for them together as a single lease component in the measurement of our lease liabilities.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apply the short-term lease exception to leases with a term of 12 months or less and exclude such leases from our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Payments related to these short-term leases are expensed on a straight-line basis over the lease term and reflected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lease cost within our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the rates implicit in our leases are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was 2.5% and 2.0% as of August 31, 2022 and 2021, respectively.</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9440" w:type="dxa"/>
            <w:vAlign w:val="bottom"/>
          </w:tcPr>
          <w:p>
            <w:pP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5"/>
        </w:trPr>
        <w:tc>
          <w:tcPr>
            <w:tcW w:w="9440" w:type="dxa"/>
            <w:vAlign w:val="bottom"/>
          </w:tcPr>
          <w:p>
            <w:pPr>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7"/>
        </w:trPr>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5"/>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10"/>
        </w:trPr>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undiscounted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5"/>
        </w:trPr>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Discount due to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35"/>
        </w:trPr>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August 31, 2022.</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manufacturing overhead, or </w:t>
      </w:r>
      <w:r>
        <w:rPr>
          <w:rFonts w:ascii="Arial" w:cs="Arial" w:eastAsia="Arial" w:hAnsi="Arial"/>
          <w:sz w:val="18"/>
          <w:szCs w:val="18"/>
          <w:i w:val="1"/>
          <w:iCs w:val="1"/>
          <w:color w:val="auto"/>
        </w:rPr>
        <w:t>Selling,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based on the primary use of the related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 The components of total lease cost were as follows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lease cost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lease cost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Year Ended August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208"/>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5"/>
        </w:trPr>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-599440</wp:posOffset>
            </wp:positionV>
            <wp:extent cx="71151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-316865</wp:posOffset>
            </wp:positionV>
            <wp:extent cx="71151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520" w:space="720"/>
            <w:col w:w="6000"/>
          </w:cols>
          <w:pgMar w:left="320" w:top="122" w:right="3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Cash paid for operating lease liabilities during the year ended August 31, 2022, 2021, and 2020 was $18.5 million, $26.2 million, and $18.7 million, respectively. ROU assets obtained in exchange for lease liabilities during the year ended August 31, 2022 and 2021 were $37.3 million and $12.9 million, respectively.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an agreement to lease a production facility in Mexico currently under construction that has not commenced as of August 31, 2022. This lease has an estimated term of ten years and estimated gross payments of approximately $ 18.0 million, which are subject to changes based on a consumer price index throughout the lease term. We expect the lease to commence during fiscal 2023. We have no other significant leases that have not yet commenced as of August 31, 2022 that create significant rights and obligations.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fiscal 2022 and fiscal 2020, we committed to plans to vacate certain leased properties, which indicated that it was more likely than not that the fair value of the related ROU assets were below their carrying values. We assessed the recoverability of these assets using an undiscounted cash flow model and concluded that the carrying values of the assets were not fully recoverable. We recorded impairment charges of $1.7 million and $7.4 million related to these assets using a discounted cash flow model to estimate their fair values in fiscal 2022 and 2020, respectively. The fiscal 2022 and 2020 impairments were recorded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respectively in the</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The recoverability and impairment tests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assumptions including estimated future cash flows, the identification of assets within each asset group, and the determination of appropriate discount rates. No impairments were recorded for leases in fiscal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and Lines of Credit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debt is carried at the outstanding balance net of any related unamortized discounts and deferred costs and consists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public notes due December 2030, principal</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Senior unsecured public notes due December 2030, unamortized discount and deferred costs</w:t>
            </w:r>
          </w:p>
        </w:tc>
        <w:tc>
          <w:tcPr>
            <w:tcW w:w="8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 under credit facility</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513.0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494.3</w:t>
            </w: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next scheduled future principal payment of long-term debt is $500.0 million due upon the maturity of the senior unsecured notes in December 2030.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are fully and unconditionally guaranteed on a senior unsecured basis by Acuity Brands, Inc. and ABL IP Holding LLC, a wholly-owned subsidiary of Acuity Brands, Inc. The Unsecured Notes bear interest at a rate of 2.150% per annum and were issued at a price equal to 99.737% of their face value. Additionally, we recorded $4.8 million of deferred issuance costs related to the Unsecured Notes as a direct deduction from the face amount of the Unsecured Notes. These issuance costs are amortized over the 10-year term of the Unsecured Notes.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Unsecured Notes is paid semi-annually in arrears on June 15 and December 15 of each year.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42"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The Revolving Credit Facility replaced our previous credit agreement set to expire on June 30, 2022, the details of which can be found in the fiscal 2021 </w:t>
      </w:r>
      <w:hyperlink r:id="rId82">
        <w:r>
          <w:rPr>
            <w:rFonts w:ascii="Arial" w:cs="Arial" w:eastAsia="Arial" w:hAnsi="Arial"/>
            <w:sz w:val="18"/>
            <w:szCs w:val="18"/>
            <w:i w:val="1"/>
            <w:iCs w:val="1"/>
            <w:u w:val="single" w:color="auto"/>
            <w:color w:val="0000FF"/>
          </w:rPr>
          <w:t>Debt and Lines of Credit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footnote </w:t>
      </w:r>
      <w:r>
        <w:rPr>
          <w:rFonts w:ascii="Arial" w:cs="Arial" w:eastAsia="Arial" w:hAnsi="Arial"/>
          <w:sz w:val="18"/>
          <w:szCs w:val="18"/>
          <w:i w:val="1"/>
          <w:iCs w:val="1"/>
          <w:color w:val="auto"/>
        </w:rPr>
        <w:t>of the Notes to Consolidated Footnotes</w:t>
      </w:r>
      <w:r>
        <w:rPr>
          <w:rFonts w:ascii="Arial" w:cs="Arial" w:eastAsia="Arial" w:hAnsi="Arial"/>
          <w:sz w:val="18"/>
          <w:szCs w:val="18"/>
          <w:color w:val="auto"/>
        </w:rPr>
        <w:t xml:space="preserve"> within our 2021 Annual Report on Form 10-K filed with the Securities and Exchange Commission on October 27, 2021.</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 leverage ratio covenant (“Maximum Leverage Ratio”) of total indebtedness to earnings before interest, tax, depreciation, and amortization (“EBITDA”), as such terms are defined in the Credit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Agreement. These ratios are computed at the end of each fiscal quarter for the most recent 12-month period. The Credit Agreement generally allows for a Maximum Leverage Ratio of 3.75 (subject to temporary increase to 4.25 in the event of a significant acquisition) and allows netting of all unrestricted cash and cash equivalents against debt.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financial covenants under the Credit Agreement as of August 31, 2022. As of August 31, 2022, we had outstanding letters of credit totaling $4.1 million, primarily for securing collateral requirements under our casualty insurance programs. At August 31, 2022, we had additional borrowing capacity under the Credit Agreement of $577.9 million under the most restrictive covenant in effect at the time, which represents the full amount of the Revolving Credit Facility less the outstanding borrowings of $18.0 million and letters of credit of $4.1 million issued under the Revolving Credit Facility.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None of our existing debt instruments include provisions that would require an acceleration of repayments based solely on changes in our credit ratings.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lease certain of our buildings and equipment under noncancellable lease agreements. Please refer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66% of our total work force is covered by collective bargaining agreements. Collective bargaining agreements representing approximately 54% of our work force will expire within one year, primarily due to annual negotiations of union contracts in Mexico.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on October 1, 2021, certain alleged shareholders of the Company filed a putative derivative complaint in the United States District Court for the Northern District of Georgia asserting claims against three former executives for breach of fiduciary duty and certain other claims (the “Derivative Complaint”). The Company is named as a nominal defendant, and the plaintiffs seek on behalf of the Company unspecified damages from the 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December 14, 2021, the Company filed a motion to stay the derivative action pending the conclusion of the related securities class action or, in the alternative, to dismiss the derivative action without prejudice as premature, given the demand evaluation committee’s ongoing work. Also on December 14, 2021, the individual defendants filed a motion to dismiss the Derivative Complaint for failure to adequately plead any claim for relief against them.</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2022, the Court entered a stipulated consent order extending the deadline for the individual defendants and the Company to answer, move against, or otherwise respond to the Derivative Complaint until thirty days after the filing of an amended complaint or the designation of an operative complaint. Subsequently, the demand evaluation committee completed its investigation and recommended that the Board reject the demands and direct the Company to seek dismissal of the Derivative Complaint. The Board approved and adopted the recommendation from the committee and rejected the demands and directed the Company to seek dismissal of the Derivative Complaint. The parties advised the Court of the Board’s decision during the status conference held on October 6, 2022. The Court directed the parties to submit a written status report within forty-five days as to the litigation.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Estimating an amount or range of possible losses or gains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gains or a range of possible losses or gains resulting from the Derivative Complaint.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products generally have a standard warranty term of five years that assure our products comply with agreed upon specifications. We record an accrual for the estimated amount of future warranty costs when the related revenue is recognized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Estimated future warranty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based on the timing of receipt of recovery.</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00" w:type="dxa"/>
            <w:vAlign w:val="bottom"/>
            <w:tcBorders>
              <w:bottom w:val="single" w:sz="8" w:color="auto"/>
            </w:tcBorders>
          </w:tcPr>
          <w:p>
            <w:pPr>
              <w:spacing w:after="0"/>
              <w:rPr>
                <w:sz w:val="18"/>
                <w:szCs w:val="18"/>
                <w:color w:val="auto"/>
              </w:rPr>
            </w:pPr>
          </w:p>
        </w:tc>
      </w:tr>
      <w:tr>
        <w:trPr>
          <w:trHeight w:val="209"/>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74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Payments and other deductions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Amounts exclude any estimated or actual loss recoveries.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present our financial results of operations for our two reportable segments, ABL and ISG, consistent with how our chief operating decision maker evaluates operating results, assesses performance, and allocates resources within the Company.</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Corporate expenses that are primarily administrative in function and benefit the Company on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entity-wide basis are not allocated to our segments. These include expenses related to governance, policy setting, compliance, and certain other shared services functions. Additionally, we do not allocate net interest expense, net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(1)</w:t>
            </w:r>
          </w:p>
        </w:tc>
        <w:tc>
          <w:tcPr>
            <w:tcW w:w="280" w:type="dxa"/>
            <w:vAlign w:val="bottom"/>
          </w:tcPr>
          <w:p>
            <w:pPr>
              <w:spacing w:after="0"/>
              <w:rPr>
                <w:sz w:val="17"/>
                <w:szCs w:val="17"/>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8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August 31, 2022:</w:t>
            </w: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98"/>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3,810.1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216.1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4,006.1</w:t>
            </w:r>
          </w:p>
        </w:tc>
      </w:tr>
      <w:tr>
        <w:trPr>
          <w:trHeight w:val="20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509.7</w:t>
            </w:r>
          </w:p>
        </w:tc>
      </w:tr>
      <w:tr>
        <w:trPr>
          <w:trHeight w:val="198"/>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220"/>
        </w:trPr>
        <w:tc>
          <w:tcPr>
            <w:tcW w:w="4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2"/>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Year Ended August 31, 2021: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3,287.3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3,461.0</w:t>
            </w:r>
          </w:p>
        </w:tc>
      </w:tr>
      <w:tr>
        <w:trPr>
          <w:trHeight w:val="198"/>
        </w:trPr>
        <w:tc>
          <w:tcPr>
            <w:tcW w:w="43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476.2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427.6</w:t>
            </w:r>
          </w:p>
        </w:tc>
      </w:tr>
      <w:tr>
        <w:trPr>
          <w:trHeight w:val="20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r>
      <w:tr>
        <w:trPr>
          <w:trHeight w:val="216"/>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August 31, 2020:</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3,180.9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157.0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3,326.3</w:t>
            </w:r>
          </w:p>
        </w:tc>
      </w:tr>
      <w:tr>
        <w:trPr>
          <w:trHeight w:val="20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r>
      <w:tr>
        <w:trPr>
          <w:trHeight w:val="194"/>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101.1</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August 31,</w:t>
            </w:r>
          </w:p>
        </w:tc>
        <w:tc>
          <w:tcPr>
            <w:tcW w:w="1120" w:type="dxa"/>
            <w:vAlign w:val="bottom"/>
            <w:tcBorders>
              <w:bottom w:val="single" w:sz="8" w:color="auto"/>
            </w:tcBorders>
          </w:tcPr>
          <w:p>
            <w:pPr>
              <w:spacing w:after="0"/>
              <w:rPr>
                <w:sz w:val="18"/>
                <w:szCs w:val="18"/>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 (loss) - ISG</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353.9</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(income) expense, net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Recognition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Payment is generally due and received within 60 days from the point of sale. In some instances, such as for software as a service agreements, payment is made prior to the transfer of control of goods and services. Payment terms generally do not extend beyond one year, and we apply the significant financing component practical expedient within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Accruals for cash discounts to customers are estimated using the expected value method based on historical experience and are recorded as a reduction to sales.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standard terms and conditions of sale generally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Refund liabilities recorded under ASC 606 related to rights of return, cash discounts, and other miscellaneous credits to customers were $28.0 million and $28.1 million as of August 31, 2022 and 2021,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$3.7 million and $6.4 million as of August 31, 2022 and 2021, respectively.</w:t>
      </w:r>
    </w:p>
    <w:p>
      <w:pPr>
        <w:spacing w:after="0" w:line="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also maintain one-time and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7"/>
          <w:szCs w:val="17"/>
          <w:i w:val="1"/>
          <w:iCs w:val="1"/>
          <w:color w:val="auto"/>
        </w:rPr>
        <w:t>Consolidated Statements of Comprehensive Income</w:t>
      </w:r>
      <w:r>
        <w:rPr>
          <w:rFonts w:ascii="Arial" w:cs="Arial" w:eastAsia="Arial" w:hAnsi="Arial"/>
          <w:sz w:val="17"/>
          <w:szCs w:val="17"/>
          <w:color w:val="auto"/>
        </w:rPr>
        <w:t xml:space="preserve"> in accordance with ASC 606, which in most instances requires such costs to be recorded as reductions of revenue. Amounts due to our customers associated with these programs totaled $40.7 million and $33.9 million as of August 31, 2022 and 2021, respectively, and are reflected within </w:t>
      </w:r>
      <w:r>
        <w:rPr>
          <w:rFonts w:ascii="Arial" w:cs="Arial" w:eastAsia="Arial" w:hAnsi="Arial"/>
          <w:sz w:val="17"/>
          <w:szCs w:val="17"/>
          <w:i w:val="1"/>
          <w:iCs w:val="1"/>
          <w:color w:val="auto"/>
        </w:rPr>
        <w:t>Other accrued liabilities</w:t>
      </w:r>
      <w:r>
        <w:rPr>
          <w:rFonts w:ascii="Arial" w:cs="Arial" w:eastAsia="Arial" w:hAnsi="Arial"/>
          <w:sz w:val="17"/>
          <w:szCs w:val="17"/>
          <w:color w:val="auto"/>
        </w:rPr>
        <w:t xml:space="preserve"> on the </w:t>
      </w:r>
      <w:r>
        <w:rPr>
          <w:rFonts w:ascii="Arial" w:cs="Arial" w:eastAsia="Arial" w:hAnsi="Arial"/>
          <w:sz w:val="17"/>
          <w:szCs w:val="17"/>
          <w:i w:val="1"/>
          <w:iCs w:val="1"/>
          <w:color w:val="auto"/>
        </w:rPr>
        <w:t>Consolidated Balance Sheets</w:t>
      </w:r>
      <w:r>
        <w:rPr>
          <w:rFonts w:ascii="Arial" w:cs="Arial" w:eastAsia="Arial" w:hAnsi="Arial"/>
          <w:sz w:val="17"/>
          <w:szCs w:val="17"/>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Costs to obtain and fulfill contracts, such as sales commissions, are generally short-term in nature and are expensed as incurred.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revenues for the periods presented were generated from short-term contracts with our customers to deliver only tangible goods such as luminaires, lighting controls, and controls for various building systems.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account for all shipping and handling activities for customers as activities to fulfill the promise to transfer products to our customers. As such, we do not consider shipping and handling activities to be separate performance obligations, and we expense these costs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small portion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 of the following as of the dates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100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earned from beginning contract balances during the year ended August 31, 2022 approximated the current deferred revenue balance at August 31, 2021.</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years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August 31, 2022 and consist primarily of orders for physical goods that have not yet been shipped.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original equipment manufacturer customers. ISG sells predominantly to system integrators. The following table shows revenue from contracts with customers by sales channel and reconciles to our segment information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August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5"/>
        </w:trPr>
        <w:tc>
          <w:tcPr>
            <w:tcW w:w="604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2,714.1</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2,400.5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2,284.3</w:t>
            </w:r>
          </w:p>
        </w:tc>
      </w:tr>
      <w:tr>
        <w:trPr>
          <w:trHeight w:val="217"/>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r>
      <w:tr>
        <w:trPr>
          <w:trHeight w:val="215"/>
        </w:trPr>
        <w:tc>
          <w:tcPr>
            <w:tcW w:w="604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218.3</w:t>
            </w:r>
          </w:p>
        </w:tc>
      </w:tr>
      <w:tr>
        <w:trPr>
          <w:trHeight w:val="217"/>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15"/>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3,180.9</w:t>
            </w: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ISG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157.0</w:t>
            </w: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3,326.3</w:t>
            </w: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Payments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Stock Compensation Incentive and Directors’ Equity Plans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2022, our stockholders approved the Amended and Restated Acuity Brands, Inc. 2012 Omnibus Stock Compensation Incentive Plan (the “Stock Incentive Plan”), which, among other things, increased the total number of shares authorized for issuance pursuant to the Stock Incentive Plan from 2.7 million to 3.6 million, with a corresponding increase to shares available for grant. The Compensation and Management Development Committee of the Board of Directors (the “Compensation Committee")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Shares available for grant under the Stock Incentive Plan were approximately 1.1 million, 0.3 million, and 0.7 million at August 31, 2022, 2021, and 2020, respectively. Any shares subject to an award under the Stock Incentive Plan that are forfeited, canceled, expired, or settled for cash will be available for future grant under the Stock Incentive Plan.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performance stock awards, and director stock units representing certain deferrals into the Director Plan are valued based on the fair value of our common stock on the grant date. We review the values of our performance awards on a frequent and recurring basis and adjust those values based on the probability that the related performance metric will be satisfied. We utilize the Black-Scholes model in deriving the fair value estimates of our stock option awards that only have a service requirement, and we utilize the Monte Carlo simulation model to determine grant date fair value estimates of stock options also subject to a market condition.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and performance stock awards granted from October 2019 to September 2020 provided for the continued vesting of stock awards following retirement for all eligible participants who have attained age 60 and have at least ten years of service with the Company. We deem the requisite service period for these awards for a participant to be the shorter of either the award's stated vesting period or the time from grant until the participant satisfies the age and service criteria. This provision was removed from any restricted stock and performance stock awards granted during or after October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for performance stock unit grants awarded in fiscal 2021 and after, the Compensation Committee amended the retirement provision to provide that a portion of any performance stock unit granted becomes non-forfeitable on the anniversary of the date of grant if the recipient has five years of service.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as defined by ASC 718. In certain circumstances, such as when a performance award is subject to graded vesting, we apply the accelerated attribution method to recognize compensation cost related to our share-based payment awards.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recognized related to the awards under the current and prior equity incentive plans during the periods presented is summarized as follows (in millions):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8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 and units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Director stock units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payment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August 31, 2022, we had approximately 0.3 million shares outstanding of restricted stock to officers, directors, and other key employees under the Stock Incentive Plan. Grants awarded prior to fiscal 2022 vest primarily over a four-year period, and grants awarded beginning in fiscal 2022 vest primarily over a three-year period. Our restricted stock grants are valued at the closing stock price on the date of the grant.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periods presented was as follows (in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156.32</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122.10</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135.43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134.68</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108.79</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150.44</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116.33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2021</w:t>
            </w: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679"/>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204.36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122.27</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131.08</w:t>
            </w: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7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0.3</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August 31, 2022, there was $30.0 million of total unrecognized compensation cost related to unvested restricted stock, which is expected to be recognized over a weighted-average period of 1.5 years. The total fair value of stock vested during the years ended August 31, 2022, 2021, and 2020 was approximately $16.4 million, $19.5 million, and $22.8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31, 2022, we had approximately 1.1 million options outstanding to officers and other key employees under the Stock Incentive Plan, all of which were granted in previous fiscal years. Of these options, 0.7 million were granted in fiscal 2020 or prior and vest and become exercisable over a three-year period (the "Service Options"). The remaining 0.4 million were granted in fiscal 2021 and 2020, become exercisable over a four-year period, and are also subject to a market condition (the "Market Options"). Options issued under the Stock Incentive Plan are generally granted with an exercise price equal to the fair market value of our stock on the date of grant, but never less than the fair market value on the grant date, and expire 10 years from the date of grant.</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each Service Option was estimated on the date of grant using the Black-Scholes model, and the fair value of each Market Option was estimated on the date of grant using the Monte Carlo simulation model. 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for the Service Options and equal to the contractual term for the Market Options. We used historical exercise behavior data of similar employee groups to determine the expected life of the Service Options. The expected life of the Market Options is based on projected exercise dates resulting from the Monte Carlo simulation for each award tranche. All inputs noted above are estimates made at the time of grant. All inputs into the Black-Scholes model and the Monte Carlo simulation are estimates made at the time of grant. Actual realized value of each option grant could materially differ from these estimates, without impact to future reported net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the stock options granted in the fiscal years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rPr>
              <w:t>Market Options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Service Options</w:t>
            </w:r>
          </w:p>
        </w:tc>
      </w:tr>
      <w:tr>
        <w:trPr>
          <w:trHeight w:val="209"/>
        </w:trPr>
        <w:tc>
          <w:tcPr>
            <w:tcW w:w="6160" w:type="dxa"/>
            <w:vAlign w:val="bottom"/>
          </w:tcPr>
          <w:p>
            <w:pPr>
              <w:spacing w:after="0"/>
              <w:rPr>
                <w:sz w:val="18"/>
                <w:szCs w:val="18"/>
                <w:color w:val="auto"/>
              </w:rPr>
            </w:pPr>
          </w:p>
        </w:tc>
        <w:tc>
          <w:tcPr>
            <w:tcW w:w="108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2021</w:t>
            </w:r>
          </w:p>
        </w:tc>
        <w:tc>
          <w:tcPr>
            <w:tcW w:w="2260" w:type="dxa"/>
            <w:vAlign w:val="bottom"/>
            <w:tcBorders>
              <w:top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080" w:type="dxa"/>
            <w:vAlign w:val="bottom"/>
            <w:tcBorders>
              <w:top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8"/>
              </w:rPr>
              <w:t>0.5%</w:t>
            </w: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080" w:type="dxa"/>
            <w:vAlign w:val="bottom"/>
          </w:tcPr>
          <w:p>
            <w:pPr>
              <w:jc w:val="center"/>
              <w:ind w:left="459"/>
              <w:spacing w:after="0"/>
              <w:rPr>
                <w:sz w:val="20"/>
                <w:szCs w:val="20"/>
                <w:color w:val="auto"/>
              </w:rPr>
            </w:pPr>
            <w:r>
              <w:rPr>
                <w:rFonts w:ascii="Arial" w:cs="Arial" w:eastAsia="Arial" w:hAnsi="Arial"/>
                <w:sz w:val="16"/>
                <w:szCs w:val="16"/>
                <w:color w:val="auto"/>
              </w:rPr>
              <w:t>36.5%</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33.7%</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0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0.7%</w:t>
            </w:r>
          </w:p>
        </w:tc>
        <w:tc>
          <w:tcPr>
            <w:tcW w:w="2260" w:type="dxa"/>
            <w:vAlign w:val="bottom"/>
            <w:gridSpan w:val="3"/>
            <w:shd w:val="clear" w:color="auto" w:fill="CCEEFF"/>
          </w:tcPr>
          <w:p>
            <w:pPr>
              <w:jc w:val="center"/>
              <w:ind w:left="5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Expected life of options</w:t>
            </w:r>
          </w:p>
        </w:tc>
        <w:tc>
          <w:tcPr>
            <w:tcW w:w="1080" w:type="dxa"/>
            <w:vAlign w:val="bottom"/>
          </w:tcPr>
          <w:p>
            <w:pPr>
              <w:ind w:left="540"/>
              <w:spacing w:after="0"/>
              <w:rPr>
                <w:sz w:val="20"/>
                <w:szCs w:val="20"/>
                <w:color w:val="auto"/>
              </w:rPr>
            </w:pPr>
            <w:r>
              <w:rPr>
                <w:rFonts w:ascii="Arial" w:cs="Arial" w:eastAsia="Arial" w:hAnsi="Arial"/>
                <w:sz w:val="16"/>
                <w:szCs w:val="16"/>
                <w:color w:val="auto"/>
                <w:w w:val="99"/>
              </w:rPr>
              <w:t>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540"/>
              <w:spacing w:after="0"/>
              <w:rPr>
                <w:sz w:val="20"/>
                <w:szCs w:val="20"/>
                <w:color w:val="auto"/>
              </w:rPr>
            </w:pPr>
            <w:r>
              <w:rPr>
                <w:rFonts w:ascii="Arial" w:cs="Arial" w:eastAsia="Arial" w:hAnsi="Arial"/>
                <w:sz w:val="16"/>
                <w:szCs w:val="16"/>
                <w:color w:val="auto"/>
              </w:rPr>
              <w:t>7 years</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5 years</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w:t>
            </w:r>
          </w:p>
        </w:tc>
        <w:tc>
          <w:tcPr>
            <w:tcW w:w="10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$40.45</w:t>
            </w:r>
          </w:p>
        </w:tc>
        <w:tc>
          <w:tcPr>
            <w:tcW w:w="2260" w:type="dxa"/>
            <w:vAlign w:val="bottom"/>
            <w:gridSpan w:val="3"/>
            <w:shd w:val="clear" w:color="auto" w:fill="CCEEFF"/>
          </w:tcPr>
          <w:p>
            <w:pPr>
              <w:jc w:val="center"/>
              <w:ind w:left="559"/>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$34.22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Outstanding</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6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3"/>
                <w:szCs w:val="13"/>
                <w:color w:val="auto"/>
              </w:rPr>
            </w:pPr>
          </w:p>
        </w:tc>
        <w:tc>
          <w:tcPr>
            <w:tcW w:w="126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Options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8"/>
              </w:rPr>
              <w:t>Average</w:t>
            </w:r>
          </w:p>
        </w:tc>
        <w:tc>
          <w:tcPr>
            <w:tcW w:w="16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2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Exercise Price</w:t>
            </w: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147.51</w:t>
            </w:r>
          </w:p>
        </w:tc>
        <w:tc>
          <w:tcPr>
            <w:tcW w:w="0" w:type="dxa"/>
            <w:vAlign w:val="bottom"/>
          </w:tcPr>
          <w:p>
            <w:pPr>
              <w:spacing w:after="0"/>
              <w:rPr>
                <w:sz w:val="1"/>
                <w:szCs w:val="1"/>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center"/>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2020</w:t>
            </w:r>
          </w:p>
        </w:tc>
        <w:tc>
          <w:tcPr>
            <w:tcW w:w="1360" w:type="dxa"/>
            <w:vAlign w:val="bottom"/>
          </w:tcPr>
          <w:p>
            <w:pPr>
              <w:jc w:val="center"/>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151.07</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108.58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(0.1)</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88.94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2022</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0.6</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Range of option exercise prices: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$100.00 - $160.00 (average life - 7.1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w:t>
            </w:r>
          </w:p>
        </w:tc>
        <w:tc>
          <w:tcPr>
            <w:tcW w:w="0" w:type="dxa"/>
            <w:vAlign w:val="bottom"/>
          </w:tcPr>
          <w:p>
            <w:pPr>
              <w:spacing w:after="0"/>
              <w:rPr>
                <w:sz w:val="1"/>
                <w:szCs w:val="1"/>
                <w:color w:val="auto"/>
              </w:rPr>
            </w:pP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$160.01 - $210.00 (average life - 3.2 years)</w:t>
            </w:r>
          </w:p>
        </w:tc>
        <w:tc>
          <w:tcPr>
            <w:tcW w:w="1360" w:type="dxa"/>
            <w:vAlign w:val="bottom"/>
          </w:tcPr>
          <w:p>
            <w:pPr>
              <w:jc w:val="center"/>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207.80</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207.80</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$210.01 - $239.76 (average life - 4.1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of less than 0.1 million.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intrinsic value of options exercised was $14.0 million during the year ended August 31, 2022 and $1.2 million during the year ended August 31, 2021. There were no options exercised during fiscal 2020. As of August 31, 2022, the total intrinsic value of options outstanding was $40.6 million, the total intrinsic value of options expected to vest was $18.8 million, and the total intrinsic value of options exercisable was $21.4 million. As of August 31, 2022, there was $8.9 million of total unrecognized compensation cost related to unvested options. This cost is expected to be recognized over a weighted-average period of approximately 1.7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Beginning in fiscal 2020, the Board approved grants of performance stock units to certain executives and key employees. These grants vest primarily over a three-year period and are valued at the closing stock price at the date of grant. The actual number of performance stock units earned for these awards will be determined at the end of the related performance period based on the level of achievement of established performance thresholds. We recognize compensation expense for these grants proportionately over the requisite service period for each employee when it becomes probable that the performance metric will be satisfied. For performance stock units subject to graded vesting, we apply the accelerated attribution method for expense recognition. As of August 31, 2022, we had approximately 0.2 million performance stock units outstanding.</w:t>
      </w:r>
    </w:p>
    <w:p>
      <w:pPr>
        <w:spacing w:after="0" w:line="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August 31, 2022 there was $9.0 million of total unrecognized compensation cost related to unvested performance stock units. This cost is expected to be recognized over a weighted-average period of approximately 1.5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Deferred Stock Units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previously allowed employees to defer a portion of restricted stock awards granted in fiscal 2003 and fiscal 2004 into the SDSP as stock units. The stock units are payable in shares of stock at the time of distribution from the SDSP. As of August 31, 2022, approximately 7,000 fully vested stock units remain deferred, but undistributed, under the Stock Incentive Plan. There was no compensation expense related to these stock units during fiscal years 2022, 2021, and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Stock Units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January 2022, the total remaining shares available for issuance under the Director Plan were transferred into the Stock Incentive Plan. As of August 31, 2022, approximately 0.1 million stock units were deferred but undistributed under the Director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2022. Employees may participate at their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and Defined Contribution Plans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equity and fixed income securities. Current period net actuarial gains in our projected benefit obligation primarily reflect an increase in the discount rate from our prior year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(U.S.-based) and international pension plans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0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r>
      <w:tr>
        <w:trPr>
          <w:trHeight w:val="196"/>
        </w:trPr>
        <w:tc>
          <w:tcPr>
            <w:tcW w:w="6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49.2</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0.9</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(gains) losses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r>
      <w:tr>
        <w:trPr>
          <w:trHeight w:val="192"/>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 obligation at end of year</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52.6</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35.1</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w:t>
            </w:r>
          </w:p>
        </w:tc>
      </w:tr>
      <w:tr>
        <w:trPr>
          <w:trHeight w:val="200"/>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42.2</w:t>
            </w: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color w:val="auto"/>
              </w:rPr>
              <w:t>Funded status at the end of year</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225"/>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amount recognized in consolidated balance sheets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0"/>
        </w:trPr>
        <w:tc>
          <w:tcPr>
            <w:tcW w:w="6460" w:type="dxa"/>
            <w:vAlign w:val="bottom"/>
          </w:tcPr>
          <w:p>
            <w:pPr>
              <w:ind w:left="180"/>
              <w:spacing w:after="0"/>
              <w:rPr>
                <w:sz w:val="20"/>
                <w:szCs w:val="20"/>
                <w:color w:val="auto"/>
              </w:rPr>
            </w:pPr>
            <w:r>
              <w:rPr>
                <w:rFonts w:ascii="Arial" w:cs="Arial" w:eastAsia="Arial" w:hAnsi="Arial"/>
                <w:sz w:val="14"/>
                <w:szCs w:val="14"/>
                <w:color w:val="auto"/>
              </w:rPr>
              <w:t>Amounts in accumulated other comprehensive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52.6</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w:t>
            </w: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42.2</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143.0</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4"/>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may be capitalized into inventory as labor costs,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utilize a corridor approach to amortize cumulative unrecognized actuarial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over 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during the periods presented included the following components before tax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Domestic Plans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International Plans</w:t>
            </w:r>
          </w:p>
        </w:tc>
        <w:tc>
          <w:tcPr>
            <w:tcW w:w="880" w:type="dxa"/>
            <w:vAlign w:val="bottom"/>
            <w:tcBorders>
              <w:bottom w:val="single" w:sz="8" w:color="auto"/>
            </w:tcBorders>
          </w:tcPr>
          <w:p>
            <w:pPr>
              <w:spacing w:after="0"/>
              <w:rPr>
                <w:sz w:val="18"/>
                <w:szCs w:val="18"/>
                <w:color w:val="auto"/>
              </w:rPr>
            </w:pPr>
          </w:p>
        </w:tc>
      </w:tr>
      <w:tr>
        <w:trPr>
          <w:trHeight w:val="209"/>
        </w:trPr>
        <w:tc>
          <w:tcPr>
            <w:tcW w:w="4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2500" w:type="dxa"/>
            <w:vAlign w:val="bottom"/>
            <w:gridSpan w:val="4"/>
          </w:tcPr>
          <w:p>
            <w:pPr>
              <w:ind w:left="600"/>
              <w:spacing w:after="0"/>
              <w:rPr>
                <w:sz w:val="20"/>
                <w:szCs w:val="20"/>
                <w:color w:val="auto"/>
              </w:rPr>
            </w:pPr>
            <w:r>
              <w:rPr>
                <w:rFonts w:ascii="Arial" w:cs="Arial" w:eastAsia="Arial" w:hAnsi="Arial"/>
                <w:sz w:val="16"/>
                <w:szCs w:val="16"/>
                <w:b w:val="1"/>
                <w:bCs w:val="1"/>
                <w:color w:val="auto"/>
              </w:rPr>
              <w:t>Domestic Plans</w:t>
            </w:r>
          </w:p>
        </w:tc>
        <w:tc>
          <w:tcPr>
            <w:tcW w:w="24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International Plans</w:t>
            </w:r>
          </w:p>
        </w:tc>
      </w:tr>
      <w:tr>
        <w:trPr>
          <w:trHeight w:val="209"/>
        </w:trPr>
        <w:tc>
          <w:tcPr>
            <w:tcW w:w="62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3.4 %</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6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6.3 %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bl>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approximately $0.6 million for the domestic plans and $ 0.5 million for the international plans.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$1.6 million and $ 0.3 million for domestic plans and international plans, respectively. We also evaluate the rate of compensation increase annually and adjust if necessary.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high quality debt and equity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2022, the U.S. targeted asset allocation was 30% equity securities, 65% fixed income securities, and 5% real estate securities. Our investment objective for the international plan assets is also to add value by exceeding the long-term growth of the plans’ liabilities. At August 31, 2022, the international asset target allocation approximated 15% equity securities, 25% fixed income securities, and 60% multi-strategy investments.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by asset category as of the dates presented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 of Plan Assets</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2420" w:type="dxa"/>
            <w:vAlign w:val="bottom"/>
            <w:tcBorders>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Domestic Plans</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International Plans</w:t>
            </w: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Fixed income securities</w:t>
            </w:r>
          </w:p>
        </w:tc>
        <w:tc>
          <w:tcPr>
            <w:tcW w:w="1700" w:type="dxa"/>
            <w:vAlign w:val="bottom"/>
          </w:tcPr>
          <w:p>
            <w:pPr>
              <w:jc w:val="right"/>
              <w:spacing w:after="0"/>
              <w:rPr>
                <w:sz w:val="20"/>
                <w:szCs w:val="20"/>
                <w:color w:val="auto"/>
              </w:rPr>
            </w:pPr>
            <w:r>
              <w:rPr>
                <w:rFonts w:ascii="Arial" w:cs="Arial" w:eastAsia="Arial" w:hAnsi="Arial"/>
                <w:sz w:val="16"/>
                <w:szCs w:val="16"/>
                <w:color w:val="auto"/>
              </w:rPr>
              <w:t>61.2 %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20.1 %</w:t>
            </w: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Multi-strategy investments</w:t>
            </w:r>
          </w:p>
        </w:tc>
        <w:tc>
          <w:tcPr>
            <w:tcW w:w="242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 %</w:t>
            </w:r>
          </w:p>
        </w:tc>
        <w:tc>
          <w:tcPr>
            <w:tcW w:w="186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63.8 %</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70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gridSpan w:val="3"/>
          </w:tcPr>
          <w:p>
            <w:pPr>
              <w:jc w:val="right"/>
              <w:ind w:right="80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are described in further detail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Fixed Income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consist of money market funds, which are valued at the daily closing price as reported by the relevant fund (Level 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(Level 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Trust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collective trust seeks to outperform the overall small-cap stock market and is comprised primarily of small-cap equity securities with quoted prices in active markets for identical investments. The value of this fund is calculated on each business day based on its daily net asset value; however, the collective trust is not deemed to be actively traded (Level 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fixed income fund seeks to maximize total return by investing primarily in a diversified portfolio of intermediate and long-term debt securities and is valued using the NAV of units of a management investment company’s trust. The NAV, as provided by the fund's trustee, is used as a practical expedient to estimate fair value. As such, these funds are excluded from the fair value hierarchy. The NAV is based on the fair value of the underlying investments held by the fund less the fund's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Fund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each investor. All decisions regarding whether to honor redemption requests are made by the fund’s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 Investments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international plans' assets consist primarily of funds invested in equity securities, multi-strategy investments, and fixed income investments. These securities are calculated using the values of the underlying holdings (i.e. significant observable inputs) but do not have quoted prices in active markets (Level 2). The short-term fixed income investments represents cash and cash equivalents held by the funds at fiscal year end (Level 1). The following tables present the fair value of the international pension plan assets by major category as of the dates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0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0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expect to contribute to the domestic qualified plans in fiscal 2023 based on the funded status of the plans as well as current legal minimum funding requirements. We expect to contribute approximately $ 1.3 million during fiscal 2023 to our international defined benefit plans. These amounts are based on the total contributions required during fiscal 2023 to satisfy current legal minimum funding requirements for qualified plans and estimated benefit payments for non-qualified plans.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during the years ending August 31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2026</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2028-2032</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contributed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spacing w:after="0" w:line="76" w:lineRule="exact"/>
        <w:rPr>
          <w:sz w:val="20"/>
          <w:szCs w:val="20"/>
          <w:color w:val="auto"/>
        </w:rPr>
      </w:pPr>
    </w:p>
    <w:p>
      <w:pPr>
        <w:ind w:left="660" w:hanging="247"/>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contributions to these plans were $0.5 million for the year ended August 31, 2022, and $0.6 million for the years ended August 31,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defined contribution plans to which both employees and we make contributions. Employer matching amounts are allocated in accordance with the participants’ investment elections for elective deferrals and totaled $10.5 million, $ 8.4 million, and $8.2 million for the years ended August 31, 2022, 2021, and 2020, respectively. At August 31, 2022, assets of the domestic defined contribution plans included shares of our common stock with a market value of approximately $7.3 million, which represented approximately 1.7% of the total fair market value of the assets in our domestic defined contribution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and Related Matters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during the periods presented were as follows (amounts and shares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8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Common Stock</w:t>
            </w:r>
          </w:p>
        </w:tc>
      </w:tr>
      <w:tr>
        <w:trPr>
          <w:trHeight w:val="210"/>
        </w:trPr>
        <w:tc>
          <w:tcPr>
            <w:tcW w:w="858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10"/>
        </w:trPr>
        <w:tc>
          <w:tcPr>
            <w:tcW w:w="85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(At par)</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options exercised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August 31, 2022 and 2021, we had 21.8 million and 18.8 million of repurchased shares recorded as treasury stock at an original repurchase cost of $2.18 billion and $1.66 billion, respectively.</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fiscal 2022, we repurchased approximately 2.9 million shares of our outstanding common stock. As of August 31, 2022, the maximum number of shares that may yet be repurchased under the share repurchase program authorized by the Board equaled 2.8 million shares. We may repurchase shares of our common stock from time to time at prevailing market prices, depending on market conditions, through open market or privately negotiated transactions.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2022 or 2021, and no shares of preferred stock are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The dilutive effects of share-based payment awards subject to market and/or performance conditions that were not met during the period are excluded from the computation of diluted earnings per share.</w:t>
      </w:r>
    </w:p>
    <w:p>
      <w:pPr>
        <w:spacing w:after="0" w:line="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during the periods presented (in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39.453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0.148</w:t>
            </w: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Basic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tcPr>
          <w:p>
            <w:pPr>
              <w:ind w:left="20"/>
              <w:spacing w:after="0" w:line="19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37"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stock options, restricted stock awards, and performance stock units that were excluded from the diluted earnings per share calculation for the periods presented as the effect of inclusion would have been antidilutive (in millions):</w:t>
      </w:r>
    </w:p>
    <w:p>
      <w:pPr>
        <w:spacing w:after="0" w:line="198"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Year Ended August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3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top w:val="single" w:sz="8" w:color="CCEEFF"/>
            </w:tcBorders>
            <w:shd w:val="clear" w:color="auto" w:fill="CCEEFF"/>
          </w:tcPr>
          <w:p>
            <w:pPr>
              <w:spacing w:after="0"/>
              <w:rPr>
                <w:sz w:val="18"/>
                <w:szCs w:val="18"/>
                <w:color w:val="auto"/>
              </w:rPr>
            </w:pPr>
          </w:p>
        </w:tc>
      </w:tr>
      <w:tr>
        <w:trPr>
          <w:trHeight w:val="215"/>
        </w:trPr>
        <w:tc>
          <w:tcPr>
            <w:tcW w:w="7960" w:type="dxa"/>
            <w:vAlign w:val="bottom"/>
            <w:gridSpan w:val="2"/>
          </w:tcPr>
          <w:p>
            <w:pPr>
              <w:ind w:left="20"/>
              <w:spacing w:after="0"/>
              <w:rPr>
                <w:sz w:val="20"/>
                <w:szCs w:val="20"/>
                <w:color w:val="auto"/>
              </w:rPr>
            </w:pPr>
            <w:r>
              <w:rPr>
                <w:rFonts w:ascii="Arial" w:cs="Arial" w:eastAsia="Arial" w:hAnsi="Arial"/>
                <w:sz w:val="16"/>
                <w:szCs w:val="16"/>
                <w:color w:val="auto"/>
              </w:rPr>
              <w:t>Restricted stock awards</w:t>
            </w:r>
          </w:p>
        </w:tc>
        <w:tc>
          <w:tcPr>
            <w:tcW w:w="3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r>
      <w:tr>
        <w:trPr>
          <w:trHeight w:val="217"/>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360" w:type="dxa"/>
            <w:vAlign w:val="bottom"/>
            <w:gridSpan w:val="3"/>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16, 2022, the Inflation Reduction Act (“IRA”) was signed into law in the United States. Among other provisions, the IRA includes a 15% corporate alternative minimum tax rate applicable for our fiscal 2024 taxable year and a 1% federal excise tax on corporate stock repurchases made after December 31, 2022. We do not expect the IRA to have a material impact on our financial condition,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during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federal taxes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Provision for current state taxes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foreign taxes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deferred taxes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during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income tax computed at statutory rate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State income tax, net of federal income tax benefit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permanent differences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Foreign permanent differences and rate differential</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Total provision for income taxes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income tax liabilities as of the dates presented include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Operating lease right of 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Self-insurance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420" w:type="dxa"/>
            <w:vAlign w:val="bottom"/>
          </w:tcPr>
          <w:p>
            <w:pPr>
              <w:ind w:left="14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15"/>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35"/>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2022, the estimated undistributed earnings from foreign subsidiaries was $204.0 million. We have recorded a deferred income tax liability of $3.2 million for certain foreign withholding taxes and U.S. state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August 31, 2022, we had federal tax credit carryforwards of approximately $4.9 million that begin to expire in 2029, and state tax credit carryforwards of less than $ 0.1 million, that begin to expire in 2028. The $4.9 million in federal tax credit carryforwards are subject to a full valuation allowance as we do not expect to realize any future tax benefit. At August 31, 2022, we had federal net operating loss carryforwards of $13.6 million that begin to expire in 2029, state net operating loss carryforwards of $33.9 million that begin to expire in 2023, and foreign net operating loss carryforwards of $7.1 million that begin to expire in 2028.</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gross amount of unrecognized tax benefits as of August 31, 2022 and 2021 totaled $19.5 million and $17.7 million, respectively, which includes $18.8 million and $17.1 million, respectively, of net unrecognized tax benefits that, if recognized, would affect the annual effective tax rate.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2016 or for foreign income tax examinations before 2017. We do not anticipate unrecognized tax benefits will significantly increase or decrease within the next 12 months.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891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during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09"/>
        </w:trPr>
        <w:tc>
          <w:tcPr>
            <w:tcW w:w="7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settlements</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end of year</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Total accrued interest was $2.1 million, $2.0 million, and $1.7 million as of August 31, 2022, 2021, and 2020, respectively. There were no accruals related to income tax penalties during fiscal 2022.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The classification of interest and penalties did not change during the current fiscal year. We are routinely under audit from various tax jurisdictions. We do not currently anticipate material audit assessments.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Supplemental Disaggregated Information</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Sales of lighting, lighting controls, and building technology solutions, excluding services, accounted for approximately 99% of total consolidated net sales in fiscal 2022, 2021, and 2020. Our geographic distribution of net sales, operating profit, income before provision for income taxes, and long-lived assets is summarized in the following table during and as of the periods presented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3,486.4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2,982.4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2,925.0</w:t>
            </w:r>
          </w:p>
        </w:tc>
      </w:tr>
      <w:tr>
        <w:trPr>
          <w:trHeight w:val="215"/>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w:t>
            </w:r>
          </w:p>
        </w:tc>
      </w:tr>
      <w:tr>
        <w:trPr>
          <w:trHeight w:val="210"/>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3,326.3</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428.3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300.6</w:t>
            </w:r>
          </w:p>
        </w:tc>
      </w:tr>
      <w:tr>
        <w:trPr>
          <w:trHeight w:val="215"/>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0"/>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343.7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274.2</w:t>
            </w:r>
          </w:p>
        </w:tc>
      </w:tr>
      <w:tr>
        <w:trPr>
          <w:trHeight w:val="215"/>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0"/>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298.6</w:t>
            </w:r>
          </w:p>
        </w:tc>
      </w:tr>
      <w:tr>
        <w:trPr>
          <w:trHeight w:val="215"/>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10"/>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9"/>
          <w:szCs w:val="9"/>
          <w:color w:val="auto"/>
        </w:rPr>
      </w:pPr>
      <w:r>
        <w:rPr>
          <w:rFonts w:ascii="Arial" w:cs="Arial" w:eastAsia="Arial" w:hAnsi="Arial"/>
          <w:sz w:val="14"/>
          <w:szCs w:val="14"/>
          <w:color w:val="auto"/>
        </w:rPr>
        <w:t>Net sales are attributed to each country based on the selling location.</w:t>
      </w:r>
    </w:p>
    <w:p>
      <w:pPr>
        <w:spacing w:after="0" w:line="28" w:lineRule="exact"/>
        <w:rPr>
          <w:rFonts w:ascii="Arial" w:cs="Arial" w:eastAsia="Arial" w:hAnsi="Arial"/>
          <w:sz w:val="9"/>
          <w:szCs w:val="9"/>
          <w:color w:val="auto"/>
        </w:rPr>
      </w:pPr>
    </w:p>
    <w:p>
      <w:pPr>
        <w:ind w:left="640" w:hanging="308"/>
        <w:spacing w:after="0"/>
        <w:tabs>
          <w:tab w:leader="none" w:pos="640" w:val="left"/>
        </w:tabs>
        <w:numPr>
          <w:ilvl w:val="0"/>
          <w:numId w:val="15"/>
        </w:numPr>
        <w:rPr>
          <w:rFonts w:ascii="Arial" w:cs="Arial" w:eastAsia="Arial" w:hAnsi="Arial"/>
          <w:sz w:val="9"/>
          <w:szCs w:val="9"/>
          <w:color w:val="auto"/>
        </w:rPr>
      </w:pPr>
      <w:r>
        <w:rPr>
          <w:rFonts w:ascii="Arial" w:cs="Arial" w:eastAsia="Arial" w:hAnsi="Arial"/>
          <w:sz w:val="14"/>
          <w:szCs w:val="14"/>
          <w:color w:val="auto"/>
        </w:rPr>
        <w:t>Domestic amounts include amounts for U.S. based operations.</w:t>
      </w:r>
    </w:p>
    <w:p>
      <w:pPr>
        <w:spacing w:after="0" w:line="14" w:lineRule="exact"/>
        <w:rPr>
          <w:rFonts w:ascii="Arial" w:cs="Arial" w:eastAsia="Arial" w:hAnsi="Arial"/>
          <w:sz w:val="9"/>
          <w:szCs w:val="9"/>
          <w:color w:val="auto"/>
        </w:rPr>
      </w:pPr>
    </w:p>
    <w:p>
      <w:pPr>
        <w:ind w:left="660" w:hanging="328"/>
        <w:spacing w:after="0" w:line="222" w:lineRule="auto"/>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 xml:space="preserve">Long-lived assets include net property, plant, and equipment, operating lease right-of-use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2022.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2022.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2022 Financial Statements in Item 8 of this Annual Report on Form 10-K, under the headings, </w:t>
      </w: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Internal Control Over Financial Reporting, respectively, and are incorporated herein by reference.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will be included under the caption </w:t>
      </w:r>
      <w:r>
        <w:rPr>
          <w:rFonts w:ascii="Arial" w:cs="Arial" w:eastAsia="Arial" w:hAnsi="Arial"/>
          <w:sz w:val="18"/>
          <w:szCs w:val="18"/>
          <w:i w:val="1"/>
          <w:iCs w:val="1"/>
          <w:color w:val="auto"/>
        </w:rPr>
        <w:t>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Information </w:t>
      </w:r>
      <w:r>
        <w:rPr>
          <w:rFonts w:ascii="Arial" w:cs="Arial" w:eastAsia="Arial" w:hAnsi="Arial"/>
          <w:sz w:val="18"/>
          <w:szCs w:val="18"/>
          <w:color w:val="auto"/>
        </w:rPr>
        <w:t>of our proxy statement for the annual meeting of stockholders to be held January 25, 2023, to</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with the Securities and Exchange Commission pursuant to Regulation 14A, and is incorporated herein by reference.</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25, 2023, to be filed with the Securities and Exchange Commission pursuant to Regulation 14A, and is incorporated herein by reference.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captions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2023, to be filed with the Securities and Exchange Commission pursuant to Regulation 14A, and is incorporated herein by reference.</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Director Information, Board and Committees (</w:t>
      </w:r>
      <w:r>
        <w:rPr>
          <w:rFonts w:ascii="Arial" w:cs="Arial" w:eastAsia="Arial" w:hAnsi="Arial"/>
          <w:sz w:val="18"/>
          <w:szCs w:val="18"/>
          <w:color w:val="auto"/>
        </w:rPr>
        <w:t xml:space="preserve">including </w:t>
      </w:r>
      <w:r>
        <w:rPr>
          <w:rFonts w:ascii="Arial" w:cs="Arial" w:eastAsia="Arial" w:hAnsi="Arial"/>
          <w:sz w:val="18"/>
          <w:szCs w:val="18"/>
          <w:i w:val="1"/>
          <w:iCs w:val="1"/>
          <w:color w:val="auto"/>
        </w:rPr>
        <w:t xml:space="preserve">Compensation Committee Interlocks and Insider Participation), Compensation of Directors, Compensation Discussion and Analysis, Report of the Compensation and Management Development Committee, Fiscal 2022 Summary Compensation Table, Fiscal 2022 Grants of Plan-Based Awards, Outstanding Equity Awards at Fiscal 2022 Year-End, Option Exercises and Stock Vested in Fiscal 2022, Pension Benefits in Fiscal 2022, Fiscal 2022 Non-Qualified Deferred Compensation, Employment Arrangements, Potential Payments upon Termination, CEO Pay Ratio,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 statement for the annual meeting of stockholders to be held January 25, 2023,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pursuant to Regulation 14A, and is incorporated herein by reference.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Equity Compensation Plans</w:t>
      </w:r>
      <w:r>
        <w:rPr>
          <w:rFonts w:ascii="Arial" w:cs="Arial" w:eastAsia="Arial" w:hAnsi="Arial"/>
          <w:sz w:val="18"/>
          <w:szCs w:val="18"/>
          <w:color w:val="auto"/>
        </w:rPr>
        <w:t xml:space="preserve"> and </w:t>
      </w:r>
      <w:r>
        <w:rPr>
          <w:rFonts w:ascii="Arial" w:cs="Arial" w:eastAsia="Arial" w:hAnsi="Arial"/>
          <w:sz w:val="18"/>
          <w:szCs w:val="18"/>
          <w:i w:val="1"/>
          <w:iCs w:val="1"/>
          <w:color w:val="auto"/>
        </w:rPr>
        <w:t>Beneficial Ownership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Company’s Securities </w:t>
      </w:r>
      <w:r>
        <w:rPr>
          <w:rFonts w:ascii="Arial" w:cs="Arial" w:eastAsia="Arial" w:hAnsi="Arial"/>
          <w:sz w:val="18"/>
          <w:szCs w:val="18"/>
          <w:color w:val="auto"/>
        </w:rPr>
        <w:t>of our proxy statement for the annual meeting of stockholders to be held January 25, 2023,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Certain Relationships and Related Party Transactions,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Board and Committees </w:t>
      </w:r>
      <w:r>
        <w:rPr>
          <w:rFonts w:ascii="Arial" w:cs="Arial" w:eastAsia="Arial" w:hAnsi="Arial"/>
          <w:sz w:val="18"/>
          <w:szCs w:val="18"/>
          <w:color w:val="auto"/>
        </w:rPr>
        <w:t>of our proxy statement for the annual meeting of stockholders to be held January 25, 2023,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pursuant to Regulation 14A, and is incorporated herein by reference.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information required by this item concerning our principal accountant will be included under the captions </w:t>
      </w:r>
      <w:r>
        <w:rPr>
          <w:rFonts w:ascii="Arial" w:cs="Arial" w:eastAsia="Arial" w:hAnsi="Arial"/>
          <w:sz w:val="18"/>
          <w:szCs w:val="18"/>
          <w:i w:val="1"/>
          <w:iCs w:val="1"/>
          <w:color w:val="auto"/>
        </w:rPr>
        <w:t>Audit Fees and Other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Preapproval Policies and 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the Audit Committee </w:t>
      </w:r>
      <w:r>
        <w:rPr>
          <w:rFonts w:ascii="Arial" w:cs="Arial" w:eastAsia="Arial" w:hAnsi="Arial"/>
          <w:sz w:val="18"/>
          <w:szCs w:val="18"/>
          <w:color w:val="auto"/>
        </w:rPr>
        <w:t>of our proxy statement for the annual meeting of stockholders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January 25, 2023, to be filed with 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800" w:type="dxa"/>
            <w:vAlign w:val="bottom"/>
            <w:gridSpan w:val="7"/>
          </w:tcPr>
          <w:p>
            <w:pPr>
              <w:ind w:left="108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1"/>
                <w:szCs w:val="21"/>
                <w:color w:val="auto"/>
              </w:rPr>
            </w:pPr>
          </w:p>
        </w:tc>
      </w:tr>
      <w:tr>
        <w:trPr>
          <w:trHeight w:val="459"/>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300" w:type="dxa"/>
            <w:vAlign w:val="bottom"/>
            <w:gridSpan w:val="8"/>
          </w:tcPr>
          <w:p>
            <w:pPr>
              <w:ind w:left="6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30"/>
        </w:trPr>
        <w:tc>
          <w:tcPr>
            <w:tcW w:w="1100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49"/>
        </w:trPr>
        <w:tc>
          <w:tcPr>
            <w:tcW w:w="11000" w:type="dxa"/>
            <w:vAlign w:val="bottom"/>
            <w:gridSpan w:val="11"/>
          </w:tcPr>
          <w:p>
            <w:pPr>
              <w:ind w:left="240"/>
              <w:spacing w:after="0"/>
              <w:rPr>
                <w:sz w:val="20"/>
                <w:szCs w:val="20"/>
                <w:color w:val="auto"/>
              </w:rPr>
            </w:pPr>
            <w:r>
              <w:rPr>
                <w:rFonts w:ascii="Arial" w:cs="Arial" w:eastAsia="Arial" w:hAnsi="Arial"/>
                <w:sz w:val="18"/>
                <w:szCs w:val="18"/>
                <w:color w:val="0000FF"/>
              </w:rPr>
              <w:t>(1)   Management’s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30</w:t>
            </w:r>
          </w:p>
        </w:tc>
      </w:tr>
      <w:tr>
        <w:trPr>
          <w:trHeight w:val="209"/>
        </w:trPr>
        <w:tc>
          <w:tcPr>
            <w:tcW w:w="2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Reports of Independent Registered Public Accounting Firm</w:t>
            </w:r>
          </w:p>
        </w:tc>
        <w:tc>
          <w:tcPr>
            <w:tcW w:w="600" w:type="dxa"/>
            <w:vAlign w:val="bottom"/>
            <w:tcBorders>
              <w:top w:val="single" w:sz="8" w:color="0000FF"/>
            </w:tcBorders>
            <w:gridSpan w:val="2"/>
          </w:tcPr>
          <w:p>
            <w:pPr>
              <w:spacing w:after="0"/>
              <w:rPr>
                <w:sz w:val="18"/>
                <w:szCs w:val="18"/>
                <w:color w:val="auto"/>
              </w:rPr>
            </w:pPr>
          </w:p>
        </w:tc>
        <w:tc>
          <w:tcPr>
            <w:tcW w:w="500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89"/>
              </w:rPr>
              <w:t>31</w:t>
            </w: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Balance Sheets as of August 31, 2022 and 2021</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34</w:t>
            </w: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Comprehensive Income for the years ended August 31, 2022, 2021, and 2020</w:t>
            </w:r>
          </w:p>
        </w:tc>
        <w:tc>
          <w:tcPr>
            <w:tcW w:w="18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35</w:t>
            </w: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 for the years ended August 31, 2022, 2021, and 2020</w:t>
            </w:r>
          </w:p>
        </w:tc>
        <w:tc>
          <w:tcPr>
            <w:tcW w:w="278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36</w:t>
            </w: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August 31, 2022, 2021, and 2020</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37</w:t>
            </w: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100" w:type="dxa"/>
            <w:vAlign w:val="bottom"/>
            <w:gridSpan w:val="2"/>
          </w:tcPr>
          <w:p>
            <w:pPr>
              <w:spacing w:after="0"/>
              <w:rPr>
                <w:sz w:val="18"/>
                <w:szCs w:val="18"/>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700" w:hanging="46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31" w:lineRule="exact"/>
        <w:rPr>
          <w:rFonts w:ascii="Arial" w:cs="Arial" w:eastAsia="Arial" w:hAnsi="Arial"/>
          <w:sz w:val="18"/>
          <w:szCs w:val="18"/>
          <w:color w:val="auto"/>
        </w:rPr>
      </w:pPr>
    </w:p>
    <w:p>
      <w:pPr>
        <w:ind w:left="700" w:right="1520"/>
        <w:spacing w:after="0" w:line="234" w:lineRule="auto"/>
        <w:rPr>
          <w:rFonts w:ascii="Arial" w:cs="Arial" w:eastAsia="Arial" w:hAnsi="Arial"/>
          <w:sz w:val="18"/>
          <w:szCs w:val="18"/>
          <w:color w:val="auto"/>
        </w:rPr>
      </w:pPr>
      <w:r>
        <w:rPr>
          <w:rFonts w:ascii="Arial" w:cs="Arial" w:eastAsia="Arial" w:hAnsi="Arial"/>
          <w:sz w:val="18"/>
          <w:szCs w:val="18"/>
          <w:color w:val="auto"/>
        </w:rPr>
        <w:t>Any of Schedules I through V not listed above have been omitted because they are not applicable or the required information is included in the consolidated financial statements or notes thereto</w:t>
      </w:r>
    </w:p>
    <w:p>
      <w:pPr>
        <w:spacing w:after="0" w:line="5" w:lineRule="exact"/>
        <w:rPr>
          <w:rFonts w:ascii="Arial" w:cs="Arial" w:eastAsia="Arial" w:hAnsi="Arial"/>
          <w:sz w:val="18"/>
          <w:szCs w:val="18"/>
          <w:color w:val="auto"/>
        </w:rPr>
      </w:pPr>
    </w:p>
    <w:p>
      <w:pPr>
        <w:ind w:left="700" w:hanging="46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31" w:lineRule="exact"/>
        <w:rPr>
          <w:rFonts w:ascii="Arial" w:cs="Arial" w:eastAsia="Arial" w:hAnsi="Arial"/>
          <w:sz w:val="18"/>
          <w:szCs w:val="18"/>
          <w:color w:val="auto"/>
        </w:rPr>
      </w:pPr>
    </w:p>
    <w:p>
      <w:pPr>
        <w:ind w:left="700" w:right="1220"/>
        <w:spacing w:after="0" w:line="234"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Brands, Inc., Investor Relations Department, 1170 Peachtree Street, N.E., Suite 2300, Atlanta, Georgia 30309-7676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gridSpan w:val="11"/>
          </w:tcPr>
          <w:p>
            <w:pPr>
              <w:ind w:left="700"/>
              <w:spacing w:after="0"/>
              <w:rPr>
                <w:sz w:val="20"/>
                <w:szCs w:val="20"/>
                <w:color w:val="auto"/>
              </w:rPr>
            </w:pPr>
            <w:r>
              <w:rPr>
                <w:rFonts w:ascii="Arial" w:cs="Arial" w:eastAsia="Arial" w:hAnsi="Arial"/>
                <w:sz w:val="18"/>
                <w:szCs w:val="18"/>
                <w:b w:val="1"/>
                <w:bCs w:val="1"/>
                <w:color w:val="auto"/>
              </w:rPr>
              <w:t>INDEX TO EXHIBITS</w:t>
            </w:r>
          </w:p>
        </w:tc>
      </w:tr>
      <w:tr>
        <w:trPr>
          <w:trHeight w:val="198"/>
        </w:trPr>
        <w:tc>
          <w:tcPr>
            <w:tcW w:w="1420" w:type="dxa"/>
            <w:vAlign w:val="bottom"/>
          </w:tcPr>
          <w:p>
            <w:pPr>
              <w:spacing w:after="0" w:line="190" w:lineRule="exact"/>
              <w:rPr>
                <w:sz w:val="20"/>
                <w:szCs w:val="20"/>
                <w:color w:val="auto"/>
              </w:rPr>
            </w:pPr>
            <w:r>
              <w:rPr>
                <w:rFonts w:ascii="Arial" w:cs="Arial" w:eastAsia="Arial" w:hAnsi="Arial"/>
                <w:sz w:val="18"/>
                <w:szCs w:val="18"/>
                <w:color w:val="auto"/>
              </w:rPr>
              <w:t>EXHIBIT 3</w:t>
            </w:r>
          </w:p>
        </w:tc>
        <w:tc>
          <w:tcPr>
            <w:tcW w:w="5120" w:type="dxa"/>
            <w:vAlign w:val="bottom"/>
            <w:gridSpan w:val="14"/>
          </w:tcPr>
          <w:p>
            <w:pPr>
              <w:ind w:left="56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(a)  </w:t>
            </w:r>
            <w:hyperlink r:id="rId129">
              <w:r>
                <w:rPr>
                  <w:rFonts w:ascii="Arial" w:cs="Arial" w:eastAsia="Arial" w:hAnsi="Arial"/>
                  <w:sz w:val="18"/>
                  <w:szCs w:val="18"/>
                  <w:color w:val="0000FF"/>
                </w:rPr>
                <w:t>Restated Certificate of Incorporation of Acuity</w:t>
              </w:r>
            </w:hyperlink>
          </w:p>
        </w:tc>
      </w:tr>
      <w:tr>
        <w:trPr>
          <w:trHeight w:val="162"/>
        </w:trPr>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20" w:type="dxa"/>
            <w:vAlign w:val="bottom"/>
            <w:tcBorders>
              <w:top w:val="single" w:sz="8" w:color="0000FF"/>
            </w:tcBorders>
            <w:gridSpan w:val="5"/>
          </w:tcPr>
          <w:p>
            <w:pPr>
              <w:spacing w:after="0" w:line="162"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Brands, Inc. (formerly Acuity Brands Holdings,</w:t>
              </w:r>
            </w:hyperlink>
          </w:p>
        </w:tc>
        <w:tc>
          <w:tcPr>
            <w:tcW w:w="560" w:type="dxa"/>
            <w:vAlign w:val="bottom"/>
            <w:gridSpan w:val="8"/>
          </w:tcPr>
          <w:p>
            <w:pPr>
              <w:ind w:left="120"/>
              <w:spacing w:after="0" w:line="162" w:lineRule="exact"/>
              <w:rPr>
                <w:rFonts w:ascii="Arial" w:cs="Arial" w:eastAsia="Arial" w:hAnsi="Arial"/>
                <w:sz w:val="18"/>
                <w:szCs w:val="18"/>
                <w:color w:val="0000FF"/>
              </w:rPr>
            </w:pPr>
            <w:hyperlink r:id="rId129">
              <w:r>
                <w:rPr>
                  <w:rFonts w:ascii="Arial" w:cs="Arial" w:eastAsia="Arial" w:hAnsi="Arial"/>
                  <w:sz w:val="18"/>
                  <w:szCs w:val="18"/>
                  <w:color w:val="0000FF"/>
                </w:rPr>
                <w:t>Inc.),</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dated as of September 26,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130">
              <w:r>
                <w:rPr>
                  <w:rFonts w:ascii="Arial" w:cs="Arial" w:eastAsia="Arial" w:hAnsi="Arial"/>
                  <w:sz w:val="18"/>
                  <w:szCs w:val="18"/>
                  <w:color w:val="0000FF"/>
                </w:rPr>
                <w:t>Certificate of Amendment of Acuity Brands, Inc.</w:t>
              </w:r>
            </w:hyperlink>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80" w:type="dxa"/>
            <w:vAlign w:val="bottom"/>
            <w:gridSpan w:val="13"/>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(formerly Acuity Brands Holdings, Inc.), dated as of</w:t>
              </w:r>
            </w:hyperlink>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September 26, 2007.</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131">
              <w:r>
                <w:rPr>
                  <w:rFonts w:ascii="Arial" w:cs="Arial" w:eastAsia="Arial" w:hAnsi="Arial"/>
                  <w:sz w:val="18"/>
                  <w:szCs w:val="18"/>
                  <w:color w:val="0000FF"/>
                </w:rPr>
                <w:t>Certificate of Amendment to the Restated Certificate</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January 6, 2017.</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66"/>
        </w:trPr>
        <w:tc>
          <w:tcPr>
            <w:tcW w:w="1420" w:type="dxa"/>
            <w:vAlign w:val="bottom"/>
          </w:tcPr>
          <w:p>
            <w:pPr>
              <w:spacing w:after="0"/>
              <w:rPr>
                <w:sz w:val="24"/>
                <w:szCs w:val="24"/>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132">
              <w:r>
                <w:rPr>
                  <w:rFonts w:ascii="Arial" w:cs="Arial" w:eastAsia="Arial" w:hAnsi="Arial"/>
                  <w:sz w:val="18"/>
                  <w:szCs w:val="18"/>
                  <w:color w:val="0000FF"/>
                </w:rPr>
                <w:t>Certificate of Amendment to the Restated Certificate</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January 7, 2021.</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(e)  </w:t>
            </w:r>
            <w:hyperlink r:id="rId133">
              <w:r>
                <w:rPr>
                  <w:rFonts w:ascii="Arial" w:cs="Arial" w:eastAsia="Arial" w:hAnsi="Arial"/>
                  <w:sz w:val="18"/>
                  <w:szCs w:val="18"/>
                  <w:color w:val="0000FF"/>
                </w:rPr>
                <w:t>Amended and Restated Bylaws of Acuity Brands,</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Inc., dated as of January 7, 2021.</w:t>
              </w:r>
            </w:hyperlink>
          </w:p>
        </w:tc>
        <w:tc>
          <w:tcPr>
            <w:tcW w:w="1240" w:type="dxa"/>
            <w:vAlign w:val="bottom"/>
            <w:tcBorders>
              <w:top w:val="single" w:sz="8" w:color="0000FF"/>
            </w:tcBorders>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99"/>
        </w:trPr>
        <w:tc>
          <w:tcPr>
            <w:tcW w:w="1420" w:type="dxa"/>
            <w:vAlign w:val="bottom"/>
          </w:tcPr>
          <w:p>
            <w:pPr>
              <w:spacing w:after="0"/>
              <w:rPr>
                <w:sz w:val="20"/>
                <w:szCs w:val="20"/>
                <w:color w:val="auto"/>
              </w:rPr>
            </w:pPr>
            <w:r>
              <w:rPr>
                <w:rFonts w:ascii="Arial" w:cs="Arial" w:eastAsia="Arial" w:hAnsi="Arial"/>
                <w:sz w:val="18"/>
                <w:szCs w:val="18"/>
                <w:color w:val="auto"/>
              </w:rPr>
              <w:t>EXHIBIT 4</w:t>
            </w:r>
          </w:p>
        </w:tc>
        <w:tc>
          <w:tcPr>
            <w:tcW w:w="5120" w:type="dxa"/>
            <w:vAlign w:val="bottom"/>
            <w:gridSpan w:val="14"/>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134">
              <w:r>
                <w:rPr>
                  <w:rFonts w:ascii="Arial" w:cs="Arial" w:eastAsia="Arial" w:hAnsi="Arial"/>
                  <w:sz w:val="18"/>
                  <w:szCs w:val="18"/>
                  <w:color w:val="0000FF"/>
                </w:rPr>
                <w:t>Form of Certificate representing Acuity Brands, Inc.</w:t>
              </w:r>
            </w:hyperlink>
          </w:p>
        </w:tc>
      </w:tr>
      <w:tr>
        <w:trPr>
          <w:trHeight w:val="156"/>
        </w:trPr>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Common Stock.</w:t>
              </w:r>
            </w:hyperlink>
          </w:p>
        </w:tc>
        <w:tc>
          <w:tcPr>
            <w:tcW w:w="10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6" w:lineRule="exact"/>
        <w:rPr>
          <w:sz w:val="20"/>
          <w:szCs w:val="20"/>
          <w:color w:val="auto"/>
        </w:rPr>
      </w:pPr>
    </w:p>
    <w:p>
      <w:pPr>
        <w:ind w:left="2380" w:hanging="383"/>
        <w:spacing w:after="0"/>
        <w:tabs>
          <w:tab w:leader="none" w:pos="2380" w:val="left"/>
        </w:tabs>
        <w:numPr>
          <w:ilvl w:val="0"/>
          <w:numId w:val="17"/>
        </w:numPr>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Description of Securities.</w:t>
        </w:r>
      </w:hyperlink>
    </w:p>
    <w:p>
      <w:pPr>
        <w:spacing w:after="0" w:line="387" w:lineRule="exact"/>
        <w:rPr>
          <w:rFonts w:ascii="Arial" w:cs="Arial" w:eastAsia="Arial" w:hAnsi="Arial"/>
          <w:sz w:val="18"/>
          <w:szCs w:val="18"/>
          <w:u w:val="single" w:color="auto"/>
          <w:color w:val="0000FF"/>
        </w:rPr>
      </w:pPr>
    </w:p>
    <w:p>
      <w:pPr>
        <w:jc w:val="both"/>
        <w:ind w:left="2380" w:right="40" w:hanging="378"/>
        <w:spacing w:after="0" w:line="227" w:lineRule="auto"/>
        <w:tabs>
          <w:tab w:leader="none" w:pos="2380" w:val="left"/>
        </w:tabs>
        <w:numPr>
          <w:ilvl w:val="0"/>
          <w:numId w:val="17"/>
        </w:numPr>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Indenture, dated as of November 10, 2020, between</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Acuity Brands Lighting, Inc. and U.S. Bank National</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Association, as trustee.</w:t>
        </w:r>
      </w:hyperlink>
    </w:p>
    <w:p>
      <w:pPr>
        <w:spacing w:after="0" w:line="182" w:lineRule="exact"/>
        <w:rPr>
          <w:rFonts w:ascii="Arial" w:cs="Arial" w:eastAsia="Arial" w:hAnsi="Arial"/>
          <w:sz w:val="18"/>
          <w:szCs w:val="18"/>
          <w:u w:val="single" w:color="auto"/>
          <w:color w:val="0000FF"/>
        </w:rPr>
      </w:pPr>
    </w:p>
    <w:p>
      <w:pPr>
        <w:jc w:val="both"/>
        <w:ind w:left="2380" w:right="20" w:hanging="383"/>
        <w:spacing w:after="0" w:line="228" w:lineRule="auto"/>
        <w:tabs>
          <w:tab w:leader="none" w:pos="2380" w:val="left"/>
        </w:tabs>
        <w:numPr>
          <w:ilvl w:val="0"/>
          <w:numId w:val="17"/>
        </w:numPr>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First Supplemental Indenture, dated as of November</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10, 2020, among Acuity Brands Lighting, Inc., Acuity</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Brands, Inc. and ABL IP Holding, LLC, and U.S.</w:t>
        </w:r>
      </w:hyperlink>
    </w:p>
    <w:p>
      <w:pPr>
        <w:ind w:left="2380"/>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Bank National Association, as trustee.</w:t>
        </w:r>
      </w:hyperlink>
    </w:p>
    <w:p>
      <w:pPr>
        <w:spacing w:after="0" w:line="13" w:lineRule="exact"/>
        <w:rPr>
          <w:rFonts w:ascii="Arial" w:cs="Arial" w:eastAsia="Arial" w:hAnsi="Arial"/>
          <w:sz w:val="18"/>
          <w:szCs w:val="18"/>
          <w:u w:val="single" w:color="auto"/>
          <w:color w:val="0000FF"/>
        </w:rPr>
      </w:pPr>
    </w:p>
    <w:p>
      <w:pPr>
        <w:ind w:left="2380" w:hanging="383"/>
        <w:spacing w:after="0" w:line="219" w:lineRule="auto"/>
        <w:tabs>
          <w:tab w:leader="none" w:pos="2380" w:val="left"/>
        </w:tabs>
        <w:numPr>
          <w:ilvl w:val="0"/>
          <w:numId w:val="17"/>
        </w:numPr>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Officer’s Certificate, dated as of November 10, 2020,</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pursuant to Sections 3.01 and 3.03 of the Indenture,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dated November 10, 2020, setting forth the terms of</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the 2.150% Senior Notes due 2030. the 2.150%</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Senior Notes due 2030.</w:t>
        </w:r>
      </w:hyperlink>
    </w:p>
    <w:p>
      <w:pPr>
        <w:spacing w:after="0" w:line="5" w:lineRule="exact"/>
        <w:rPr>
          <w:rFonts w:ascii="Arial" w:cs="Arial" w:eastAsia="Arial" w:hAnsi="Arial"/>
          <w:sz w:val="18"/>
          <w:szCs w:val="18"/>
          <w:u w:val="single" w:color="auto"/>
          <w:color w:val="0000FF"/>
        </w:rPr>
      </w:pPr>
    </w:p>
    <w:p>
      <w:pPr>
        <w:ind w:left="2380" w:right="60" w:hanging="358"/>
        <w:spacing w:after="0"/>
        <w:tabs>
          <w:tab w:leader="none" w:pos="2380" w:val="left"/>
        </w:tabs>
        <w:numPr>
          <w:ilvl w:val="0"/>
          <w:numId w:val="18"/>
        </w:numPr>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Form of 2.150% Senior Notes due 2030 (included in</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Exhibit 4.3).</w:t>
        </w:r>
      </w:hyperlink>
    </w:p>
    <w:p>
      <w:pPr>
        <w:spacing w:after="0" w:line="34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EXHIBIT 10(i)</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980" w:type="dxa"/>
            <w:vAlign w:val="bottom"/>
            <w:tcBorders>
              <w:bottom w:val="single" w:sz="8" w:color="0000FF"/>
            </w:tcBorders>
            <w:gridSpan w:val="5"/>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Five-Year Credit Agreement dated June 30, 2022.</w:t>
              </w:r>
            </w:hyperlink>
          </w:p>
        </w:tc>
        <w:tc>
          <w:tcPr>
            <w:tcW w:w="180" w:type="dxa"/>
            <w:vAlign w:val="bottom"/>
          </w:tcPr>
          <w:p>
            <w:pPr>
              <w:spacing w:after="0"/>
              <w:rPr>
                <w:sz w:val="18"/>
                <w:szCs w:val="18"/>
                <w:color w:val="auto"/>
              </w:rPr>
            </w:pPr>
          </w:p>
        </w:tc>
      </w:tr>
      <w:tr>
        <w:trPr>
          <w:trHeight w:val="763"/>
        </w:trPr>
        <w:tc>
          <w:tcPr>
            <w:tcW w:w="1640" w:type="dxa"/>
            <w:vAlign w:val="bottom"/>
          </w:tcPr>
          <w:p>
            <w:pPr>
              <w:ind w:left="20"/>
              <w:spacing w:after="0"/>
              <w:rPr>
                <w:sz w:val="20"/>
                <w:szCs w:val="20"/>
                <w:color w:val="auto"/>
              </w:rPr>
            </w:pPr>
            <w:r>
              <w:rPr>
                <w:rFonts w:ascii="Arial" w:cs="Arial" w:eastAsia="Arial" w:hAnsi="Arial"/>
                <w:sz w:val="18"/>
                <w:szCs w:val="18"/>
                <w:color w:val="auto"/>
              </w:rPr>
              <w:t>EXHIBIT 10(iii)A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5"/>
          </w:tcPr>
          <w:p>
            <w:pPr>
              <w:spacing w:after="0"/>
              <w:rPr>
                <w:sz w:val="20"/>
                <w:szCs w:val="20"/>
                <w:color w:val="auto"/>
              </w:rPr>
            </w:pPr>
            <w:r>
              <w:rPr>
                <w:rFonts w:ascii="Arial" w:cs="Arial" w:eastAsia="Arial" w:hAnsi="Arial"/>
                <w:sz w:val="18"/>
                <w:szCs w:val="18"/>
                <w:color w:val="auto"/>
              </w:rPr>
              <w:t>Management Contracts and Compensatory</w:t>
            </w:r>
          </w:p>
        </w:tc>
      </w:tr>
      <w:tr>
        <w:trPr>
          <w:trHeight w:val="238"/>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5"/>
          </w:tcPr>
          <w:p>
            <w:pPr>
              <w:spacing w:after="0"/>
              <w:rPr>
                <w:sz w:val="20"/>
                <w:szCs w:val="20"/>
                <w:color w:val="auto"/>
              </w:rPr>
            </w:pPr>
            <w:r>
              <w:rPr>
                <w:rFonts w:ascii="Arial" w:cs="Arial" w:eastAsia="Arial" w:hAnsi="Arial"/>
                <w:sz w:val="18"/>
                <w:szCs w:val="18"/>
                <w:color w:val="auto"/>
              </w:rPr>
              <w:t>Arrangements:</w:t>
            </w:r>
          </w:p>
        </w:tc>
      </w:tr>
      <w:tr>
        <w:trPr>
          <w:trHeight w:val="194"/>
        </w:trPr>
        <w:tc>
          <w:tcPr>
            <w:tcW w:w="164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Borders>
              <w:bottom w:val="single" w:sz="8" w:color="0000FF"/>
            </w:tcBorders>
            <w:gridSpan w:val="5"/>
          </w:tcPr>
          <w:p>
            <w:pPr>
              <w:spacing w:after="0" w:line="195"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Acuity Brands, Inc. Supplemental Deferred Savings</w:t>
              </w:r>
            </w:hyperlink>
          </w:p>
        </w:tc>
      </w:tr>
      <w:tr>
        <w:trPr>
          <w:trHeight w:val="155"/>
        </w:trPr>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5"/>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Plan.</w:t>
              </w:r>
            </w:hyperlink>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574"/>
        </w:trPr>
        <w:tc>
          <w:tcPr>
            <w:tcW w:w="1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5"/>
          </w:tcPr>
          <w:p>
            <w:pPr>
              <w:spacing w:after="0"/>
              <w:rPr>
                <w:rFonts w:ascii="Arial" w:cs="Arial" w:eastAsia="Arial" w:hAnsi="Arial"/>
                <w:sz w:val="18"/>
                <w:szCs w:val="18"/>
                <w:color w:val="0000FF"/>
              </w:rPr>
            </w:pPr>
            <w:hyperlink r:id="rId141">
              <w:r>
                <w:rPr>
                  <w:rFonts w:ascii="Arial" w:cs="Arial" w:eastAsia="Arial" w:hAnsi="Arial"/>
                  <w:sz w:val="18"/>
                  <w:szCs w:val="18"/>
                  <w:color w:val="0000FF"/>
                </w:rPr>
                <w:t>Amendment No. 1 to Acuity Brands, Inc.</w:t>
              </w:r>
            </w:hyperlink>
          </w:p>
        </w:tc>
      </w:tr>
      <w:tr>
        <w:trPr>
          <w:trHeight w:val="155"/>
        </w:trPr>
        <w:tc>
          <w:tcPr>
            <w:tcW w:w="1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Supplemental Deferred Savings Plan.</w:t>
              </w:r>
            </w:hyperlink>
          </w:p>
        </w:tc>
        <w:tc>
          <w:tcPr>
            <w:tcW w:w="200" w:type="dxa"/>
            <w:vAlign w:val="bottom"/>
            <w:tcBorders>
              <w:top w:val="single" w:sz="8" w:color="0000FF"/>
            </w:tcBorders>
          </w:tcPr>
          <w:p>
            <w:pPr>
              <w:spacing w:after="0"/>
              <w:rPr>
                <w:sz w:val="13"/>
                <w:szCs w:val="13"/>
                <w:color w:val="auto"/>
              </w:rPr>
            </w:pPr>
          </w:p>
        </w:tc>
        <w:tc>
          <w:tcPr>
            <w:tcW w:w="88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180"/>
        <w:spacing w:after="0" w:line="215" w:lineRule="auto"/>
        <w:rPr>
          <w:sz w:val="20"/>
          <w:szCs w:val="20"/>
          <w:color w:val="auto"/>
        </w:rPr>
      </w:pPr>
      <w:r>
        <w:rPr>
          <w:rFonts w:ascii="Arial" w:cs="Arial" w:eastAsia="Arial" w:hAnsi="Arial"/>
          <w:sz w:val="18"/>
          <w:szCs w:val="18"/>
          <w:color w:val="auto"/>
        </w:rPr>
        <w:t>Reference is made to Exhibit 3.1 of registrant’s Form 8-K as filed with the Commission on September 26, 2007, which is incorporated herein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reference.</w:t>
      </w:r>
    </w:p>
    <w:p>
      <w:pPr>
        <w:spacing w:after="0" w:line="14" w:lineRule="exact"/>
        <w:rPr>
          <w:sz w:val="20"/>
          <w:szCs w:val="20"/>
          <w:color w:val="auto"/>
        </w:rPr>
      </w:pPr>
    </w:p>
    <w:p>
      <w:pPr>
        <w:ind w:left="20" w:right="180"/>
        <w:spacing w:after="0" w:line="212" w:lineRule="auto"/>
        <w:rPr>
          <w:sz w:val="20"/>
          <w:szCs w:val="20"/>
          <w:color w:val="auto"/>
        </w:rPr>
      </w:pPr>
      <w:r>
        <w:rPr>
          <w:rFonts w:ascii="Arial" w:cs="Arial" w:eastAsia="Arial" w:hAnsi="Arial"/>
          <w:sz w:val="18"/>
          <w:szCs w:val="18"/>
          <w:color w:val="auto"/>
        </w:rPr>
        <w:t>Reference is made to Exhibit 3.2 of registrant’s Form 8-K as filed with the Commission on September 26, 2007, which is incorporated herein</w:t>
      </w:r>
    </w:p>
    <w:p>
      <w:pPr>
        <w:ind w:left="20"/>
        <w:spacing w:after="0"/>
        <w:rPr>
          <w:sz w:val="20"/>
          <w:szCs w:val="20"/>
          <w:color w:val="auto"/>
        </w:rPr>
      </w:pPr>
      <w:r>
        <w:rPr>
          <w:rFonts w:ascii="Arial" w:cs="Arial" w:eastAsia="Arial" w:hAnsi="Arial"/>
          <w:sz w:val="18"/>
          <w:szCs w:val="18"/>
          <w:color w:val="auto"/>
        </w:rPr>
        <w:t>by reference.</w:t>
      </w:r>
    </w:p>
    <w:p>
      <w:pPr>
        <w:spacing w:after="0" w:line="14"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3(c) of registrant’s Form 10-Q as filed with the Commission on January 9, 2017, which is incorporated herein by reference.</w:t>
      </w:r>
    </w:p>
    <w:p>
      <w:pPr>
        <w:spacing w:after="0" w:line="249"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3(d) of registrant’s Form 10-Q as filed with the Commission on January 7, 2021, which is incorporated herein by reference.</w:t>
      </w:r>
    </w:p>
    <w:p>
      <w:pPr>
        <w:spacing w:after="0" w:line="3" w:lineRule="exact"/>
        <w:rPr>
          <w:sz w:val="20"/>
          <w:szCs w:val="20"/>
          <w:color w:val="auto"/>
        </w:rPr>
      </w:pPr>
    </w:p>
    <w:p>
      <w:pPr>
        <w:ind w:left="20" w:right="20"/>
        <w:spacing w:after="0" w:line="242" w:lineRule="auto"/>
        <w:rPr>
          <w:sz w:val="20"/>
          <w:szCs w:val="20"/>
          <w:color w:val="auto"/>
        </w:rPr>
      </w:pPr>
      <w:r>
        <w:rPr>
          <w:rFonts w:ascii="Arial" w:cs="Arial" w:eastAsia="Arial" w:hAnsi="Arial"/>
          <w:sz w:val="17"/>
          <w:szCs w:val="17"/>
          <w:color w:val="auto"/>
        </w:rPr>
        <w:t>Reference is made to Exhibit 3(e) of registrant's Form 10-Q as filed with the Commission on January 7, 2021, which is incorporated herein by reference.</w:t>
      </w:r>
    </w:p>
    <w:p>
      <w:pPr>
        <w:spacing w:after="0" w:line="3"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4.1 of registrant’s Form 8-K as filed with the Commission on December 14, 2001,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4(b) of registrant’s Form 10-K as filed with the Commission on October 27, 2021, which is incorporated herein by reference.</w:t>
      </w:r>
    </w:p>
    <w:p>
      <w:pPr>
        <w:spacing w:after="0" w:line="6"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4.1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spacing w:after="0" w:line="224" w:lineRule="auto"/>
        <w:rPr>
          <w:sz w:val="20"/>
          <w:szCs w:val="20"/>
          <w:color w:val="auto"/>
        </w:rPr>
      </w:pPr>
      <w:r>
        <w:rPr>
          <w:rFonts w:ascii="Arial" w:cs="Arial" w:eastAsia="Arial" w:hAnsi="Arial"/>
          <w:sz w:val="17"/>
          <w:szCs w:val="17"/>
          <w:color w:val="auto"/>
        </w:rPr>
        <w:t>Reference is made to Exhibit 4.2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spacing w:after="0" w:line="224"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94" w:lineRule="exact"/>
        <w:rPr>
          <w:sz w:val="20"/>
          <w:szCs w:val="20"/>
          <w:color w:val="auto"/>
        </w:rPr>
      </w:pPr>
    </w:p>
    <w:p>
      <w:pPr>
        <w:ind w:left="20"/>
        <w:spacing w:after="0" w:line="228" w:lineRule="auto"/>
        <w:rPr>
          <w:sz w:val="20"/>
          <w:szCs w:val="20"/>
          <w:color w:val="auto"/>
        </w:rPr>
      </w:pPr>
      <w:r>
        <w:rPr>
          <w:rFonts w:ascii="Arial" w:cs="Arial" w:eastAsia="Arial" w:hAnsi="Arial"/>
          <w:sz w:val="17"/>
          <w:szCs w:val="17"/>
          <w:color w:val="auto"/>
        </w:rPr>
        <w:t>Reference is made to Exhibit 4.3 of registrant's Form 8-K as filed with the Commission on November 10, 2020, which is incorporated herein by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14"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Reference is made to Exhibit 10.1 of registrant’s Form 10-Q as filed with the Commission on June 30, 2022,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color w:val="auto"/>
        </w:rPr>
        <w:t>Reference is made to Exhibit 10.14 of registrant’s Form 8-K as filed with the Commission on</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10(iii)A(2) of registrant’s Form 10-Q as filed with the Commission</w:t>
      </w:r>
    </w:p>
    <w:p>
      <w:pPr>
        <w:spacing w:after="0" w:line="1"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color w:val="auto"/>
        </w:rPr>
        <w:t>on January 14, 2003, which is incorporated by reference.</w:t>
      </w:r>
    </w:p>
    <w:p>
      <w:pPr>
        <w:sectPr>
          <w:pgSz w:w="11900" w:h="16838" w:orient="portrait"/>
          <w:cols w:equalWidth="0" w:num="2">
            <w:col w:w="6580" w:space="460"/>
            <w:col w:w="4180"/>
          </w:cols>
          <w:pgMar w:left="320" w:top="242"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960" w:hanging="469"/>
        <w:spacing w:after="0" w:line="268" w:lineRule="auto"/>
        <w:tabs>
          <w:tab w:leader="none" w:pos="2460" w:val="left"/>
        </w:tabs>
        <w:numPr>
          <w:ilvl w:val="0"/>
          <w:numId w:val="19"/>
        </w:numPr>
        <w:rPr>
          <w:rFonts w:ascii="Arial" w:cs="Arial" w:eastAsia="Arial" w:hAnsi="Arial"/>
          <w:sz w:val="17"/>
          <w:szCs w:val="17"/>
          <w:u w:val="single" w:color="auto"/>
          <w:color w:val="0000FF"/>
        </w:rPr>
      </w:pPr>
      <w:hyperlink r:id="rId143">
        <w:r>
          <w:rPr>
            <w:rFonts w:ascii="Arial" w:cs="Arial" w:eastAsia="Arial" w:hAnsi="Arial"/>
            <w:sz w:val="17"/>
            <w:szCs w:val="17"/>
            <w:u w:val="single" w:color="auto"/>
            <w:color w:val="0000FF"/>
          </w:rPr>
          <w:t>Amendment No. 2 to Acuity Brands, Inc.</w:t>
        </w:r>
      </w:hyperlink>
      <w:r>
        <w:rPr>
          <w:rFonts w:ascii="Arial" w:cs="Arial" w:eastAsia="Arial" w:hAnsi="Arial"/>
          <w:sz w:val="17"/>
          <w:szCs w:val="17"/>
          <w:u w:val="single" w:color="auto"/>
          <w:color w:val="0000FF"/>
        </w:rPr>
        <w:t xml:space="preserve"> </w:t>
      </w:r>
      <w:hyperlink r:id="rId143">
        <w:r>
          <w:rPr>
            <w:rFonts w:ascii="Arial" w:cs="Arial" w:eastAsia="Arial" w:hAnsi="Arial"/>
            <w:sz w:val="17"/>
            <w:szCs w:val="17"/>
            <w:u w:val="single" w:color="auto"/>
            <w:color w:val="0000FF"/>
          </w:rPr>
          <w:t>Supplemental Deferred Savings Plan.</w:t>
        </w:r>
      </w:hyperlink>
    </w:p>
    <w:p>
      <w:pPr>
        <w:spacing w:after="0" w:line="332" w:lineRule="exact"/>
        <w:rPr>
          <w:rFonts w:ascii="Arial" w:cs="Arial" w:eastAsia="Arial" w:hAnsi="Arial"/>
          <w:sz w:val="17"/>
          <w:szCs w:val="17"/>
          <w:u w:val="single" w:color="auto"/>
          <w:color w:val="0000FF"/>
        </w:rPr>
      </w:pPr>
    </w:p>
    <w:p>
      <w:pPr>
        <w:ind w:left="2460" w:right="960" w:hanging="469"/>
        <w:spacing w:after="0" w:line="268" w:lineRule="auto"/>
        <w:tabs>
          <w:tab w:leader="none" w:pos="2460" w:val="left"/>
        </w:tabs>
        <w:numPr>
          <w:ilvl w:val="0"/>
          <w:numId w:val="19"/>
        </w:numPr>
        <w:rPr>
          <w:rFonts w:ascii="Arial" w:cs="Arial" w:eastAsia="Arial" w:hAnsi="Arial"/>
          <w:sz w:val="17"/>
          <w:szCs w:val="17"/>
          <w:u w:val="single" w:color="auto"/>
          <w:color w:val="0000FF"/>
        </w:rPr>
      </w:pPr>
      <w:hyperlink r:id="rId144">
        <w:r>
          <w:rPr>
            <w:rFonts w:ascii="Arial" w:cs="Arial" w:eastAsia="Arial" w:hAnsi="Arial"/>
            <w:sz w:val="17"/>
            <w:szCs w:val="17"/>
            <w:u w:val="single" w:color="auto"/>
            <w:color w:val="0000FF"/>
          </w:rPr>
          <w:t>Amendment No. 3 to Acuity Brands, Inc.</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Supplemental Deferred Savings Plan.</w:t>
        </w:r>
      </w:hyperlink>
    </w:p>
    <w:p>
      <w:pPr>
        <w:spacing w:after="0" w:line="332" w:lineRule="exact"/>
        <w:rPr>
          <w:rFonts w:ascii="Arial" w:cs="Arial" w:eastAsia="Arial" w:hAnsi="Arial"/>
          <w:sz w:val="17"/>
          <w:szCs w:val="17"/>
          <w:u w:val="single" w:color="auto"/>
          <w:color w:val="0000FF"/>
        </w:rPr>
      </w:pPr>
    </w:p>
    <w:p>
      <w:pPr>
        <w:ind w:left="2460" w:right="960" w:hanging="469"/>
        <w:spacing w:after="0" w:line="268" w:lineRule="auto"/>
        <w:tabs>
          <w:tab w:leader="none" w:pos="2460" w:val="left"/>
        </w:tabs>
        <w:numPr>
          <w:ilvl w:val="0"/>
          <w:numId w:val="19"/>
        </w:numPr>
        <w:rPr>
          <w:rFonts w:ascii="Arial" w:cs="Arial" w:eastAsia="Arial" w:hAnsi="Arial"/>
          <w:sz w:val="17"/>
          <w:szCs w:val="17"/>
          <w:u w:val="single" w:color="auto"/>
          <w:color w:val="0000FF"/>
        </w:rPr>
      </w:pPr>
      <w:hyperlink r:id="rId145">
        <w:r>
          <w:rPr>
            <w:rFonts w:ascii="Arial" w:cs="Arial" w:eastAsia="Arial" w:hAnsi="Arial"/>
            <w:sz w:val="17"/>
            <w:szCs w:val="17"/>
            <w:u w:val="single" w:color="auto"/>
            <w:color w:val="0000FF"/>
          </w:rPr>
          <w:t>Amendment No. 4 to Acuity Brands, Inc.</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Supplemental Deferred Savings Plan.</w:t>
        </w:r>
      </w:hyperlink>
    </w:p>
    <w:p>
      <w:pPr>
        <w:spacing w:after="0" w:line="157" w:lineRule="exact"/>
        <w:rPr>
          <w:rFonts w:ascii="Arial" w:cs="Arial" w:eastAsia="Arial" w:hAnsi="Arial"/>
          <w:sz w:val="17"/>
          <w:szCs w:val="17"/>
          <w:u w:val="single" w:color="auto"/>
          <w:color w:val="0000FF"/>
        </w:rPr>
      </w:pPr>
    </w:p>
    <w:p>
      <w:pPr>
        <w:ind w:left="2460" w:right="960" w:hanging="469"/>
        <w:spacing w:after="0" w:line="268" w:lineRule="auto"/>
        <w:tabs>
          <w:tab w:leader="none" w:pos="2460" w:val="left"/>
        </w:tabs>
        <w:numPr>
          <w:ilvl w:val="0"/>
          <w:numId w:val="19"/>
        </w:numPr>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Amendment No. 5 to Acuity Brands, Inc.</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Supplemental Deferred Savings Plan.</w:t>
        </w:r>
      </w:hyperlink>
    </w:p>
    <w:p>
      <w:pPr>
        <w:spacing w:after="0" w:line="332" w:lineRule="exact"/>
        <w:rPr>
          <w:rFonts w:ascii="Arial" w:cs="Arial" w:eastAsia="Arial" w:hAnsi="Arial"/>
          <w:sz w:val="17"/>
          <w:szCs w:val="17"/>
          <w:u w:val="single" w:color="auto"/>
          <w:color w:val="0000FF"/>
        </w:rPr>
      </w:pPr>
    </w:p>
    <w:p>
      <w:pPr>
        <w:ind w:left="2460" w:hanging="469"/>
        <w:spacing w:after="0" w:line="233" w:lineRule="auto"/>
        <w:tabs>
          <w:tab w:leader="none" w:pos="2460" w:val="left"/>
        </w:tabs>
        <w:numPr>
          <w:ilvl w:val="0"/>
          <w:numId w:val="19"/>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July 1, 2019.</w:t>
        </w:r>
      </w:hyperlink>
    </w:p>
    <w:p>
      <w:pPr>
        <w:spacing w:after="0" w:line="166" w:lineRule="exact"/>
        <w:rPr>
          <w:rFonts w:ascii="Arial" w:cs="Arial" w:eastAsia="Arial" w:hAnsi="Arial"/>
          <w:sz w:val="18"/>
          <w:szCs w:val="18"/>
          <w:u w:val="single" w:color="auto"/>
          <w:color w:val="0000FF"/>
        </w:rPr>
      </w:pPr>
    </w:p>
    <w:p>
      <w:pPr>
        <w:ind w:left="2460" w:hanging="469"/>
        <w:spacing w:after="0" w:line="233" w:lineRule="auto"/>
        <w:tabs>
          <w:tab w:leader="none" w:pos="2460" w:val="left"/>
        </w:tabs>
        <w:numPr>
          <w:ilvl w:val="0"/>
          <w:numId w:val="19"/>
        </w:numPr>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First Amendment to the Acuity Brands, Inc. 2005</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October 25, 2021</w:t>
        </w:r>
      </w:hyperlink>
    </w:p>
    <w:p>
      <w:pPr>
        <w:spacing w:after="0" w:line="166" w:lineRule="exact"/>
        <w:rPr>
          <w:rFonts w:ascii="Arial" w:cs="Arial" w:eastAsia="Arial" w:hAnsi="Arial"/>
          <w:sz w:val="18"/>
          <w:szCs w:val="18"/>
          <w:u w:val="single" w:color="auto"/>
          <w:color w:val="0000FF"/>
        </w:rPr>
      </w:pPr>
    </w:p>
    <w:p>
      <w:pPr>
        <w:ind w:left="2460" w:right="80" w:hanging="469"/>
        <w:spacing w:after="0" w:line="233" w:lineRule="auto"/>
        <w:tabs>
          <w:tab w:leader="none" w:pos="2460" w:val="left"/>
        </w:tabs>
        <w:numPr>
          <w:ilvl w:val="0"/>
          <w:numId w:val="19"/>
        </w:numPr>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Acuity Brands, Inc. Nonemployee Director Deferred</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Compensation Plan as Amended and Restated</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Effective June 29, 2006.</w:t>
        </w:r>
      </w:hyperlink>
    </w:p>
    <w:p>
      <w:pPr>
        <w:spacing w:after="0" w:line="1" w:lineRule="exact"/>
        <w:rPr>
          <w:rFonts w:ascii="Arial" w:cs="Arial" w:eastAsia="Arial" w:hAnsi="Arial"/>
          <w:sz w:val="18"/>
          <w:szCs w:val="18"/>
          <w:u w:val="single" w:color="auto"/>
          <w:color w:val="0000FF"/>
        </w:rPr>
      </w:pPr>
    </w:p>
    <w:p>
      <w:pPr>
        <w:ind w:left="2460" w:hanging="519"/>
        <w:spacing w:after="0" w:line="229" w:lineRule="auto"/>
        <w:tabs>
          <w:tab w:leader="none" w:pos="2460" w:val="left"/>
        </w:tabs>
        <w:numPr>
          <w:ilvl w:val="0"/>
          <w:numId w:val="20"/>
        </w:numPr>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Amendment No. 2 to Acuity Brands, Inc.</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Nonemployee Director Deferred Compensation Plan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dated October 24, 2008.</w:t>
        </w:r>
      </w:hyperlink>
    </w:p>
    <w:p>
      <w:pPr>
        <w:spacing w:after="0" w:line="167" w:lineRule="exact"/>
        <w:rPr>
          <w:rFonts w:ascii="Arial" w:cs="Arial" w:eastAsia="Arial" w:hAnsi="Arial"/>
          <w:sz w:val="18"/>
          <w:szCs w:val="18"/>
          <w:u w:val="single" w:color="auto"/>
          <w:color w:val="0000FF"/>
        </w:rPr>
      </w:pPr>
    </w:p>
    <w:p>
      <w:pPr>
        <w:ind w:left="2460" w:right="280" w:hanging="513"/>
        <w:spacing w:after="0" w:line="250" w:lineRule="auto"/>
        <w:tabs>
          <w:tab w:leader="none" w:pos="2460" w:val="left"/>
        </w:tabs>
        <w:numPr>
          <w:ilvl w:val="0"/>
          <w:numId w:val="20"/>
        </w:numPr>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Amended and Restated Acuity Brands, Inc. 2011</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Nonemployee Director Deferred Compensation</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Plan, Effective as of January 5, 2022.</w:t>
        </w:r>
      </w:hyperlink>
    </w:p>
    <w:p>
      <w:pPr>
        <w:spacing w:after="0" w:line="158" w:lineRule="exact"/>
        <w:rPr>
          <w:rFonts w:ascii="Arial" w:cs="Arial" w:eastAsia="Arial" w:hAnsi="Arial"/>
          <w:sz w:val="17"/>
          <w:szCs w:val="17"/>
          <w:u w:val="single" w:color="auto"/>
          <w:color w:val="0000FF"/>
        </w:rPr>
      </w:pPr>
    </w:p>
    <w:p>
      <w:pPr>
        <w:ind w:left="2460" w:right="760" w:hanging="519"/>
        <w:spacing w:after="0"/>
        <w:tabs>
          <w:tab w:leader="none" w:pos="24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FF"/>
        </w:rPr>
        <w:t>Acuity Brands, Inc. Compensation for Non-Employee Directors.</w:t>
      </w:r>
    </w:p>
    <w:p>
      <w:pPr>
        <w:spacing w:after="0" w:line="4" w:lineRule="exact"/>
        <w:rPr>
          <w:rFonts w:ascii="Arial" w:cs="Arial" w:eastAsia="Arial" w:hAnsi="Arial"/>
          <w:sz w:val="18"/>
          <w:szCs w:val="18"/>
          <w:color w:val="auto"/>
        </w:rPr>
      </w:pPr>
    </w:p>
    <w:p>
      <w:pPr>
        <w:ind w:left="2460" w:right="380" w:hanging="519"/>
        <w:spacing w:after="0"/>
        <w:tabs>
          <w:tab w:leader="none" w:pos="2460" w:val="left"/>
        </w:tabs>
        <w:numPr>
          <w:ilvl w:val="0"/>
          <w:numId w:val="20"/>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Acuity Brands, Inc. Senior Management Benefit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Plan.</w:t>
        </w:r>
      </w:hyperlink>
    </w:p>
    <w:p>
      <w:pPr>
        <w:spacing w:after="0" w:line="355" w:lineRule="exact"/>
        <w:rPr>
          <w:rFonts w:ascii="Arial" w:cs="Arial" w:eastAsia="Arial" w:hAnsi="Arial"/>
          <w:sz w:val="18"/>
          <w:szCs w:val="18"/>
          <w:u w:val="single" w:color="auto"/>
          <w:color w:val="0000FF"/>
        </w:rPr>
      </w:pPr>
    </w:p>
    <w:p>
      <w:pPr>
        <w:ind w:left="2460" w:right="400" w:hanging="519"/>
        <w:spacing w:after="0"/>
        <w:tabs>
          <w:tab w:leader="none" w:pos="2460" w:val="left"/>
        </w:tabs>
        <w:numPr>
          <w:ilvl w:val="0"/>
          <w:numId w:val="20"/>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Management Benefit Plan.</w:t>
        </w:r>
      </w:hyperlink>
    </w:p>
    <w:p>
      <w:pPr>
        <w:spacing w:after="0" w:line="355"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0"/>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362" w:lineRule="exact"/>
        <w:rPr>
          <w:rFonts w:ascii="Arial" w:cs="Arial" w:eastAsia="Arial" w:hAnsi="Arial"/>
          <w:sz w:val="18"/>
          <w:szCs w:val="18"/>
          <w:u w:val="single" w:color="auto"/>
          <w:color w:val="0000FF"/>
        </w:rPr>
      </w:pPr>
    </w:p>
    <w:p>
      <w:pPr>
        <w:ind w:left="2460" w:right="180" w:hanging="519"/>
        <w:spacing w:after="0"/>
        <w:tabs>
          <w:tab w:leader="none" w:pos="2460" w:val="left"/>
        </w:tabs>
        <w:numPr>
          <w:ilvl w:val="0"/>
          <w:numId w:val="20"/>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Acuity Brands, Inc. Supplemental Retirement Plan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for Executives.</w:t>
        </w:r>
      </w:hyperlink>
    </w:p>
    <w:p>
      <w:pPr>
        <w:spacing w:after="0" w:line="355" w:lineRule="exact"/>
        <w:rPr>
          <w:rFonts w:ascii="Arial" w:cs="Arial" w:eastAsia="Arial" w:hAnsi="Arial"/>
          <w:sz w:val="18"/>
          <w:szCs w:val="18"/>
          <w:u w:val="single" w:color="auto"/>
          <w:color w:val="0000FF"/>
        </w:rPr>
      </w:pPr>
    </w:p>
    <w:p>
      <w:pPr>
        <w:ind w:left="2460" w:right="500" w:hanging="519"/>
        <w:spacing w:after="0" w:line="268" w:lineRule="auto"/>
        <w:tabs>
          <w:tab w:leader="none" w:pos="2460" w:val="left"/>
        </w:tabs>
        <w:numPr>
          <w:ilvl w:val="0"/>
          <w:numId w:val="20"/>
        </w:numPr>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Supplemental Retirement Plan for Executives.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7" w:lineRule="exact"/>
        <w:rPr>
          <w:rFonts w:ascii="Arial" w:cs="Arial" w:eastAsia="Arial" w:hAnsi="Arial"/>
          <w:sz w:val="17"/>
          <w:szCs w:val="17"/>
          <w:color w:val="auto"/>
        </w:rPr>
      </w:pPr>
    </w:p>
    <w:p>
      <w:pPr>
        <w:ind w:left="5520"/>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right="20"/>
        <w:spacing w:after="0" w:line="221" w:lineRule="auto"/>
        <w:rPr>
          <w:sz w:val="20"/>
          <w:szCs w:val="20"/>
          <w:color w:val="auto"/>
        </w:rPr>
      </w:pPr>
      <w:r>
        <w:rPr>
          <w:rFonts w:ascii="Arial" w:cs="Arial" w:eastAsia="Arial" w:hAnsi="Arial"/>
          <w:sz w:val="18"/>
          <w:szCs w:val="18"/>
          <w:color w:val="auto"/>
        </w:rPr>
        <w:t>Reference is made to Exhibit 10(iii)A(8) of the registrant’s Form 10-Q as filed with the Commission</w:t>
      </w:r>
    </w:p>
    <w:p>
      <w:pPr>
        <w:spacing w:after="0" w:line="1" w:lineRule="exact"/>
        <w:rPr>
          <w:rFonts w:ascii="Arial" w:cs="Arial" w:eastAsia="Arial" w:hAnsi="Arial"/>
          <w:sz w:val="17"/>
          <w:szCs w:val="17"/>
          <w:color w:val="auto"/>
        </w:rPr>
      </w:pPr>
    </w:p>
    <w:p>
      <w:pPr>
        <w:ind w:right="800"/>
        <w:spacing w:after="0" w:line="229" w:lineRule="auto"/>
        <w:rPr>
          <w:sz w:val="20"/>
          <w:szCs w:val="20"/>
          <w:color w:val="auto"/>
        </w:rPr>
      </w:pPr>
      <w:r>
        <w:rPr>
          <w:rFonts w:ascii="Arial" w:cs="Arial" w:eastAsia="Arial" w:hAnsi="Arial"/>
          <w:sz w:val="18"/>
          <w:szCs w:val="18"/>
          <w:color w:val="auto"/>
        </w:rPr>
        <w:t>on July 14, 2003, which is incorporated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10(iii)A(36) of the registrant’s Form 10-K as filed with the Commission</w:t>
      </w:r>
    </w:p>
    <w:p>
      <w:pPr>
        <w:spacing w:after="0" w:line="1" w:lineRule="exact"/>
        <w:rPr>
          <w:rFonts w:ascii="Arial" w:cs="Arial" w:eastAsia="Arial" w:hAnsi="Arial"/>
          <w:sz w:val="17"/>
          <w:szCs w:val="17"/>
          <w:color w:val="auto"/>
        </w:rPr>
      </w:pPr>
    </w:p>
    <w:p>
      <w:pPr>
        <w:ind w:right="480"/>
        <w:spacing w:after="0" w:line="229" w:lineRule="auto"/>
        <w:rPr>
          <w:sz w:val="20"/>
          <w:szCs w:val="20"/>
          <w:color w:val="auto"/>
        </w:rPr>
      </w:pPr>
      <w:r>
        <w:rPr>
          <w:rFonts w:ascii="Arial" w:cs="Arial" w:eastAsia="Arial" w:hAnsi="Arial"/>
          <w:sz w:val="18"/>
          <w:szCs w:val="18"/>
          <w:color w:val="auto"/>
        </w:rPr>
        <w:t>on October 29, 2004, which is incorporated by reference.</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7"/>
          <w:szCs w:val="17"/>
          <w:color w:val="auto"/>
        </w:rPr>
        <w:t>Reference is made to Exhibit 99.2 of registrant’s Form 8-K filed with the Commission on July 6, 2006,</w:t>
      </w:r>
    </w:p>
    <w:p>
      <w:pPr>
        <w:spacing w:after="0"/>
        <w:rPr>
          <w:sz w:val="20"/>
          <w:szCs w:val="20"/>
          <w:color w:val="auto"/>
        </w:rPr>
      </w:pPr>
      <w:r>
        <w:rPr>
          <w:rFonts w:ascii="Arial" w:cs="Arial" w:eastAsia="Arial" w:hAnsi="Arial"/>
          <w:sz w:val="18"/>
          <w:szCs w:val="18"/>
          <w:color w:val="auto"/>
        </w:rPr>
        <w:t>which is incorporated herein by reference.</w:t>
      </w:r>
    </w:p>
    <w:p>
      <w:pPr>
        <w:spacing w:after="0" w:line="14"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10(iii)A(6) of registrant’s Form 10-Q as filed with the Commission</w:t>
      </w:r>
    </w:p>
    <w:p>
      <w:pPr>
        <w:spacing w:after="0" w:line="1" w:lineRule="exact"/>
        <w:rPr>
          <w:rFonts w:ascii="Arial" w:cs="Arial" w:eastAsia="Arial" w:hAnsi="Arial"/>
          <w:sz w:val="17"/>
          <w:szCs w:val="17"/>
          <w:color w:val="auto"/>
        </w:rPr>
      </w:pPr>
    </w:p>
    <w:p>
      <w:pPr>
        <w:ind w:right="260"/>
        <w:spacing w:after="0" w:line="229" w:lineRule="auto"/>
        <w:rPr>
          <w:sz w:val="20"/>
          <w:szCs w:val="20"/>
          <w:color w:val="auto"/>
        </w:rPr>
      </w:pPr>
      <w:r>
        <w:rPr>
          <w:rFonts w:ascii="Arial" w:cs="Arial" w:eastAsia="Arial" w:hAnsi="Arial"/>
          <w:sz w:val="18"/>
          <w:szCs w:val="18"/>
          <w:color w:val="auto"/>
        </w:rPr>
        <w:t>on July 10, 2007, which is incorporated herein by reference.</w:t>
      </w:r>
    </w:p>
    <w:p>
      <w:pPr>
        <w:spacing w:after="0" w:line="1"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10(b) of the registrant's Form 10-Q as filed with the Commission</w:t>
      </w:r>
    </w:p>
    <w:p>
      <w:pPr>
        <w:spacing w:after="0" w:line="1" w:lineRule="exact"/>
        <w:rPr>
          <w:rFonts w:ascii="Arial" w:cs="Arial" w:eastAsia="Arial" w:hAnsi="Arial"/>
          <w:sz w:val="17"/>
          <w:szCs w:val="17"/>
          <w:color w:val="auto"/>
        </w:rPr>
      </w:pPr>
    </w:p>
    <w:p>
      <w:pPr>
        <w:ind w:right="360"/>
        <w:spacing w:after="0" w:line="229" w:lineRule="auto"/>
        <w:rPr>
          <w:sz w:val="20"/>
          <w:szCs w:val="20"/>
          <w:color w:val="auto"/>
        </w:rPr>
      </w:pPr>
      <w:r>
        <w:rPr>
          <w:rFonts w:ascii="Arial" w:cs="Arial" w:eastAsia="Arial" w:hAnsi="Arial"/>
          <w:sz w:val="18"/>
          <w:szCs w:val="18"/>
          <w:color w:val="auto"/>
        </w:rPr>
        <w:t>on July 2, 2019,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10(iii)A(14)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7"/>
          <w:szCs w:val="17"/>
          <w:color w:val="auto"/>
        </w:rPr>
        <w:t>Reference is made to Exhibit 99.1 of registrant’s Form 8-K filed with the Commission on July 6, 2006,</w:t>
      </w:r>
    </w:p>
    <w:p>
      <w:pPr>
        <w:spacing w:after="0"/>
        <w:rPr>
          <w:sz w:val="20"/>
          <w:szCs w:val="20"/>
          <w:color w:val="auto"/>
        </w:rPr>
      </w:pPr>
      <w:r>
        <w:rPr>
          <w:rFonts w:ascii="Arial" w:cs="Arial" w:eastAsia="Arial" w:hAnsi="Arial"/>
          <w:sz w:val="18"/>
          <w:szCs w:val="18"/>
          <w:color w:val="auto"/>
        </w:rPr>
        <w:t>which is incorporated herein by reference.</w:t>
      </w:r>
    </w:p>
    <w:p>
      <w:pPr>
        <w:spacing w:after="0" w:line="14"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10(iii)A(86)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2008, which is incorporated herein by reference.</w:t>
      </w:r>
    </w:p>
    <w:p>
      <w:pPr>
        <w:spacing w:after="0" w:line="1"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10(iii)c of the registrant's Form 10-Q as filed with the Commission</w:t>
      </w:r>
    </w:p>
    <w:p>
      <w:pPr>
        <w:spacing w:after="0" w:line="1" w:lineRule="exact"/>
        <w:rPr>
          <w:rFonts w:ascii="Arial" w:cs="Arial" w:eastAsia="Arial" w:hAnsi="Arial"/>
          <w:sz w:val="17"/>
          <w:szCs w:val="17"/>
          <w:color w:val="auto"/>
        </w:rPr>
      </w:pPr>
    </w:p>
    <w:p>
      <w:pPr>
        <w:ind w:right="40"/>
        <w:spacing w:after="0" w:line="229"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7"/>
          <w:szCs w:val="17"/>
          <w:color w:val="auto"/>
        </w:rPr>
      </w:pPr>
    </w:p>
    <w:p>
      <w:pPr>
        <w:ind w:right="14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6" w:lineRule="exact"/>
        <w:rPr>
          <w:rFonts w:ascii="Arial" w:cs="Arial" w:eastAsia="Arial" w:hAnsi="Arial"/>
          <w:sz w:val="17"/>
          <w:szCs w:val="17"/>
          <w:color w:val="auto"/>
        </w:rPr>
      </w:pPr>
    </w:p>
    <w:p>
      <w:pPr>
        <w:ind w:right="220"/>
        <w:spacing w:after="0" w:line="221" w:lineRule="auto"/>
        <w:rPr>
          <w:sz w:val="20"/>
          <w:szCs w:val="20"/>
          <w:color w:val="auto"/>
        </w:rPr>
      </w:pPr>
      <w:r>
        <w:rPr>
          <w:rFonts w:ascii="Arial" w:cs="Arial" w:eastAsia="Arial" w:hAnsi="Arial"/>
          <w:sz w:val="18"/>
          <w:szCs w:val="18"/>
          <w:color w:val="auto"/>
        </w:rPr>
        <w:t>Reference is made to Exhibit 10.16 of registrant’s Form 8-K as filed with the Commission on</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10(iii)A(5) of registrant’s Form 10-Q as filed with the Commission</w:t>
      </w:r>
    </w:p>
    <w:p>
      <w:pPr>
        <w:spacing w:after="0" w:line="1" w:lineRule="exact"/>
        <w:rPr>
          <w:rFonts w:ascii="Arial" w:cs="Arial" w:eastAsia="Arial" w:hAnsi="Arial"/>
          <w:sz w:val="17"/>
          <w:szCs w:val="17"/>
          <w:color w:val="auto"/>
        </w:rPr>
      </w:pPr>
    </w:p>
    <w:p>
      <w:pPr>
        <w:ind w:right="260"/>
        <w:spacing w:after="0" w:line="229" w:lineRule="auto"/>
        <w:rPr>
          <w:sz w:val="20"/>
          <w:szCs w:val="20"/>
          <w:color w:val="auto"/>
        </w:rPr>
      </w:pPr>
      <w:r>
        <w:rPr>
          <w:rFonts w:ascii="Arial" w:cs="Arial" w:eastAsia="Arial" w:hAnsi="Arial"/>
          <w:sz w:val="18"/>
          <w:szCs w:val="18"/>
          <w:color w:val="auto"/>
        </w:rPr>
        <w:t>on July 10, 2007, which is incorporated herein by reference.</w:t>
      </w:r>
    </w:p>
    <w:p>
      <w:pPr>
        <w:spacing w:after="0" w:line="1" w:lineRule="exact"/>
        <w:rPr>
          <w:rFonts w:ascii="Arial" w:cs="Arial" w:eastAsia="Arial" w:hAnsi="Arial"/>
          <w:sz w:val="17"/>
          <w:szCs w:val="17"/>
          <w:color w:val="auto"/>
        </w:rPr>
      </w:pPr>
    </w:p>
    <w:p>
      <w:pPr>
        <w:ind w:right="220"/>
        <w:spacing w:after="0" w:line="216" w:lineRule="auto"/>
        <w:rPr>
          <w:sz w:val="20"/>
          <w:szCs w:val="20"/>
          <w:color w:val="auto"/>
        </w:rPr>
      </w:pPr>
      <w:r>
        <w:rPr>
          <w:rFonts w:ascii="Arial" w:cs="Arial" w:eastAsia="Arial" w:hAnsi="Arial"/>
          <w:sz w:val="18"/>
          <w:szCs w:val="18"/>
          <w:color w:val="auto"/>
        </w:rPr>
        <w:t>Reference is made to Exhibit 10.18 of registrant’s Form 8-K as filed with the Commission on</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20"/>
        <w:spacing w:after="0" w:line="216" w:lineRule="auto"/>
        <w:rPr>
          <w:sz w:val="20"/>
          <w:szCs w:val="20"/>
          <w:color w:val="auto"/>
        </w:rPr>
      </w:pPr>
      <w:r>
        <w:rPr>
          <w:rFonts w:ascii="Arial" w:cs="Arial" w:eastAsia="Arial" w:hAnsi="Arial"/>
          <w:sz w:val="18"/>
          <w:szCs w:val="18"/>
          <w:color w:val="auto"/>
        </w:rPr>
        <w:t>Reference is made to Exhibit 10.19 of registrant’s Form 8-K as filed with the Commission on</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10(iii)A(2) of the registrant’s Form 10-Q as filed with the Commission</w:t>
      </w:r>
    </w:p>
    <w:p>
      <w:pPr>
        <w:spacing w:after="0" w:line="1" w:lineRule="exact"/>
        <w:rPr>
          <w:rFonts w:ascii="Arial" w:cs="Arial" w:eastAsia="Arial" w:hAnsi="Arial"/>
          <w:sz w:val="17"/>
          <w:szCs w:val="17"/>
          <w:color w:val="auto"/>
        </w:rPr>
      </w:pPr>
    </w:p>
    <w:p>
      <w:pPr>
        <w:ind w:right="760"/>
        <w:spacing w:after="0" w:line="229" w:lineRule="auto"/>
        <w:rPr>
          <w:sz w:val="20"/>
          <w:szCs w:val="20"/>
          <w:color w:val="auto"/>
        </w:rPr>
      </w:pPr>
      <w:r>
        <w:rPr>
          <w:rFonts w:ascii="Arial" w:cs="Arial" w:eastAsia="Arial" w:hAnsi="Arial"/>
          <w:sz w:val="18"/>
          <w:szCs w:val="18"/>
          <w:color w:val="auto"/>
        </w:rPr>
        <w:t>on April 14, 2003, which is incorporated by reference.</w:t>
      </w:r>
    </w:p>
    <w:p>
      <w:pPr>
        <w:sectPr>
          <w:pgSz w:w="11900" w:h="16838" w:orient="portrait"/>
          <w:cols w:equalWidth="0" w:num="2">
            <w:col w:w="6620" w:space="420"/>
            <w:col w:w="4160"/>
          </w:cols>
          <w:pgMar w:left="320" w:top="242"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tabs>
          <w:tab w:leader="none" w:pos="2460" w:val="left"/>
        </w:tabs>
        <w:numPr>
          <w:ilvl w:val="0"/>
          <w:numId w:val="21"/>
        </w:numPr>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362" w:lineRule="exact"/>
        <w:rPr>
          <w:rFonts w:ascii="Arial" w:cs="Arial" w:eastAsia="Arial" w:hAnsi="Arial"/>
          <w:sz w:val="18"/>
          <w:szCs w:val="18"/>
          <w:u w:val="single" w:color="auto"/>
          <w:color w:val="0000FF"/>
        </w:rPr>
      </w:pPr>
    </w:p>
    <w:p>
      <w:pPr>
        <w:ind w:left="2460" w:right="260" w:hanging="519"/>
        <w:spacing w:after="0" w:line="233" w:lineRule="auto"/>
        <w:tabs>
          <w:tab w:leader="none" w:pos="2460" w:val="left"/>
        </w:tabs>
        <w:numPr>
          <w:ilvl w:val="0"/>
          <w:numId w:val="21"/>
        </w:numPr>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Retirement Plan, As Amended and Restated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Effective As of July 1, 2019.</w:t>
        </w:r>
      </w:hyperlink>
    </w:p>
    <w:p>
      <w:pPr>
        <w:spacing w:after="0" w:line="166" w:lineRule="exact"/>
        <w:rPr>
          <w:rFonts w:ascii="Arial" w:cs="Arial" w:eastAsia="Arial" w:hAnsi="Arial"/>
          <w:sz w:val="18"/>
          <w:szCs w:val="18"/>
          <w:u w:val="single" w:color="auto"/>
          <w:color w:val="0000FF"/>
        </w:rPr>
      </w:pPr>
    </w:p>
    <w:p>
      <w:pPr>
        <w:ind w:left="2460" w:right="540" w:hanging="519"/>
        <w:spacing w:after="0" w:line="268" w:lineRule="auto"/>
        <w:tabs>
          <w:tab w:leader="none" w:pos="2460" w:val="left"/>
        </w:tabs>
        <w:numPr>
          <w:ilvl w:val="0"/>
          <w:numId w:val="21"/>
        </w:numPr>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Amendment No. 1 to Acuity Brands, Inc. 2002</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Supplemental Executive Retirement Plan.</w:t>
        </w:r>
      </w:hyperlink>
    </w:p>
    <w:p>
      <w:pPr>
        <w:spacing w:after="0" w:line="157" w:lineRule="exact"/>
        <w:rPr>
          <w:rFonts w:ascii="Arial" w:cs="Arial" w:eastAsia="Arial" w:hAnsi="Arial"/>
          <w:sz w:val="17"/>
          <w:szCs w:val="17"/>
          <w:u w:val="single" w:color="auto"/>
          <w:color w:val="0000FF"/>
        </w:rPr>
      </w:pPr>
    </w:p>
    <w:p>
      <w:pPr>
        <w:ind w:left="2460" w:right="120" w:hanging="519"/>
        <w:spacing w:after="0" w:line="268" w:lineRule="auto"/>
        <w:tabs>
          <w:tab w:leader="none" w:pos="2460" w:val="left"/>
        </w:tabs>
        <w:numPr>
          <w:ilvl w:val="0"/>
          <w:numId w:val="21"/>
        </w:numPr>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Agreement entered into as of April 21, 2006.</w:t>
        </w:r>
      </w:hyperlink>
    </w:p>
    <w:p>
      <w:pPr>
        <w:spacing w:after="0" w:line="157" w:lineRule="exact"/>
        <w:rPr>
          <w:rFonts w:ascii="Arial" w:cs="Arial" w:eastAsia="Arial" w:hAnsi="Arial"/>
          <w:sz w:val="17"/>
          <w:szCs w:val="17"/>
          <w:u w:val="single" w:color="auto"/>
          <w:color w:val="0000FF"/>
        </w:rPr>
      </w:pPr>
    </w:p>
    <w:p>
      <w:pPr>
        <w:ind w:left="2460" w:right="40" w:hanging="519"/>
        <w:spacing w:after="0"/>
        <w:tabs>
          <w:tab w:leader="none" w:pos="2460" w:val="left"/>
        </w:tabs>
        <w:numPr>
          <w:ilvl w:val="0"/>
          <w:numId w:val="21"/>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Neil M. Ashe, dated January 9, 2020</w:t>
        </w:r>
      </w:hyperlink>
    </w:p>
    <w:p>
      <w:pPr>
        <w:spacing w:after="0" w:line="180" w:lineRule="exact"/>
        <w:rPr>
          <w:rFonts w:ascii="Arial" w:cs="Arial" w:eastAsia="Arial" w:hAnsi="Arial"/>
          <w:sz w:val="18"/>
          <w:szCs w:val="18"/>
          <w:u w:val="single" w:color="auto"/>
          <w:color w:val="0000FF"/>
        </w:rPr>
      </w:pPr>
    </w:p>
    <w:p>
      <w:pPr>
        <w:ind w:left="2460" w:right="480" w:hanging="519"/>
        <w:spacing w:after="0" w:line="233" w:lineRule="auto"/>
        <w:tabs>
          <w:tab w:leader="none" w:pos="2460" w:val="left"/>
        </w:tabs>
        <w:numPr>
          <w:ilvl w:val="0"/>
          <w:numId w:val="21"/>
        </w:numPr>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Agreement (options subject only to time-based</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conditions)</w:t>
        </w:r>
      </w:hyperlink>
    </w:p>
    <w:p>
      <w:pPr>
        <w:ind w:left="2460" w:hanging="519"/>
        <w:spacing w:after="0" w:line="229" w:lineRule="auto"/>
        <w:tabs>
          <w:tab w:leader="none" w:pos="2460" w:val="left"/>
        </w:tabs>
        <w:numPr>
          <w:ilvl w:val="0"/>
          <w:numId w:val="21"/>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Agreement (options subject to time-based and share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price performance conditions)</w:t>
        </w:r>
      </w:hyperlink>
    </w:p>
    <w:p>
      <w:pPr>
        <w:spacing w:after="0" w:line="1" w:lineRule="exact"/>
        <w:rPr>
          <w:rFonts w:ascii="Arial" w:cs="Arial" w:eastAsia="Arial" w:hAnsi="Arial"/>
          <w:sz w:val="18"/>
          <w:szCs w:val="18"/>
          <w:u w:val="single" w:color="auto"/>
          <w:color w:val="0000FF"/>
        </w:rPr>
      </w:pPr>
    </w:p>
    <w:p>
      <w:pPr>
        <w:ind w:left="2460" w:right="460" w:hanging="519"/>
        <w:spacing w:after="0" w:line="234" w:lineRule="auto"/>
        <w:tabs>
          <w:tab w:leader="none" w:pos="2460" w:val="left"/>
        </w:tabs>
        <w:numPr>
          <w:ilvl w:val="0"/>
          <w:numId w:val="21"/>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Form of Severance Agreement between Acuity</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Brands, Inc. and Neil M. Ashe</w:t>
        </w:r>
      </w:hyperlink>
    </w:p>
    <w:p>
      <w:pPr>
        <w:spacing w:after="0" w:line="181" w:lineRule="exact"/>
        <w:rPr>
          <w:rFonts w:ascii="Arial" w:cs="Arial" w:eastAsia="Arial" w:hAnsi="Arial"/>
          <w:sz w:val="18"/>
          <w:szCs w:val="18"/>
          <w:u w:val="single" w:color="auto"/>
          <w:color w:val="0000FF"/>
        </w:rPr>
      </w:pPr>
    </w:p>
    <w:p>
      <w:pPr>
        <w:ind w:left="2460" w:right="400" w:hanging="519"/>
        <w:spacing w:after="0"/>
        <w:tabs>
          <w:tab w:leader="none" w:pos="2460" w:val="left"/>
        </w:tabs>
        <w:numPr>
          <w:ilvl w:val="0"/>
          <w:numId w:val="21"/>
        </w:numPr>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Form of Change in Control Agreement between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Acuity Brands, Inc. and Neil M. Ashe</w:t>
        </w:r>
      </w:hyperlink>
    </w:p>
    <w:p>
      <w:pPr>
        <w:spacing w:after="0" w:line="180"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1"/>
        </w:numPr>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Acuity Brands, Inc. Matching Gift Program.</w:t>
        </w:r>
      </w:hyperlink>
    </w:p>
    <w:p>
      <w:pPr>
        <w:spacing w:after="0" w:line="387" w:lineRule="exact"/>
        <w:rPr>
          <w:rFonts w:ascii="Arial" w:cs="Arial" w:eastAsia="Arial" w:hAnsi="Arial"/>
          <w:sz w:val="18"/>
          <w:szCs w:val="18"/>
          <w:u w:val="single" w:color="auto"/>
          <w:color w:val="0000FF"/>
        </w:rPr>
      </w:pPr>
    </w:p>
    <w:p>
      <w:pPr>
        <w:ind w:left="2460" w:right="100" w:hanging="519"/>
        <w:spacing w:after="0" w:line="268" w:lineRule="auto"/>
        <w:tabs>
          <w:tab w:leader="none" w:pos="2460" w:val="left"/>
        </w:tabs>
        <w:numPr>
          <w:ilvl w:val="0"/>
          <w:numId w:val="21"/>
        </w:numPr>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168">
        <w:r>
          <w:rPr>
            <w:rFonts w:ascii="Arial" w:cs="Arial" w:eastAsia="Arial" w:hAnsi="Arial"/>
            <w:sz w:val="17"/>
            <w:szCs w:val="17"/>
            <w:u w:val="single" w:color="auto"/>
            <w:color w:val="0000FF"/>
          </w:rPr>
          <w:t>between Acuity Brands, Inc. and Richard K. Reece.</w:t>
        </w:r>
      </w:hyperlink>
    </w:p>
    <w:p>
      <w:pPr>
        <w:spacing w:after="0" w:line="157" w:lineRule="exact"/>
        <w:rPr>
          <w:rFonts w:ascii="Arial" w:cs="Arial" w:eastAsia="Arial" w:hAnsi="Arial"/>
          <w:sz w:val="17"/>
          <w:szCs w:val="17"/>
          <w:u w:val="single" w:color="auto"/>
          <w:color w:val="0000FF"/>
        </w:rPr>
      </w:pPr>
    </w:p>
    <w:p>
      <w:pPr>
        <w:ind w:left="2460" w:hanging="519"/>
        <w:spacing w:after="0" w:line="233" w:lineRule="auto"/>
        <w:tabs>
          <w:tab w:leader="none" w:pos="2460" w:val="left"/>
        </w:tabs>
        <w:numPr>
          <w:ilvl w:val="0"/>
          <w:numId w:val="21"/>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1"/>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Brands, Inc. and Richard K. Reece.</w:t>
        </w:r>
      </w:hyperlink>
    </w:p>
    <w:p>
      <w:pPr>
        <w:ind w:left="2460" w:hanging="519"/>
        <w:spacing w:after="0" w:line="229" w:lineRule="auto"/>
        <w:tabs>
          <w:tab w:leader="none" w:pos="2460" w:val="left"/>
        </w:tabs>
        <w:numPr>
          <w:ilvl w:val="0"/>
          <w:numId w:val="21"/>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Brands, Inc. and Richard K. Reece.</w:t>
        </w:r>
      </w:hyperlink>
    </w:p>
    <w:p>
      <w:pPr>
        <w:spacing w:after="0" w:line="167"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1"/>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Brands, Inc. and Richard K. Reece.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right="220"/>
        <w:spacing w:after="0" w:line="221" w:lineRule="auto"/>
        <w:rPr>
          <w:sz w:val="20"/>
          <w:szCs w:val="20"/>
          <w:color w:val="auto"/>
        </w:rPr>
      </w:pPr>
      <w:r>
        <w:rPr>
          <w:rFonts w:ascii="Arial" w:cs="Arial" w:eastAsia="Arial" w:hAnsi="Arial"/>
          <w:sz w:val="18"/>
          <w:szCs w:val="18"/>
          <w:color w:val="auto"/>
        </w:rPr>
        <w:t>Reference is made to Exhibit 10.21 of registrant’s Form 8-K as filed with the Commission on</w:t>
      </w:r>
    </w:p>
    <w:p>
      <w:pPr>
        <w:spacing w:after="0" w:line="1" w:lineRule="exact"/>
        <w:rPr>
          <w:rFonts w:ascii="Arial" w:cs="Arial" w:eastAsia="Arial" w:hAnsi="Arial"/>
          <w:sz w:val="18"/>
          <w:szCs w:val="18"/>
          <w:u w:val="single" w:color="auto"/>
          <w:color w:val="0000FF"/>
        </w:rPr>
      </w:pPr>
    </w:p>
    <w:p>
      <w:pPr>
        <w:spacing w:after="0" w:line="229" w:lineRule="auto"/>
        <w:rPr>
          <w:sz w:val="20"/>
          <w:szCs w:val="20"/>
          <w:color w:val="auto"/>
        </w:rPr>
      </w:pPr>
      <w:r>
        <w:rPr>
          <w:rFonts w:ascii="Arial" w:cs="Arial" w:eastAsia="Arial" w:hAnsi="Arial"/>
          <w:sz w:val="18"/>
          <w:szCs w:val="18"/>
          <w:color w:val="auto"/>
        </w:rPr>
        <w:t>December 14, 2001,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10(c) of the registrant's Form 10-Q as filed with the Commission</w:t>
      </w:r>
    </w:p>
    <w:p>
      <w:pPr>
        <w:spacing w:after="0" w:line="1" w:lineRule="exact"/>
        <w:rPr>
          <w:rFonts w:ascii="Arial" w:cs="Arial" w:eastAsia="Arial" w:hAnsi="Arial"/>
          <w:sz w:val="18"/>
          <w:szCs w:val="18"/>
          <w:u w:val="single" w:color="auto"/>
          <w:color w:val="0000FF"/>
        </w:rPr>
      </w:pPr>
    </w:p>
    <w:p>
      <w:pPr>
        <w:ind w:right="360"/>
        <w:spacing w:after="0" w:line="229" w:lineRule="auto"/>
        <w:rPr>
          <w:sz w:val="20"/>
          <w:szCs w:val="20"/>
          <w:color w:val="auto"/>
        </w:rPr>
      </w:pPr>
      <w:r>
        <w:rPr>
          <w:rFonts w:ascii="Arial" w:cs="Arial" w:eastAsia="Arial" w:hAnsi="Arial"/>
          <w:sz w:val="18"/>
          <w:szCs w:val="18"/>
          <w:color w:val="auto"/>
        </w:rPr>
        <w:t>on July 2,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29" w:lineRule="auto"/>
        <w:rPr>
          <w:sz w:val="20"/>
          <w:szCs w:val="20"/>
          <w:color w:val="auto"/>
        </w:rPr>
      </w:pPr>
      <w:r>
        <w:rPr>
          <w:rFonts w:ascii="Arial" w:cs="Arial" w:eastAsia="Arial" w:hAnsi="Arial"/>
          <w:sz w:val="17"/>
          <w:szCs w:val="17"/>
          <w:color w:val="auto"/>
        </w:rPr>
        <w:t>Reference is made to Exhibit 10(a)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4" w:lineRule="exact"/>
        <w:rPr>
          <w:rFonts w:ascii="Arial" w:cs="Arial" w:eastAsia="Arial" w:hAnsi="Arial"/>
          <w:sz w:val="18"/>
          <w:szCs w:val="18"/>
          <w:u w:val="single" w:color="auto"/>
          <w:color w:val="0000FF"/>
        </w:rPr>
      </w:pPr>
    </w:p>
    <w:p>
      <w:pPr>
        <w:jc w:val="both"/>
        <w:ind w:right="320"/>
        <w:spacing w:after="0" w:line="216" w:lineRule="auto"/>
        <w:rPr>
          <w:sz w:val="20"/>
          <w:szCs w:val="20"/>
          <w:color w:val="auto"/>
        </w:rPr>
      </w:pPr>
      <w:r>
        <w:rPr>
          <w:rFonts w:ascii="Arial" w:cs="Arial" w:eastAsia="Arial" w:hAnsi="Arial"/>
          <w:sz w:val="18"/>
          <w:szCs w:val="18"/>
          <w:color w:val="auto"/>
        </w:rPr>
        <w:t>Reference is made to Exhibit 99.1 of registrant’s Form 8-K filed with the Commission on April 27,</w:t>
      </w:r>
    </w:p>
    <w:p>
      <w:pPr>
        <w:spacing w:after="0" w:line="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2006,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9" w:lineRule="auto"/>
        <w:rPr>
          <w:sz w:val="20"/>
          <w:szCs w:val="20"/>
          <w:color w:val="auto"/>
        </w:rPr>
      </w:pPr>
      <w:r>
        <w:rPr>
          <w:rFonts w:ascii="Arial" w:cs="Arial" w:eastAsia="Arial" w:hAnsi="Arial"/>
          <w:sz w:val="17"/>
          <w:szCs w:val="17"/>
          <w:color w:val="auto"/>
        </w:rPr>
        <w:t>Reference is made to Exhibit 10.1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9" w:lineRule="auto"/>
        <w:rPr>
          <w:sz w:val="20"/>
          <w:szCs w:val="20"/>
          <w:color w:val="auto"/>
        </w:rPr>
      </w:pPr>
      <w:r>
        <w:rPr>
          <w:rFonts w:ascii="Arial" w:cs="Arial" w:eastAsia="Arial" w:hAnsi="Arial"/>
          <w:sz w:val="17"/>
          <w:szCs w:val="17"/>
          <w:color w:val="auto"/>
        </w:rPr>
        <w:t>Reference is made to Exhibit 10.2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9" w:lineRule="auto"/>
        <w:rPr>
          <w:sz w:val="20"/>
          <w:szCs w:val="20"/>
          <w:color w:val="auto"/>
        </w:rPr>
      </w:pPr>
      <w:r>
        <w:rPr>
          <w:rFonts w:ascii="Arial" w:cs="Arial" w:eastAsia="Arial" w:hAnsi="Arial"/>
          <w:sz w:val="17"/>
          <w:szCs w:val="17"/>
          <w:color w:val="auto"/>
        </w:rPr>
        <w:t>Reference is made to Exhibit 10.3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9" w:lineRule="auto"/>
        <w:rPr>
          <w:sz w:val="20"/>
          <w:szCs w:val="20"/>
          <w:color w:val="auto"/>
        </w:rPr>
      </w:pPr>
      <w:r>
        <w:rPr>
          <w:rFonts w:ascii="Arial" w:cs="Arial" w:eastAsia="Arial" w:hAnsi="Arial"/>
          <w:sz w:val="17"/>
          <w:szCs w:val="17"/>
          <w:color w:val="auto"/>
        </w:rPr>
        <w:t>Reference is made to Exhibit 10.4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9" w:lineRule="auto"/>
        <w:rPr>
          <w:sz w:val="20"/>
          <w:szCs w:val="20"/>
          <w:color w:val="auto"/>
        </w:rPr>
      </w:pPr>
      <w:r>
        <w:rPr>
          <w:rFonts w:ascii="Arial" w:cs="Arial" w:eastAsia="Arial" w:hAnsi="Arial"/>
          <w:sz w:val="17"/>
          <w:szCs w:val="17"/>
          <w:color w:val="auto"/>
        </w:rPr>
        <w:t>Reference is made to Exhibit 10.5 of registrant’s Form 8-K as filed with the Commission on January</w:t>
      </w:r>
    </w:p>
    <w:p>
      <w:pPr>
        <w:spacing w:after="0"/>
        <w:rPr>
          <w:sz w:val="20"/>
          <w:szCs w:val="20"/>
          <w:color w:val="auto"/>
        </w:rPr>
      </w:pPr>
      <w:r>
        <w:rPr>
          <w:rFonts w:ascii="Arial" w:cs="Arial" w:eastAsia="Arial" w:hAnsi="Arial"/>
          <w:sz w:val="18"/>
          <w:szCs w:val="18"/>
          <w:color w:val="auto"/>
        </w:rPr>
        <w:t>9, 2020,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spacing w:after="0" w:line="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on April 4, 2005, which is incorporated by reference.</w:t>
      </w:r>
    </w:p>
    <w:p>
      <w:pPr>
        <w:spacing w:after="0" w:line="14" w:lineRule="exact"/>
        <w:rPr>
          <w:rFonts w:ascii="Arial" w:cs="Arial" w:eastAsia="Arial" w:hAnsi="Arial"/>
          <w:sz w:val="18"/>
          <w:szCs w:val="18"/>
          <w:u w:val="single" w:color="auto"/>
          <w:color w:val="0000FF"/>
        </w:rPr>
      </w:pPr>
    </w:p>
    <w:p>
      <w:pPr>
        <w:ind w:right="180"/>
        <w:spacing w:after="0" w:line="216" w:lineRule="auto"/>
        <w:rPr>
          <w:sz w:val="20"/>
          <w:szCs w:val="20"/>
          <w:color w:val="auto"/>
        </w:rPr>
      </w:pPr>
      <w:r>
        <w:rPr>
          <w:rFonts w:ascii="Arial" w:cs="Arial" w:eastAsia="Arial" w:hAnsi="Arial"/>
          <w:sz w:val="18"/>
          <w:szCs w:val="18"/>
          <w:color w:val="auto"/>
        </w:rPr>
        <w:t>Reference is made to Exhibit 10.1 of registrant’s Form 8-K filed with the Commission on November</w:t>
      </w:r>
    </w:p>
    <w:p>
      <w:pPr>
        <w:spacing w:after="0" w:line="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18, 2005,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6" w:lineRule="auto"/>
        <w:rPr>
          <w:sz w:val="20"/>
          <w:szCs w:val="20"/>
          <w:color w:val="auto"/>
        </w:rPr>
      </w:pPr>
      <w:r>
        <w:rPr>
          <w:rFonts w:ascii="Arial" w:cs="Arial" w:eastAsia="Arial" w:hAnsi="Arial"/>
          <w:sz w:val="18"/>
          <w:szCs w:val="18"/>
          <w:color w:val="auto"/>
        </w:rPr>
        <w:t>Reference is made to Exhibit 10(iii)A(81) of the registrant’s Form 10-K as filed with the Commission</w:t>
      </w:r>
    </w:p>
    <w:p>
      <w:pPr>
        <w:spacing w:after="0" w:line="1" w:lineRule="exact"/>
        <w:rPr>
          <w:rFonts w:ascii="Arial" w:cs="Arial" w:eastAsia="Arial" w:hAnsi="Arial"/>
          <w:sz w:val="18"/>
          <w:szCs w:val="18"/>
          <w:u w:val="single" w:color="auto"/>
          <w:color w:val="0000FF"/>
        </w:rPr>
      </w:pPr>
    </w:p>
    <w:p>
      <w:pPr>
        <w:ind w:right="180"/>
        <w:spacing w:after="0" w:line="229" w:lineRule="auto"/>
        <w:rPr>
          <w:sz w:val="20"/>
          <w:szCs w:val="20"/>
          <w:color w:val="auto"/>
        </w:rPr>
      </w:pPr>
      <w:r>
        <w:rPr>
          <w:rFonts w:ascii="Arial" w:cs="Arial" w:eastAsia="Arial" w:hAnsi="Arial"/>
          <w:sz w:val="18"/>
          <w:szCs w:val="18"/>
          <w:color w:val="auto"/>
        </w:rPr>
        <w:t>on October 30, 2009, which is incorporated herein by reference.</w:t>
      </w:r>
    </w:p>
    <w:p>
      <w:pPr>
        <w:spacing w:after="0" w:line="1" w:lineRule="exact"/>
        <w:rPr>
          <w:rFonts w:ascii="Arial" w:cs="Arial" w:eastAsia="Arial" w:hAnsi="Arial"/>
          <w:sz w:val="18"/>
          <w:szCs w:val="18"/>
          <w:u w:val="single" w:color="auto"/>
          <w:color w:val="0000FF"/>
        </w:rPr>
      </w:pPr>
    </w:p>
    <w:p>
      <w:pPr>
        <w:ind w:right="160"/>
        <w:spacing w:after="0" w:line="229" w:lineRule="auto"/>
        <w:rPr>
          <w:sz w:val="20"/>
          <w:szCs w:val="20"/>
          <w:color w:val="auto"/>
        </w:rPr>
      </w:pPr>
      <w:r>
        <w:rPr>
          <w:rFonts w:ascii="Arial" w:cs="Arial" w:eastAsia="Arial" w:hAnsi="Arial"/>
          <w:sz w:val="17"/>
          <w:szCs w:val="17"/>
          <w:color w:val="auto"/>
        </w:rPr>
        <w:t>Reference is made to Exhibit 10 (f) of registrant’s Form 10-Q as filed with the Commission on March</w:t>
      </w:r>
    </w:p>
    <w:p>
      <w:pPr>
        <w:spacing w:after="0"/>
        <w:rPr>
          <w:sz w:val="20"/>
          <w:szCs w:val="20"/>
          <w:color w:val="auto"/>
        </w:rPr>
      </w:pPr>
      <w:r>
        <w:rPr>
          <w:rFonts w:ascii="Arial" w:cs="Arial" w:eastAsia="Arial" w:hAnsi="Arial"/>
          <w:sz w:val="18"/>
          <w:szCs w:val="18"/>
          <w:color w:val="auto"/>
        </w:rPr>
        <w:t>31, 2010,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10(iii)A(4) of the registrant's Form 10-Q as filed with the Commission</w:t>
      </w:r>
    </w:p>
    <w:p>
      <w:pPr>
        <w:spacing w:after="0" w:line="1" w:lineRule="exact"/>
        <w:rPr>
          <w:rFonts w:ascii="Arial" w:cs="Arial" w:eastAsia="Arial" w:hAnsi="Arial"/>
          <w:sz w:val="18"/>
          <w:szCs w:val="18"/>
          <w:u w:val="single" w:color="auto"/>
          <w:color w:val="0000FF"/>
        </w:rPr>
      </w:pPr>
    </w:p>
    <w:p>
      <w:pPr>
        <w:ind w:right="320"/>
        <w:spacing w:after="0" w:line="229" w:lineRule="auto"/>
        <w:rPr>
          <w:sz w:val="20"/>
          <w:szCs w:val="20"/>
          <w:color w:val="auto"/>
        </w:rPr>
      </w:pPr>
      <w:r>
        <w:rPr>
          <w:rFonts w:ascii="Arial" w:cs="Arial" w:eastAsia="Arial" w:hAnsi="Arial"/>
          <w:sz w:val="18"/>
          <w:szCs w:val="18"/>
          <w:color w:val="auto"/>
        </w:rPr>
        <w:t>on April 2, 2014, which is incorporated herein by reference.</w:t>
      </w:r>
    </w:p>
    <w:p>
      <w:pPr>
        <w:spacing w:after="0" w:line="1" w:lineRule="exact"/>
        <w:rPr>
          <w:rFonts w:ascii="Arial" w:cs="Arial" w:eastAsia="Arial" w:hAnsi="Arial"/>
          <w:sz w:val="18"/>
          <w:szCs w:val="18"/>
          <w:u w:val="single" w:color="auto"/>
          <w:color w:val="0000FF"/>
        </w:rPr>
      </w:pPr>
    </w:p>
    <w:p>
      <w:pPr>
        <w:ind w:right="40"/>
        <w:spacing w:after="0" w:line="216" w:lineRule="auto"/>
        <w:rPr>
          <w:sz w:val="20"/>
          <w:szCs w:val="20"/>
          <w:color w:val="auto"/>
        </w:rPr>
      </w:pPr>
      <w:r>
        <w:rPr>
          <w:rFonts w:ascii="Arial" w:cs="Arial" w:eastAsia="Arial" w:hAnsi="Arial"/>
          <w:sz w:val="18"/>
          <w:szCs w:val="18"/>
          <w:color w:val="auto"/>
        </w:rPr>
        <w:t>Reference is made to Exhibit 10(iii)A(46) of the registrant's Form 10-K as filed with the Commission</w:t>
      </w:r>
    </w:p>
    <w:p>
      <w:pPr>
        <w:spacing w:after="0" w:line="1" w:lineRule="exact"/>
        <w:rPr>
          <w:rFonts w:ascii="Arial" w:cs="Arial" w:eastAsia="Arial" w:hAnsi="Arial"/>
          <w:sz w:val="18"/>
          <w:szCs w:val="18"/>
          <w:u w:val="single" w:color="auto"/>
          <w:color w:val="0000FF"/>
        </w:rPr>
      </w:pPr>
    </w:p>
    <w:p>
      <w:pPr>
        <w:ind w:right="180"/>
        <w:spacing w:after="0" w:line="229" w:lineRule="auto"/>
        <w:rPr>
          <w:sz w:val="20"/>
          <w:szCs w:val="20"/>
          <w:color w:val="auto"/>
        </w:rPr>
      </w:pPr>
      <w:r>
        <w:rPr>
          <w:rFonts w:ascii="Arial" w:cs="Arial" w:eastAsia="Arial" w:hAnsi="Arial"/>
          <w:sz w:val="18"/>
          <w:szCs w:val="18"/>
          <w:color w:val="auto"/>
        </w:rPr>
        <w:t>on October 29, 2014, which is incorporated herein by reference.</w:t>
      </w:r>
    </w:p>
    <w:p>
      <w:pPr>
        <w:sectPr>
          <w:pgSz w:w="11900" w:h="16838" w:orient="portrait"/>
          <w:cols w:equalWidth="0" w:num="2">
            <w:col w:w="6640" w:space="400"/>
            <w:col w:w="4160"/>
          </w:cols>
          <w:pgMar w:left="320" w:top="242"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ind w:left="246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Brands, Inc. and Richard K. Reece.</w:t>
        </w:r>
      </w:hyperlink>
    </w:p>
    <w:p>
      <w:pPr>
        <w:spacing w:after="0" w:line="166" w:lineRule="exact"/>
        <w:rPr>
          <w:rFonts w:ascii="Arial" w:cs="Arial" w:eastAsia="Arial" w:hAnsi="Arial"/>
          <w:sz w:val="18"/>
          <w:szCs w:val="18"/>
          <w:u w:val="single" w:color="auto"/>
          <w:color w:val="0000FF"/>
        </w:rPr>
      </w:pPr>
    </w:p>
    <w:p>
      <w:pPr>
        <w:jc w:val="both"/>
        <w:ind w:left="2460" w:right="120" w:hanging="519"/>
        <w:spacing w:after="0" w:line="250" w:lineRule="auto"/>
        <w:tabs>
          <w:tab w:leader="none" w:pos="2460" w:val="left"/>
        </w:tabs>
        <w:numPr>
          <w:ilvl w:val="0"/>
          <w:numId w:val="22"/>
        </w:numPr>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Acuity Brands Lighting, Inc. Severance Agreement,</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entered into as of March 28, 2018, by and between</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Acuity Brands Lighting, Inc. and Karen J. Holcom.</w:t>
        </w:r>
      </w:hyperlink>
    </w:p>
    <w:p>
      <w:pPr>
        <w:spacing w:after="0" w:line="226" w:lineRule="exact"/>
        <w:rPr>
          <w:rFonts w:ascii="Arial" w:cs="Arial" w:eastAsia="Arial" w:hAnsi="Arial"/>
          <w:sz w:val="17"/>
          <w:szCs w:val="17"/>
          <w:u w:val="single" w:color="auto"/>
          <w:color w:val="0000FF"/>
        </w:rPr>
      </w:pPr>
    </w:p>
    <w:p>
      <w:pPr>
        <w:ind w:left="2460" w:right="30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Lighting, Inc. and Karen J. Holcom.</w:t>
        </w:r>
      </w:hyperlink>
    </w:p>
    <w:p>
      <w:pPr>
        <w:spacing w:after="0" w:line="166" w:lineRule="exact"/>
        <w:rPr>
          <w:rFonts w:ascii="Arial" w:cs="Arial" w:eastAsia="Arial" w:hAnsi="Arial"/>
          <w:sz w:val="18"/>
          <w:szCs w:val="18"/>
          <w:u w:val="single" w:color="auto"/>
          <w:color w:val="0000FF"/>
        </w:rPr>
      </w:pPr>
    </w:p>
    <w:p>
      <w:pPr>
        <w:ind w:left="2460" w:right="30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Lighting, Inc. and Karen J. Holcom.</w:t>
        </w:r>
      </w:hyperlink>
    </w:p>
    <w:p>
      <w:pPr>
        <w:spacing w:after="0" w:line="166" w:lineRule="exact"/>
        <w:rPr>
          <w:rFonts w:ascii="Arial" w:cs="Arial" w:eastAsia="Arial" w:hAnsi="Arial"/>
          <w:sz w:val="18"/>
          <w:szCs w:val="18"/>
          <w:u w:val="single" w:color="auto"/>
          <w:color w:val="0000FF"/>
        </w:rPr>
      </w:pPr>
    </w:p>
    <w:p>
      <w:pPr>
        <w:ind w:left="2460" w:right="30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Amendment No. 3 to Acuity Brands Lighting, Inc.</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Lighting, Inc. and Karen J. Holcom.</w:t>
        </w:r>
      </w:hyperlink>
    </w:p>
    <w:p>
      <w:pPr>
        <w:ind w:left="2460" w:right="20" w:hanging="519"/>
        <w:spacing w:after="0" w:line="229" w:lineRule="auto"/>
        <w:tabs>
          <w:tab w:leader="none" w:pos="2460" w:val="left"/>
        </w:tabs>
        <w:numPr>
          <w:ilvl w:val="0"/>
          <w:numId w:val="22"/>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and Karen J. Holcom.</w:t>
        </w:r>
      </w:hyperlink>
    </w:p>
    <w:p>
      <w:pPr>
        <w:spacing w:after="0" w:line="167" w:lineRule="exact"/>
        <w:rPr>
          <w:rFonts w:ascii="Arial" w:cs="Arial" w:eastAsia="Arial" w:hAnsi="Arial"/>
          <w:sz w:val="18"/>
          <w:szCs w:val="18"/>
          <w:u w:val="single" w:color="auto"/>
          <w:color w:val="0000FF"/>
        </w:rPr>
      </w:pPr>
    </w:p>
    <w:p>
      <w:pPr>
        <w:ind w:left="2460" w:right="4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Karen J. Holcom.</w:t>
        </w:r>
      </w:hyperlink>
    </w:p>
    <w:p>
      <w:pPr>
        <w:spacing w:after="0" w:line="166" w:lineRule="exact"/>
        <w:rPr>
          <w:rFonts w:ascii="Arial" w:cs="Arial" w:eastAsia="Arial" w:hAnsi="Arial"/>
          <w:sz w:val="18"/>
          <w:szCs w:val="18"/>
          <w:u w:val="single" w:color="auto"/>
          <w:color w:val="0000FF"/>
        </w:rPr>
      </w:pPr>
    </w:p>
    <w:p>
      <w:pPr>
        <w:ind w:left="2460" w:right="40" w:hanging="519"/>
        <w:spacing w:after="0" w:line="234" w:lineRule="auto"/>
        <w:tabs>
          <w:tab w:leader="none" w:pos="2460" w:val="left"/>
        </w:tabs>
        <w:numPr>
          <w:ilvl w:val="0"/>
          <w:numId w:val="22"/>
        </w:numPr>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Change in Control Agreement dated March 28,</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2018, by and between Acuity Brands, Inc. and Barry</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2"/>
        </w:numPr>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Goldman.</w:t>
        </w:r>
      </w:hyperlink>
    </w:p>
    <w:p>
      <w:pPr>
        <w:spacing w:after="0" w:line="180" w:lineRule="exact"/>
        <w:rPr>
          <w:rFonts w:ascii="Arial" w:cs="Arial" w:eastAsia="Arial" w:hAnsi="Arial"/>
          <w:sz w:val="18"/>
          <w:szCs w:val="18"/>
          <w:u w:val="single" w:color="auto"/>
          <w:color w:val="0000FF"/>
        </w:rPr>
      </w:pPr>
    </w:p>
    <w:p>
      <w:pPr>
        <w:ind w:left="2460" w:right="4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Amendment No. 1 to Acuity Brands, Inc. Change in</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Barry R. Goldman.</w:t>
        </w:r>
      </w:hyperlink>
    </w:p>
    <w:p>
      <w:pPr>
        <w:spacing w:after="0" w:line="166" w:lineRule="exact"/>
        <w:rPr>
          <w:rFonts w:ascii="Arial" w:cs="Arial" w:eastAsia="Arial" w:hAnsi="Arial"/>
          <w:sz w:val="18"/>
          <w:szCs w:val="18"/>
          <w:u w:val="single" w:color="auto"/>
          <w:color w:val="0000FF"/>
        </w:rPr>
      </w:pPr>
    </w:p>
    <w:p>
      <w:pPr>
        <w:ind w:left="2460" w:right="300" w:hanging="519"/>
        <w:spacing w:after="0" w:line="233" w:lineRule="auto"/>
        <w:tabs>
          <w:tab w:leader="none" w:pos="2460" w:val="left"/>
        </w:tabs>
        <w:numPr>
          <w:ilvl w:val="0"/>
          <w:numId w:val="22"/>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Severance Agreement dated March 28, 2020, by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and between Acuity Brands, Inc. and Barry R.</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Goldman.</w:t>
        </w:r>
      </w:hyperlink>
    </w:p>
    <w:p>
      <w:pPr>
        <w:spacing w:after="0" w:line="166" w:lineRule="exact"/>
        <w:rPr>
          <w:rFonts w:ascii="Arial" w:cs="Arial" w:eastAsia="Arial" w:hAnsi="Arial"/>
          <w:sz w:val="18"/>
          <w:szCs w:val="18"/>
          <w:u w:val="single" w:color="auto"/>
          <w:color w:val="0000FF"/>
        </w:rPr>
      </w:pPr>
    </w:p>
    <w:p>
      <w:pPr>
        <w:ind w:left="2460" w:right="80" w:hanging="519"/>
        <w:spacing w:after="0" w:line="234" w:lineRule="auto"/>
        <w:tabs>
          <w:tab w:leader="none" w:pos="2460" w:val="left"/>
        </w:tabs>
        <w:numPr>
          <w:ilvl w:val="0"/>
          <w:numId w:val="22"/>
        </w:numPr>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Agreement between Acuity Brands, Inc. and Barry</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2"/>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Goldman.</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5" w:lineRule="exact"/>
        <w:rPr>
          <w:rFonts w:ascii="Arial" w:cs="Arial" w:eastAsia="Arial" w:hAnsi="Arial"/>
          <w:sz w:val="17"/>
          <w:szCs w:val="17"/>
          <w:u w:val="single" w:color="auto"/>
          <w:color w:val="0000FF"/>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85" w:lineRule="exact"/>
        <w:rPr>
          <w:rFonts w:ascii="Arial" w:cs="Arial" w:eastAsia="Arial" w:hAnsi="Arial"/>
          <w:sz w:val="17"/>
          <w:szCs w:val="17"/>
          <w:u w:val="single" w:color="auto"/>
          <w:color w:val="0000FF"/>
        </w:rPr>
      </w:pPr>
    </w:p>
    <w:p>
      <w:pPr>
        <w:ind w:right="20"/>
        <w:spacing w:after="0" w:line="221" w:lineRule="auto"/>
        <w:rPr>
          <w:sz w:val="20"/>
          <w:szCs w:val="20"/>
          <w:color w:val="auto"/>
        </w:rPr>
      </w:pPr>
      <w:r>
        <w:rPr>
          <w:rFonts w:ascii="Arial" w:cs="Arial" w:eastAsia="Arial" w:hAnsi="Arial"/>
          <w:sz w:val="18"/>
          <w:szCs w:val="18"/>
          <w:color w:val="auto"/>
        </w:rPr>
        <w:t>Reference is made to Exhibit 10(iii)A(43)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27, 2015,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10(iii)A(44)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10(iii)A(45)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26, 2017, which is incorporated herein by reference.</w:t>
      </w:r>
    </w:p>
    <w:p>
      <w:pPr>
        <w:spacing w:after="0" w:line="1" w:lineRule="exact"/>
        <w:rPr>
          <w:rFonts w:ascii="Arial" w:cs="Arial" w:eastAsia="Arial" w:hAnsi="Arial"/>
          <w:sz w:val="17"/>
          <w:szCs w:val="17"/>
          <w:u w:val="single" w:color="auto"/>
          <w:color w:val="0000FF"/>
        </w:rPr>
      </w:pPr>
    </w:p>
    <w:p>
      <w:pPr>
        <w:spacing w:after="0" w:line="216" w:lineRule="auto"/>
        <w:rPr>
          <w:sz w:val="20"/>
          <w:szCs w:val="20"/>
          <w:color w:val="auto"/>
        </w:rPr>
      </w:pPr>
      <w:r>
        <w:rPr>
          <w:rFonts w:ascii="Arial" w:cs="Arial" w:eastAsia="Arial" w:hAnsi="Arial"/>
          <w:sz w:val="18"/>
          <w:szCs w:val="18"/>
          <w:color w:val="auto"/>
        </w:rPr>
        <w:t>Reference is made to Exhibit 10(a) of the registrant's Form 10-Q as filed with the Commission</w:t>
      </w:r>
    </w:p>
    <w:p>
      <w:pPr>
        <w:spacing w:after="0" w:line="1" w:lineRule="exact"/>
        <w:rPr>
          <w:rFonts w:ascii="Arial" w:cs="Arial" w:eastAsia="Arial" w:hAnsi="Arial"/>
          <w:sz w:val="17"/>
          <w:szCs w:val="17"/>
          <w:u w:val="single" w:color="auto"/>
          <w:color w:val="0000FF"/>
        </w:rPr>
      </w:pPr>
    </w:p>
    <w:p>
      <w:pPr>
        <w:ind w:right="20"/>
        <w:spacing w:after="0" w:line="229" w:lineRule="auto"/>
        <w:rPr>
          <w:sz w:val="20"/>
          <w:szCs w:val="20"/>
          <w:color w:val="auto"/>
        </w:rPr>
      </w:pPr>
      <w:r>
        <w:rPr>
          <w:rFonts w:ascii="Arial" w:cs="Arial" w:eastAsia="Arial" w:hAnsi="Arial"/>
          <w:sz w:val="18"/>
          <w:szCs w:val="18"/>
          <w:color w:val="auto"/>
        </w:rPr>
        <w:t>on January 9, 2019, which is incorporated herein by reference.</w:t>
      </w:r>
    </w:p>
    <w:p>
      <w:pPr>
        <w:spacing w:after="0" w:line="1" w:lineRule="exact"/>
        <w:rPr>
          <w:rFonts w:ascii="Arial" w:cs="Arial" w:eastAsia="Arial" w:hAnsi="Arial"/>
          <w:sz w:val="17"/>
          <w:szCs w:val="17"/>
          <w:u w:val="single" w:color="auto"/>
          <w:color w:val="0000FF"/>
        </w:rPr>
      </w:pPr>
    </w:p>
    <w:p>
      <w:pPr>
        <w:spacing w:after="0" w:line="216" w:lineRule="auto"/>
        <w:rPr>
          <w:sz w:val="20"/>
          <w:szCs w:val="20"/>
          <w:color w:val="auto"/>
        </w:rPr>
      </w:pPr>
      <w:r>
        <w:rPr>
          <w:rFonts w:ascii="Arial" w:cs="Arial" w:eastAsia="Arial" w:hAnsi="Arial"/>
          <w:sz w:val="18"/>
          <w:szCs w:val="18"/>
          <w:color w:val="auto"/>
        </w:rPr>
        <w:t>Reference is made to Exhibit 10(b) of the registrant's Form 10-Q as filed with the Commission</w:t>
      </w:r>
    </w:p>
    <w:p>
      <w:pPr>
        <w:spacing w:after="0" w:line="1" w:lineRule="exact"/>
        <w:rPr>
          <w:rFonts w:ascii="Arial" w:cs="Arial" w:eastAsia="Arial" w:hAnsi="Arial"/>
          <w:sz w:val="17"/>
          <w:szCs w:val="17"/>
          <w:u w:val="single" w:color="auto"/>
          <w:color w:val="0000FF"/>
        </w:rPr>
      </w:pPr>
    </w:p>
    <w:p>
      <w:pPr>
        <w:ind w:right="300"/>
        <w:spacing w:after="0" w:line="229" w:lineRule="auto"/>
        <w:rPr>
          <w:sz w:val="20"/>
          <w:szCs w:val="20"/>
          <w:color w:val="auto"/>
        </w:rPr>
      </w:pPr>
      <w:r>
        <w:rPr>
          <w:rFonts w:ascii="Arial" w:cs="Arial" w:eastAsia="Arial" w:hAnsi="Arial"/>
          <w:sz w:val="18"/>
          <w:szCs w:val="18"/>
          <w:color w:val="auto"/>
        </w:rPr>
        <w:t>on April 3, 2019,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10(iii)A(51)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60" w:lineRule="exact"/>
        <w:rPr>
          <w:rFonts w:ascii="Arial" w:cs="Arial" w:eastAsia="Arial" w:hAnsi="Arial"/>
          <w:sz w:val="17"/>
          <w:szCs w:val="17"/>
          <w:u w:val="single" w:color="auto"/>
          <w:color w:val="0000FF"/>
        </w:rPr>
      </w:pPr>
    </w:p>
    <w:p>
      <w:pPr>
        <w:ind w:right="20"/>
        <w:spacing w:after="0" w:line="221" w:lineRule="auto"/>
        <w:rPr>
          <w:sz w:val="20"/>
          <w:szCs w:val="20"/>
          <w:color w:val="auto"/>
        </w:rPr>
      </w:pPr>
      <w:r>
        <w:rPr>
          <w:rFonts w:ascii="Arial" w:cs="Arial" w:eastAsia="Arial" w:hAnsi="Arial"/>
          <w:sz w:val="18"/>
          <w:szCs w:val="18"/>
          <w:color w:val="auto"/>
        </w:rPr>
        <w:t>Reference is made to Exhibit 10(iii)A(52)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10(iii)A(53)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7"/>
          <w:szCs w:val="17"/>
          <w:u w:val="single" w:color="auto"/>
          <w:color w:val="0000FF"/>
        </w:rPr>
      </w:pPr>
    </w:p>
    <w:p>
      <w:pPr>
        <w:spacing w:after="0" w:line="229" w:lineRule="auto"/>
        <w:rPr>
          <w:sz w:val="20"/>
          <w:szCs w:val="20"/>
          <w:color w:val="auto"/>
        </w:rPr>
      </w:pPr>
      <w:r>
        <w:rPr>
          <w:rFonts w:ascii="Arial" w:cs="Arial" w:eastAsia="Arial" w:hAnsi="Arial"/>
          <w:sz w:val="17"/>
          <w:szCs w:val="17"/>
          <w:color w:val="auto"/>
        </w:rPr>
        <w:t>Reference is made to Exhibit 10(a)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4"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10(iii)A(54)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10(iii)A(55)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10(iii)A(81)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10(iii)A(82)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10(iii)A(83)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10(iii)A(84) of the registrant’s Form 10-K as filed with the Commission</w:t>
      </w:r>
    </w:p>
    <w:p>
      <w:pPr>
        <w:spacing w:after="0" w:line="1" w:lineRule="exact"/>
        <w:rPr>
          <w:rFonts w:ascii="Arial" w:cs="Arial" w:eastAsia="Arial" w:hAnsi="Arial"/>
          <w:sz w:val="17"/>
          <w:szCs w:val="17"/>
          <w:u w:val="single" w:color="auto"/>
          <w:color w:val="0000FF"/>
        </w:rPr>
      </w:pPr>
    </w:p>
    <w:p>
      <w:pPr>
        <w:ind w:right="16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ectPr>
          <w:pgSz w:w="11900" w:h="16838" w:orient="portrait"/>
          <w:cols w:equalWidth="0" w:num="2">
            <w:col w:w="6640" w:space="400"/>
            <w:col w:w="4140"/>
          </w:cols>
          <w:pgMar w:left="320" w:top="242"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60" w:hanging="519"/>
        <w:spacing w:after="0" w:line="234" w:lineRule="auto"/>
        <w:tabs>
          <w:tab w:leader="none" w:pos="2460" w:val="left"/>
        </w:tabs>
        <w:numPr>
          <w:ilvl w:val="0"/>
          <w:numId w:val="23"/>
        </w:numPr>
        <w:rPr>
          <w:rFonts w:ascii="Arial" w:cs="Arial" w:eastAsia="Arial" w:hAnsi="Arial"/>
          <w:sz w:val="17"/>
          <w:szCs w:val="17"/>
          <w:u w:val="single" w:color="auto"/>
          <w:color w:val="0000FF"/>
        </w:rPr>
      </w:pPr>
      <w:hyperlink r:id="rId190">
        <w:r>
          <w:rPr>
            <w:rFonts w:ascii="Arial" w:cs="Arial" w:eastAsia="Arial" w:hAnsi="Arial"/>
            <w:sz w:val="17"/>
            <w:szCs w:val="17"/>
            <w:u w:val="single" w:color="auto"/>
            <w:color w:val="0000FF"/>
          </w:rPr>
          <w:t>Amendment No. 2 to Acuity Brands, Inc. Severance</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Agreement between Acuity Brands, Inc. and Barry</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3"/>
        </w:numPr>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Goldman.</w:t>
        </w:r>
      </w:hyperlink>
    </w:p>
    <w:p>
      <w:pPr>
        <w:spacing w:after="0" w:line="180" w:lineRule="exact"/>
        <w:rPr>
          <w:rFonts w:ascii="Arial" w:cs="Arial" w:eastAsia="Arial" w:hAnsi="Arial"/>
          <w:sz w:val="18"/>
          <w:szCs w:val="18"/>
          <w:u w:val="single" w:color="auto"/>
          <w:color w:val="0000FF"/>
        </w:rPr>
      </w:pPr>
    </w:p>
    <w:p>
      <w:pPr>
        <w:ind w:left="2460" w:right="60" w:hanging="519"/>
        <w:spacing w:after="0" w:line="234" w:lineRule="auto"/>
        <w:tabs>
          <w:tab w:leader="none" w:pos="2460" w:val="left"/>
        </w:tabs>
        <w:numPr>
          <w:ilvl w:val="0"/>
          <w:numId w:val="23"/>
        </w:numPr>
        <w:rPr>
          <w:rFonts w:ascii="Arial" w:cs="Arial" w:eastAsia="Arial" w:hAnsi="Arial"/>
          <w:sz w:val="17"/>
          <w:szCs w:val="17"/>
          <w:u w:val="single" w:color="auto"/>
          <w:color w:val="0000FF"/>
        </w:rPr>
      </w:pPr>
      <w:hyperlink r:id="rId191">
        <w:r>
          <w:rPr>
            <w:rFonts w:ascii="Arial" w:cs="Arial" w:eastAsia="Arial" w:hAnsi="Arial"/>
            <w:sz w:val="17"/>
            <w:szCs w:val="17"/>
            <w:u w:val="single" w:color="auto"/>
            <w:color w:val="0000FF"/>
          </w:rPr>
          <w:t>Amendment No. 3 to Acuity Brands, Inc. Severance</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Agreement between Acuity Brands, Inc. and Barry</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3"/>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Goldman.</w:t>
        </w:r>
      </w:hyperlink>
    </w:p>
    <w:p>
      <w:pPr>
        <w:spacing w:after="0" w:line="247" w:lineRule="exact"/>
        <w:rPr>
          <w:rFonts w:ascii="Arial" w:cs="Arial" w:eastAsia="Arial" w:hAnsi="Arial"/>
          <w:sz w:val="18"/>
          <w:szCs w:val="18"/>
          <w:u w:val="single" w:color="auto"/>
          <w:color w:val="0000FF"/>
        </w:rPr>
      </w:pPr>
    </w:p>
    <w:p>
      <w:pPr>
        <w:ind w:left="2460" w:right="60" w:hanging="519"/>
        <w:spacing w:after="0" w:line="234" w:lineRule="auto"/>
        <w:tabs>
          <w:tab w:leader="none" w:pos="2460" w:val="left"/>
        </w:tabs>
        <w:numPr>
          <w:ilvl w:val="0"/>
          <w:numId w:val="23"/>
        </w:numPr>
        <w:rPr>
          <w:rFonts w:ascii="Arial" w:cs="Arial" w:eastAsia="Arial" w:hAnsi="Arial"/>
          <w:sz w:val="17"/>
          <w:szCs w:val="17"/>
          <w:u w:val="single" w:color="auto"/>
          <w:color w:val="0000FF"/>
        </w:rPr>
      </w:pPr>
      <w:hyperlink r:id="rId192">
        <w:r>
          <w:rPr>
            <w:rFonts w:ascii="Arial" w:cs="Arial" w:eastAsia="Arial" w:hAnsi="Arial"/>
            <w:sz w:val="17"/>
            <w:szCs w:val="17"/>
            <w:u w:val="single" w:color="auto"/>
            <w:color w:val="0000FF"/>
          </w:rPr>
          <w:t>Amendment No. 4 to Acuity Brands, Inc. Severance</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Agreement between Acuity Brands, Inc. and Barry</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3"/>
        </w:numPr>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Goldman.</w:t>
        </w:r>
      </w:hyperlink>
    </w:p>
    <w:p>
      <w:pPr>
        <w:spacing w:after="0" w:line="247" w:lineRule="exact"/>
        <w:rPr>
          <w:rFonts w:ascii="Arial" w:cs="Arial" w:eastAsia="Arial" w:hAnsi="Arial"/>
          <w:sz w:val="18"/>
          <w:szCs w:val="18"/>
          <w:u w:val="single" w:color="auto"/>
          <w:color w:val="0000FF"/>
        </w:rPr>
      </w:pPr>
    </w:p>
    <w:p>
      <w:pPr>
        <w:ind w:left="2460" w:right="40" w:hanging="519"/>
        <w:spacing w:after="0" w:line="233" w:lineRule="auto"/>
        <w:tabs>
          <w:tab w:leader="none" w:pos="2460" w:val="left"/>
        </w:tabs>
        <w:numPr>
          <w:ilvl w:val="0"/>
          <w:numId w:val="23"/>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Change in Control Agreement dated March 2, 2020,</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by and between Acuity Brands, Inc. and Dianne 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Mills.</w:t>
        </w:r>
      </w:hyperlink>
    </w:p>
    <w:p>
      <w:pPr>
        <w:spacing w:after="0" w:line="166" w:lineRule="exact"/>
        <w:rPr>
          <w:rFonts w:ascii="Arial" w:cs="Arial" w:eastAsia="Arial" w:hAnsi="Arial"/>
          <w:sz w:val="18"/>
          <w:szCs w:val="18"/>
          <w:u w:val="single" w:color="auto"/>
          <w:color w:val="0000FF"/>
        </w:rPr>
      </w:pPr>
    </w:p>
    <w:p>
      <w:pPr>
        <w:ind w:left="2460" w:right="40" w:hanging="519"/>
        <w:spacing w:after="0" w:line="268" w:lineRule="auto"/>
        <w:tabs>
          <w:tab w:leader="none" w:pos="2460" w:val="left"/>
        </w:tabs>
        <w:numPr>
          <w:ilvl w:val="0"/>
          <w:numId w:val="23"/>
        </w:numPr>
        <w:rPr>
          <w:rFonts w:ascii="Arial" w:cs="Arial" w:eastAsia="Arial" w:hAnsi="Arial"/>
          <w:sz w:val="17"/>
          <w:szCs w:val="17"/>
          <w:u w:val="single" w:color="auto"/>
          <w:color w:val="0000FF"/>
        </w:rPr>
      </w:pPr>
      <w:hyperlink r:id="rId194">
        <w:r>
          <w:rPr>
            <w:rFonts w:ascii="Arial" w:cs="Arial" w:eastAsia="Arial" w:hAnsi="Arial"/>
            <w:sz w:val="17"/>
            <w:szCs w:val="17"/>
            <w:u w:val="single" w:color="auto"/>
            <w:color w:val="0000FF"/>
          </w:rPr>
          <w:t>Severance Agreement dated March 2, 2020, by and</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between Acuity Brands, Inc. and Dianne S. Mills.</w:t>
        </w:r>
      </w:hyperlink>
    </w:p>
    <w:p>
      <w:pPr>
        <w:spacing w:after="0" w:line="332" w:lineRule="exact"/>
        <w:rPr>
          <w:rFonts w:ascii="Arial" w:cs="Arial" w:eastAsia="Arial" w:hAnsi="Arial"/>
          <w:sz w:val="17"/>
          <w:szCs w:val="17"/>
          <w:u w:val="single" w:color="auto"/>
          <w:color w:val="0000FF"/>
        </w:rPr>
      </w:pPr>
    </w:p>
    <w:p>
      <w:pPr>
        <w:jc w:val="both"/>
        <w:ind w:left="2460" w:right="40" w:hanging="519"/>
        <w:spacing w:after="0" w:line="234" w:lineRule="auto"/>
        <w:tabs>
          <w:tab w:leader="none" w:pos="2460" w:val="left"/>
        </w:tabs>
        <w:numPr>
          <w:ilvl w:val="0"/>
          <w:numId w:val="23"/>
        </w:numPr>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Agreement between Acuity Brands, Inc. and Dianne</w:t>
        </w:r>
      </w:hyperlink>
    </w:p>
    <w:p>
      <w:pPr>
        <w:spacing w:after="0" w:line="1" w:lineRule="exact"/>
        <w:rPr>
          <w:rFonts w:ascii="Arial" w:cs="Arial" w:eastAsia="Arial" w:hAnsi="Arial"/>
          <w:sz w:val="17"/>
          <w:szCs w:val="17"/>
          <w:u w:val="single" w:color="auto"/>
          <w:color w:val="0000FF"/>
        </w:rPr>
      </w:pPr>
    </w:p>
    <w:p>
      <w:pPr>
        <w:ind w:left="2680" w:hanging="224"/>
        <w:spacing w:after="0"/>
        <w:tabs>
          <w:tab w:leader="none" w:pos="2680" w:val="left"/>
        </w:tabs>
        <w:numPr>
          <w:ilvl w:val="1"/>
          <w:numId w:val="24"/>
        </w:numPr>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Mills.</w:t>
        </w:r>
      </w:hyperlink>
    </w:p>
    <w:p>
      <w:pPr>
        <w:spacing w:after="0" w:line="180"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5"/>
        </w:numPr>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Form of Indemnification Agreement.</w:t>
        </w:r>
      </w:hyperlink>
    </w:p>
    <w:p>
      <w:pPr>
        <w:spacing w:after="0" w:line="387"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5"/>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stock options, effective October 24, 2013.</w:t>
        </w:r>
      </w:hyperlink>
    </w:p>
    <w:p>
      <w:pPr>
        <w:spacing w:after="0" w:line="355"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5"/>
        </w:numPr>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stock options, effective October 27, 2014.</w:t>
        </w:r>
      </w:hyperlink>
    </w:p>
    <w:p>
      <w:pPr>
        <w:spacing w:after="0" w:line="355"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5"/>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stock options, effective April 1, 2016.</w:t>
        </w:r>
      </w:hyperlink>
    </w:p>
    <w:p>
      <w:pPr>
        <w:spacing w:after="0" w:line="355" w:lineRule="exact"/>
        <w:rPr>
          <w:rFonts w:ascii="Arial" w:cs="Arial" w:eastAsia="Arial" w:hAnsi="Arial"/>
          <w:sz w:val="18"/>
          <w:szCs w:val="18"/>
          <w:u w:val="single" w:color="auto"/>
          <w:color w:val="0000FF"/>
        </w:rPr>
      </w:pPr>
    </w:p>
    <w:p>
      <w:pPr>
        <w:ind w:left="2460" w:right="40" w:hanging="519"/>
        <w:spacing w:after="0"/>
        <w:tabs>
          <w:tab w:leader="none" w:pos="2460" w:val="left"/>
        </w:tabs>
        <w:numPr>
          <w:ilvl w:val="0"/>
          <w:numId w:val="25"/>
        </w:numPr>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Grantees.</w:t>
        </w:r>
      </w:hyperlink>
    </w:p>
    <w:p>
      <w:pPr>
        <w:spacing w:after="0" w:line="355" w:lineRule="exact"/>
        <w:rPr>
          <w:rFonts w:ascii="Arial" w:cs="Arial" w:eastAsia="Arial" w:hAnsi="Arial"/>
          <w:sz w:val="18"/>
          <w:szCs w:val="18"/>
          <w:u w:val="single" w:color="auto"/>
          <w:color w:val="0000FF"/>
        </w:rPr>
      </w:pPr>
    </w:p>
    <w:p>
      <w:pPr>
        <w:ind w:left="2460" w:right="60" w:hanging="519"/>
        <w:spacing w:after="0"/>
        <w:tabs>
          <w:tab w:leader="none" w:pos="2460" w:val="left"/>
        </w:tabs>
        <w:numPr>
          <w:ilvl w:val="0"/>
          <w:numId w:val="25"/>
        </w:numPr>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Non-U.S. Grantees.</w:t>
        </w:r>
      </w:hyperlink>
    </w:p>
    <w:p>
      <w:pPr>
        <w:spacing w:after="0" w:line="355" w:lineRule="exact"/>
        <w:rPr>
          <w:rFonts w:ascii="Arial" w:cs="Arial" w:eastAsia="Arial" w:hAnsi="Arial"/>
          <w:sz w:val="18"/>
          <w:szCs w:val="18"/>
          <w:u w:val="single" w:color="auto"/>
          <w:color w:val="0000FF"/>
        </w:rPr>
      </w:pPr>
    </w:p>
    <w:p>
      <w:pPr>
        <w:ind w:left="2460" w:right="860" w:hanging="519"/>
        <w:spacing w:after="0"/>
        <w:tabs>
          <w:tab w:leader="none" w:pos="2460" w:val="left"/>
        </w:tabs>
        <w:numPr>
          <w:ilvl w:val="0"/>
          <w:numId w:val="25"/>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Agreement.</w:t>
        </w:r>
      </w:hyperlink>
    </w:p>
    <w:p>
      <w:pPr>
        <w:spacing w:after="0" w:line="355" w:lineRule="exact"/>
        <w:rPr>
          <w:rFonts w:ascii="Arial" w:cs="Arial" w:eastAsia="Arial" w:hAnsi="Arial"/>
          <w:sz w:val="18"/>
          <w:szCs w:val="18"/>
          <w:u w:val="single" w:color="auto"/>
          <w:color w:val="0000FF"/>
        </w:rPr>
      </w:pPr>
    </w:p>
    <w:p>
      <w:pPr>
        <w:jc w:val="both"/>
        <w:ind w:left="2460" w:right="840" w:hanging="519"/>
        <w:spacing w:after="0" w:line="268" w:lineRule="auto"/>
        <w:tabs>
          <w:tab w:leader="none" w:pos="2460" w:val="left"/>
        </w:tabs>
        <w:numPr>
          <w:ilvl w:val="0"/>
          <w:numId w:val="25"/>
        </w:numPr>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Form of Nonqualified Stock Option Award</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Agreement for Named Executive Officers.</w:t>
        </w:r>
      </w:hyperlink>
    </w:p>
    <w:p>
      <w:pPr>
        <w:spacing w:after="0" w:line="332" w:lineRule="exact"/>
        <w:rPr>
          <w:rFonts w:ascii="Arial" w:cs="Arial" w:eastAsia="Arial" w:hAnsi="Arial"/>
          <w:sz w:val="17"/>
          <w:szCs w:val="17"/>
          <w:u w:val="single" w:color="auto"/>
          <w:color w:val="0000FF"/>
        </w:rPr>
      </w:pPr>
    </w:p>
    <w:p>
      <w:pPr>
        <w:ind w:left="2460" w:right="280" w:hanging="519"/>
        <w:spacing w:after="0" w:line="268" w:lineRule="auto"/>
        <w:tabs>
          <w:tab w:leader="none" w:pos="2460" w:val="left"/>
        </w:tabs>
        <w:numPr>
          <w:ilvl w:val="0"/>
          <w:numId w:val="25"/>
        </w:numPr>
        <w:rPr>
          <w:rFonts w:ascii="Arial" w:cs="Arial" w:eastAsia="Arial" w:hAnsi="Arial"/>
          <w:sz w:val="17"/>
          <w:szCs w:val="17"/>
          <w:u w:val="single" w:color="auto"/>
          <w:color w:val="0000FF"/>
        </w:rPr>
      </w:pPr>
      <w:hyperlink r:id="rId204">
        <w:r>
          <w:rPr>
            <w:rFonts w:ascii="Arial" w:cs="Arial" w:eastAsia="Arial" w:hAnsi="Arial"/>
            <w:sz w:val="17"/>
            <w:szCs w:val="17"/>
            <w:u w:val="single" w:color="auto"/>
            <w:color w:val="0000FF"/>
          </w:rPr>
          <w:t>Amended and Restated Acuity Brands, Inc. 2012</w:t>
        </w:r>
      </w:hyperlink>
      <w:r>
        <w:rPr>
          <w:rFonts w:ascii="Arial" w:cs="Arial" w:eastAsia="Arial" w:hAnsi="Arial"/>
          <w:sz w:val="17"/>
          <w:szCs w:val="17"/>
          <w:u w:val="single" w:color="auto"/>
          <w:color w:val="0000FF"/>
        </w:rPr>
        <w:t xml:space="preserve"> </w:t>
      </w:r>
      <w:hyperlink r:id="rId204">
        <w:r>
          <w:rPr>
            <w:rFonts w:ascii="Arial" w:cs="Arial" w:eastAsia="Arial" w:hAnsi="Arial"/>
            <w:sz w:val="17"/>
            <w:szCs w:val="17"/>
            <w:u w:val="single" w:color="auto"/>
            <w:color w:val="0000FF"/>
          </w:rPr>
          <w:t>Omnibus Stock Incentive Compensation Plan.</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7" w:lineRule="exact"/>
        <w:rPr>
          <w:rFonts w:ascii="Arial" w:cs="Arial" w:eastAsia="Arial" w:hAnsi="Arial"/>
          <w:sz w:val="17"/>
          <w:szCs w:val="17"/>
          <w:color w:val="auto"/>
        </w:rPr>
      </w:pPr>
    </w:p>
    <w:p>
      <w:pPr>
        <w:ind w:left="5520"/>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right="40"/>
        <w:spacing w:after="0" w:line="221" w:lineRule="auto"/>
        <w:rPr>
          <w:sz w:val="20"/>
          <w:szCs w:val="20"/>
          <w:color w:val="auto"/>
        </w:rPr>
      </w:pPr>
      <w:r>
        <w:rPr>
          <w:rFonts w:ascii="Arial" w:cs="Arial" w:eastAsia="Arial" w:hAnsi="Arial"/>
          <w:sz w:val="18"/>
          <w:szCs w:val="18"/>
          <w:color w:val="auto"/>
        </w:rPr>
        <w:t>Reference is made to Exhibit 10(iii)A(85)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10(iii)A(86)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60" w:lineRule="exact"/>
        <w:rPr>
          <w:rFonts w:ascii="Arial" w:cs="Arial" w:eastAsia="Arial" w:hAnsi="Arial"/>
          <w:sz w:val="17"/>
          <w:szCs w:val="17"/>
          <w:color w:val="auto"/>
        </w:rPr>
      </w:pPr>
    </w:p>
    <w:p>
      <w:pPr>
        <w:ind w:right="40"/>
        <w:spacing w:after="0" w:line="221" w:lineRule="auto"/>
        <w:rPr>
          <w:sz w:val="20"/>
          <w:szCs w:val="20"/>
          <w:color w:val="auto"/>
        </w:rPr>
      </w:pPr>
      <w:r>
        <w:rPr>
          <w:rFonts w:ascii="Arial" w:cs="Arial" w:eastAsia="Arial" w:hAnsi="Arial"/>
          <w:sz w:val="18"/>
          <w:szCs w:val="18"/>
          <w:color w:val="auto"/>
        </w:rPr>
        <w:t>Reference is made to Exhibit 10(iii)A(80)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60" w:lineRule="exact"/>
        <w:rPr>
          <w:rFonts w:ascii="Arial" w:cs="Arial" w:eastAsia="Arial" w:hAnsi="Arial"/>
          <w:sz w:val="17"/>
          <w:szCs w:val="17"/>
          <w:color w:val="auto"/>
        </w:rPr>
      </w:pPr>
    </w:p>
    <w:p>
      <w:pPr>
        <w:ind w:right="40"/>
        <w:spacing w:after="0" w:line="221" w:lineRule="auto"/>
        <w:rPr>
          <w:sz w:val="20"/>
          <w:szCs w:val="20"/>
          <w:color w:val="auto"/>
        </w:rPr>
      </w:pPr>
      <w:r>
        <w:rPr>
          <w:rFonts w:ascii="Arial" w:cs="Arial" w:eastAsia="Arial" w:hAnsi="Arial"/>
          <w:sz w:val="18"/>
          <w:szCs w:val="18"/>
          <w:color w:val="auto"/>
        </w:rPr>
        <w:t>Reference is made to Exhibit 10(iii)A(87)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10(iii)A(88)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23, 2020,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10(iii)A(83)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2021, which is incorporated herein by reference.</w:t>
      </w:r>
    </w:p>
    <w:p>
      <w:pPr>
        <w:spacing w:after="0" w:line="1" w:lineRule="exact"/>
        <w:rPr>
          <w:rFonts w:ascii="Arial" w:cs="Arial" w:eastAsia="Arial" w:hAnsi="Arial"/>
          <w:sz w:val="17"/>
          <w:szCs w:val="17"/>
          <w:color w:val="auto"/>
        </w:rPr>
      </w:pPr>
    </w:p>
    <w:p>
      <w:pPr>
        <w:ind w:right="60"/>
        <w:spacing w:after="0" w:line="229" w:lineRule="auto"/>
        <w:rPr>
          <w:sz w:val="20"/>
          <w:szCs w:val="20"/>
          <w:color w:val="auto"/>
        </w:rPr>
      </w:pPr>
      <w:r>
        <w:rPr>
          <w:rFonts w:ascii="Arial" w:cs="Arial" w:eastAsia="Arial" w:hAnsi="Arial"/>
          <w:sz w:val="17"/>
          <w:szCs w:val="17"/>
          <w:color w:val="auto"/>
        </w:rPr>
        <w:t>Reference is made to Exhibit 10.1 of registrant’s Form 8-K as filed with the Commission on February</w:t>
      </w:r>
    </w:p>
    <w:p>
      <w:pPr>
        <w:spacing w:after="0"/>
        <w:rPr>
          <w:sz w:val="20"/>
          <w:szCs w:val="20"/>
          <w:color w:val="auto"/>
        </w:rPr>
      </w:pPr>
      <w:r>
        <w:rPr>
          <w:rFonts w:ascii="Arial" w:cs="Arial" w:eastAsia="Arial" w:hAnsi="Arial"/>
          <w:sz w:val="18"/>
          <w:szCs w:val="18"/>
          <w:color w:val="auto"/>
        </w:rPr>
        <w:t>9, 2010, which is incorporated herein by reference.</w:t>
      </w:r>
    </w:p>
    <w:p>
      <w:pPr>
        <w:spacing w:after="0" w:line="14"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spacing w:after="0" w:line="1" w:lineRule="exact"/>
        <w:rPr>
          <w:rFonts w:ascii="Arial" w:cs="Arial" w:eastAsia="Arial" w:hAnsi="Arial"/>
          <w:sz w:val="17"/>
          <w:szCs w:val="17"/>
          <w:color w:val="auto"/>
        </w:rPr>
      </w:pPr>
    </w:p>
    <w:p>
      <w:pPr>
        <w:ind w:right="320"/>
        <w:spacing w:after="0" w:line="229" w:lineRule="auto"/>
        <w:rPr>
          <w:sz w:val="20"/>
          <w:szCs w:val="20"/>
          <w:color w:val="auto"/>
        </w:rPr>
      </w:pPr>
      <w:r>
        <w:rPr>
          <w:rFonts w:ascii="Arial" w:cs="Arial" w:eastAsia="Arial" w:hAnsi="Arial"/>
          <w:sz w:val="18"/>
          <w:szCs w:val="18"/>
          <w:color w:val="auto"/>
        </w:rPr>
        <w:t>on April 2, 2014,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10(iii)A(66)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29, 2014, which is incorporated herein by reference.</w:t>
      </w:r>
    </w:p>
    <w:p>
      <w:pPr>
        <w:spacing w:after="0" w:line="1" w:lineRule="exact"/>
        <w:rPr>
          <w:rFonts w:ascii="Arial" w:cs="Arial" w:eastAsia="Arial" w:hAnsi="Arial"/>
          <w:sz w:val="17"/>
          <w:szCs w:val="17"/>
          <w:color w:val="auto"/>
        </w:rPr>
      </w:pPr>
    </w:p>
    <w:p>
      <w:pPr>
        <w:ind w:right="20"/>
        <w:spacing w:after="0" w:line="216"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spacing w:after="0" w:line="1" w:lineRule="exact"/>
        <w:rPr>
          <w:rFonts w:ascii="Arial" w:cs="Arial" w:eastAsia="Arial" w:hAnsi="Arial"/>
          <w:sz w:val="17"/>
          <w:szCs w:val="17"/>
          <w:color w:val="auto"/>
        </w:rPr>
      </w:pPr>
    </w:p>
    <w:p>
      <w:pPr>
        <w:ind w:right="320"/>
        <w:spacing w:after="0" w:line="229" w:lineRule="auto"/>
        <w:rPr>
          <w:sz w:val="20"/>
          <w:szCs w:val="20"/>
          <w:color w:val="auto"/>
        </w:rPr>
      </w:pPr>
      <w:r>
        <w:rPr>
          <w:rFonts w:ascii="Arial" w:cs="Arial" w:eastAsia="Arial" w:hAnsi="Arial"/>
          <w:sz w:val="18"/>
          <w:szCs w:val="18"/>
          <w:color w:val="auto"/>
        </w:rPr>
        <w:t>on April 6, 2016,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10(iii)A(70)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10(iii)A(72)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26, 2017,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10(iii)A(72)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Exhibit 10(iii)A(73) of the registrant's Form 10-K as filed with the Commission</w:t>
      </w:r>
    </w:p>
    <w:p>
      <w:pPr>
        <w:spacing w:after="0" w:line="1" w:lineRule="exact"/>
        <w:rPr>
          <w:rFonts w:ascii="Arial" w:cs="Arial" w:eastAsia="Arial" w:hAnsi="Arial"/>
          <w:sz w:val="17"/>
          <w:szCs w:val="17"/>
          <w:color w:val="auto"/>
        </w:rPr>
      </w:pPr>
    </w:p>
    <w:p>
      <w:pPr>
        <w:ind w:right="180"/>
        <w:spacing w:after="0" w:line="229" w:lineRule="auto"/>
        <w:rPr>
          <w:sz w:val="20"/>
          <w:szCs w:val="20"/>
          <w:color w:val="auto"/>
        </w:rPr>
      </w:pPr>
      <w:r>
        <w:rPr>
          <w:rFonts w:ascii="Arial" w:cs="Arial" w:eastAsia="Arial" w:hAnsi="Arial"/>
          <w:sz w:val="18"/>
          <w:szCs w:val="18"/>
          <w:color w:val="auto"/>
        </w:rPr>
        <w:t>on October 27, 2016, which is incorporated herein by reference.</w:t>
      </w:r>
    </w:p>
    <w:p>
      <w:pPr>
        <w:spacing w:after="0" w:line="1" w:lineRule="exact"/>
        <w:rPr>
          <w:rFonts w:ascii="Arial" w:cs="Arial" w:eastAsia="Arial" w:hAnsi="Arial"/>
          <w:sz w:val="17"/>
          <w:szCs w:val="17"/>
          <w:color w:val="auto"/>
        </w:rPr>
      </w:pPr>
    </w:p>
    <w:p>
      <w:pPr>
        <w:ind w:right="40"/>
        <w:spacing w:after="0" w:line="216" w:lineRule="auto"/>
        <w:rPr>
          <w:sz w:val="20"/>
          <w:szCs w:val="20"/>
          <w:color w:val="auto"/>
        </w:rPr>
      </w:pPr>
      <w:r>
        <w:rPr>
          <w:rFonts w:ascii="Arial" w:cs="Arial" w:eastAsia="Arial" w:hAnsi="Arial"/>
          <w:sz w:val="18"/>
          <w:szCs w:val="18"/>
          <w:color w:val="auto"/>
        </w:rPr>
        <w:t>Reference is made to Appendix B of the registrant’s Proxy Statement as filed with the Commission on</w:t>
      </w:r>
    </w:p>
    <w:p>
      <w:pPr>
        <w:spacing w:after="0" w:line="1" w:lineRule="exact"/>
        <w:rPr>
          <w:rFonts w:ascii="Arial" w:cs="Arial" w:eastAsia="Arial" w:hAnsi="Arial"/>
          <w:sz w:val="17"/>
          <w:szCs w:val="17"/>
          <w:color w:val="auto"/>
        </w:rPr>
      </w:pPr>
    </w:p>
    <w:p>
      <w:pPr>
        <w:spacing w:after="0" w:line="229" w:lineRule="auto"/>
        <w:rPr>
          <w:sz w:val="20"/>
          <w:szCs w:val="20"/>
          <w:color w:val="auto"/>
        </w:rPr>
      </w:pPr>
      <w:r>
        <w:rPr>
          <w:rFonts w:ascii="Arial" w:cs="Arial" w:eastAsia="Arial" w:hAnsi="Arial"/>
          <w:sz w:val="18"/>
          <w:szCs w:val="18"/>
          <w:color w:val="auto"/>
        </w:rPr>
        <w:t>November 22, 2021, which is incorporated herein by reference.</w:t>
      </w:r>
    </w:p>
    <w:p>
      <w:pPr>
        <w:sectPr>
          <w:pgSz w:w="11900" w:h="16838" w:orient="portrait"/>
          <w:cols w:equalWidth="0" w:num="2">
            <w:col w:w="6620" w:space="420"/>
            <w:col w:w="4160"/>
          </w:cols>
          <w:pgMar w:left="320" w:top="242"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660" w:hanging="519"/>
        <w:spacing w:after="0"/>
        <w:tabs>
          <w:tab w:leader="none" w:pos="2460" w:val="left"/>
        </w:tabs>
        <w:numPr>
          <w:ilvl w:val="0"/>
          <w:numId w:val="26"/>
        </w:numPr>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Acuity Brands, Inc. 2017 Management Cash</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Incentive Plan.</w:t>
        </w:r>
      </w:hyperlink>
    </w:p>
    <w:p>
      <w:pPr>
        <w:spacing w:after="0" w:line="355" w:lineRule="exact"/>
        <w:rPr>
          <w:rFonts w:ascii="Arial" w:cs="Arial" w:eastAsia="Arial" w:hAnsi="Arial"/>
          <w:sz w:val="18"/>
          <w:szCs w:val="18"/>
          <w:u w:val="single" w:color="auto"/>
          <w:color w:val="0000FF"/>
        </w:rPr>
      </w:pPr>
    </w:p>
    <w:p>
      <w:pPr>
        <w:ind w:left="2460" w:right="60" w:hanging="519"/>
        <w:spacing w:after="0"/>
        <w:tabs>
          <w:tab w:leader="none" w:pos="2460" w:val="left"/>
        </w:tabs>
        <w:numPr>
          <w:ilvl w:val="0"/>
          <w:numId w:val="26"/>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Employees.</w:t>
        </w:r>
      </w:hyperlink>
    </w:p>
    <w:p>
      <w:pPr>
        <w:spacing w:after="0" w:line="355" w:lineRule="exact"/>
        <w:rPr>
          <w:rFonts w:ascii="Arial" w:cs="Arial" w:eastAsia="Arial" w:hAnsi="Arial"/>
          <w:sz w:val="18"/>
          <w:szCs w:val="18"/>
          <w:u w:val="single" w:color="auto"/>
          <w:color w:val="0000FF"/>
        </w:rPr>
      </w:pPr>
    </w:p>
    <w:p>
      <w:pPr>
        <w:ind w:left="2460" w:right="460" w:hanging="519"/>
        <w:spacing w:after="0"/>
        <w:tabs>
          <w:tab w:leader="none" w:pos="2460" w:val="left"/>
        </w:tabs>
        <w:numPr>
          <w:ilvl w:val="0"/>
          <w:numId w:val="26"/>
        </w:numPr>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Directors.</w:t>
        </w:r>
      </w:hyperlink>
    </w:p>
    <w:p>
      <w:pPr>
        <w:spacing w:after="0" w:line="355" w:lineRule="exact"/>
        <w:rPr>
          <w:rFonts w:ascii="Arial" w:cs="Arial" w:eastAsia="Arial" w:hAnsi="Arial"/>
          <w:sz w:val="18"/>
          <w:szCs w:val="18"/>
          <w:u w:val="single" w:color="auto"/>
          <w:color w:val="0000FF"/>
        </w:rPr>
      </w:pPr>
    </w:p>
    <w:p>
      <w:pPr>
        <w:ind w:left="2460" w:right="680" w:hanging="519"/>
        <w:spacing w:after="0"/>
        <w:tabs>
          <w:tab w:leader="none" w:pos="2460" w:val="left"/>
        </w:tabs>
        <w:numPr>
          <w:ilvl w:val="0"/>
          <w:numId w:val="26"/>
        </w:numPr>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Restricted Stock Award Agreement for Non-</w:t>
        </w:r>
      </w:hyperlink>
      <w:hyperlink r:id="rId209">
        <w:r>
          <w:rPr>
            <w:rFonts w:ascii="Arial" w:cs="Arial" w:eastAsia="Arial" w:hAnsi="Arial"/>
            <w:sz w:val="18"/>
            <w:szCs w:val="18"/>
            <w:u w:val="single" w:color="auto"/>
            <w:color w:val="0000FF"/>
          </w:rPr>
          <w:t>Employee Director.</w:t>
        </w:r>
      </w:hyperlink>
    </w:p>
    <w:p>
      <w:pPr>
        <w:spacing w:after="0" w:line="355" w:lineRule="exact"/>
        <w:rPr>
          <w:rFonts w:ascii="Arial" w:cs="Arial" w:eastAsia="Arial" w:hAnsi="Arial"/>
          <w:sz w:val="18"/>
          <w:szCs w:val="18"/>
          <w:u w:val="single" w:color="auto"/>
          <w:color w:val="0000FF"/>
        </w:rPr>
      </w:pPr>
    </w:p>
    <w:p>
      <w:pPr>
        <w:ind w:left="2460" w:right="680" w:hanging="519"/>
        <w:spacing w:after="0"/>
        <w:tabs>
          <w:tab w:leader="none" w:pos="2460" w:val="left"/>
        </w:tabs>
        <w:numPr>
          <w:ilvl w:val="0"/>
          <w:numId w:val="26"/>
        </w:numPr>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Deferred Stock Unit Award Agreement Non-</w:t>
        </w:r>
      </w:hyperlink>
      <w:hyperlink r:id="rId210">
        <w:r>
          <w:rPr>
            <w:rFonts w:ascii="Arial" w:cs="Arial" w:eastAsia="Arial" w:hAnsi="Arial"/>
            <w:sz w:val="18"/>
            <w:szCs w:val="18"/>
            <w:u w:val="single" w:color="auto"/>
            <w:color w:val="0000FF"/>
          </w:rPr>
          <w:t>Employee Directors.</w:t>
        </w:r>
      </w:hyperlink>
    </w:p>
    <w:p>
      <w:pPr>
        <w:spacing w:after="0" w:line="355" w:lineRule="exact"/>
        <w:rPr>
          <w:rFonts w:ascii="Arial" w:cs="Arial" w:eastAsia="Arial" w:hAnsi="Arial"/>
          <w:sz w:val="18"/>
          <w:szCs w:val="18"/>
          <w:u w:val="single" w:color="auto"/>
          <w:color w:val="0000FF"/>
        </w:rPr>
      </w:pPr>
    </w:p>
    <w:p>
      <w:pPr>
        <w:ind w:left="2460" w:hanging="519"/>
        <w:spacing w:after="0" w:line="225" w:lineRule="auto"/>
        <w:tabs>
          <w:tab w:leader="none" w:pos="2460" w:val="left"/>
        </w:tabs>
        <w:numPr>
          <w:ilvl w:val="0"/>
          <w:numId w:val="26"/>
        </w:numPr>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Agreement.</w:t>
        </w:r>
      </w:hyperlink>
    </w:p>
    <w:p>
      <w:pPr>
        <w:spacing w:after="0" w:line="2" w:lineRule="exact"/>
        <w:rPr>
          <w:rFonts w:ascii="Arial" w:cs="Arial" w:eastAsia="Arial" w:hAnsi="Arial"/>
          <w:sz w:val="18"/>
          <w:szCs w:val="18"/>
          <w:u w:val="single" w:color="auto"/>
          <w:color w:val="0000FF"/>
        </w:rPr>
      </w:pPr>
    </w:p>
    <w:p>
      <w:pPr>
        <w:ind w:left="2460" w:hanging="519"/>
        <w:spacing w:after="0" w:line="223" w:lineRule="auto"/>
        <w:tabs>
          <w:tab w:leader="none" w:pos="2460" w:val="left"/>
        </w:tabs>
        <w:numPr>
          <w:ilvl w:val="0"/>
          <w:numId w:val="26"/>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Agreement.</w:t>
        </w:r>
      </w:hyperlink>
    </w:p>
    <w:p>
      <w:pPr>
        <w:ind w:left="2460" w:hanging="519"/>
        <w:spacing w:after="0" w:line="223" w:lineRule="auto"/>
        <w:tabs>
          <w:tab w:leader="none" w:pos="2460" w:val="left"/>
        </w:tabs>
        <w:numPr>
          <w:ilvl w:val="0"/>
          <w:numId w:val="26"/>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Restricted Stock Unit Notification and Award</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Agreement.</w:t>
        </w:r>
      </w:hyperlink>
    </w:p>
    <w:p>
      <w:pPr>
        <w:ind w:left="2460" w:hanging="519"/>
        <w:spacing w:after="0" w:line="223" w:lineRule="auto"/>
        <w:tabs>
          <w:tab w:leader="none" w:pos="2460" w:val="left"/>
        </w:tabs>
        <w:numPr>
          <w:ilvl w:val="0"/>
          <w:numId w:val="26"/>
        </w:numPr>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Restricted Stock Unit Notification and Award</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right="240"/>
        <w:spacing w:after="0" w:line="221" w:lineRule="auto"/>
        <w:rPr>
          <w:sz w:val="20"/>
          <w:szCs w:val="20"/>
          <w:color w:val="auto"/>
        </w:rPr>
      </w:pPr>
      <w:r>
        <w:rPr>
          <w:rFonts w:ascii="Arial" w:cs="Arial" w:eastAsia="Arial" w:hAnsi="Arial"/>
          <w:sz w:val="18"/>
          <w:szCs w:val="18"/>
          <w:color w:val="auto"/>
        </w:rPr>
        <w:t>Reference is made to Annex B of the registrant’s Proxy Statement as filed with the Commission on</w:t>
      </w:r>
    </w:p>
    <w:p>
      <w:pPr>
        <w:spacing w:after="0" w:line="1" w:lineRule="exact"/>
        <w:rPr>
          <w:rFonts w:ascii="Arial" w:cs="Arial" w:eastAsia="Arial" w:hAnsi="Arial"/>
          <w:sz w:val="18"/>
          <w:szCs w:val="18"/>
          <w:u w:val="single" w:color="auto"/>
          <w:color w:val="0000FF"/>
        </w:rPr>
      </w:pPr>
    </w:p>
    <w:p>
      <w:pPr>
        <w:spacing w:after="0" w:line="229" w:lineRule="auto"/>
        <w:rPr>
          <w:sz w:val="20"/>
          <w:szCs w:val="20"/>
          <w:color w:val="auto"/>
        </w:rPr>
      </w:pPr>
      <w:r>
        <w:rPr>
          <w:rFonts w:ascii="Arial" w:cs="Arial" w:eastAsia="Arial" w:hAnsi="Arial"/>
          <w:sz w:val="18"/>
          <w:szCs w:val="18"/>
          <w:color w:val="auto"/>
        </w:rPr>
        <w:t>November 21, 2017,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10(iii)A(1) of the registrant's Form 10-Q as filed with the Commission</w:t>
      </w:r>
    </w:p>
    <w:p>
      <w:pPr>
        <w:spacing w:after="0" w:line="1" w:lineRule="exact"/>
        <w:rPr>
          <w:rFonts w:ascii="Arial" w:cs="Arial" w:eastAsia="Arial" w:hAnsi="Arial"/>
          <w:sz w:val="18"/>
          <w:szCs w:val="18"/>
          <w:u w:val="single" w:color="auto"/>
          <w:color w:val="0000FF"/>
        </w:rPr>
      </w:pPr>
    </w:p>
    <w:p>
      <w:pPr>
        <w:ind w:right="320"/>
        <w:spacing w:after="0" w:line="229" w:lineRule="auto"/>
        <w:rPr>
          <w:sz w:val="20"/>
          <w:szCs w:val="20"/>
          <w:color w:val="auto"/>
        </w:rPr>
      </w:pPr>
      <w:r>
        <w:rPr>
          <w:rFonts w:ascii="Arial" w:cs="Arial" w:eastAsia="Arial" w:hAnsi="Arial"/>
          <w:sz w:val="18"/>
          <w:szCs w:val="18"/>
          <w:color w:val="auto"/>
        </w:rPr>
        <w:t>on April 4, 2018,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10(iii)A(3) of the registrant's Form 10-Q as filed with the Commission</w:t>
      </w:r>
    </w:p>
    <w:p>
      <w:pPr>
        <w:spacing w:after="0" w:line="1" w:lineRule="exact"/>
        <w:rPr>
          <w:rFonts w:ascii="Arial" w:cs="Arial" w:eastAsia="Arial" w:hAnsi="Arial"/>
          <w:sz w:val="18"/>
          <w:szCs w:val="18"/>
          <w:u w:val="single" w:color="auto"/>
          <w:color w:val="0000FF"/>
        </w:rPr>
      </w:pPr>
    </w:p>
    <w:p>
      <w:pPr>
        <w:ind w:right="320"/>
        <w:spacing w:after="0" w:line="229" w:lineRule="auto"/>
        <w:rPr>
          <w:sz w:val="20"/>
          <w:szCs w:val="20"/>
          <w:color w:val="auto"/>
        </w:rPr>
      </w:pPr>
      <w:r>
        <w:rPr>
          <w:rFonts w:ascii="Arial" w:cs="Arial" w:eastAsia="Arial" w:hAnsi="Arial"/>
          <w:sz w:val="18"/>
          <w:szCs w:val="18"/>
          <w:color w:val="auto"/>
        </w:rPr>
        <w:t>on April 4, 2018,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10(iii)a of the registrant's Form 10-Q as filed with the Commission</w:t>
      </w:r>
    </w:p>
    <w:p>
      <w:pPr>
        <w:spacing w:after="0" w:line="1" w:lineRule="exact"/>
        <w:rPr>
          <w:rFonts w:ascii="Arial" w:cs="Arial" w:eastAsia="Arial" w:hAnsi="Arial"/>
          <w:sz w:val="18"/>
          <w:szCs w:val="18"/>
          <w:u w:val="single" w:color="auto"/>
          <w:color w:val="0000FF"/>
        </w:rPr>
      </w:pPr>
    </w:p>
    <w:p>
      <w:pPr>
        <w:ind w:right="40"/>
        <w:spacing w:after="0" w:line="229"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16" w:lineRule="auto"/>
        <w:rPr>
          <w:sz w:val="20"/>
          <w:szCs w:val="20"/>
          <w:color w:val="auto"/>
        </w:rPr>
      </w:pPr>
      <w:r>
        <w:rPr>
          <w:rFonts w:ascii="Arial" w:cs="Arial" w:eastAsia="Arial" w:hAnsi="Arial"/>
          <w:sz w:val="18"/>
          <w:szCs w:val="18"/>
          <w:color w:val="auto"/>
        </w:rPr>
        <w:t>Reference is made to Exhibit 10(iii)b of the registrant's Form 10-Q as filed with the Commission</w:t>
      </w:r>
    </w:p>
    <w:p>
      <w:pPr>
        <w:spacing w:after="0" w:line="1" w:lineRule="exact"/>
        <w:rPr>
          <w:rFonts w:ascii="Arial" w:cs="Arial" w:eastAsia="Arial" w:hAnsi="Arial"/>
          <w:sz w:val="18"/>
          <w:szCs w:val="18"/>
          <w:u w:val="single" w:color="auto"/>
          <w:color w:val="0000FF"/>
        </w:rPr>
      </w:pPr>
    </w:p>
    <w:p>
      <w:pPr>
        <w:ind w:right="40"/>
        <w:spacing w:after="0" w:line="229" w:lineRule="auto"/>
        <w:rPr>
          <w:sz w:val="20"/>
          <w:szCs w:val="20"/>
          <w:color w:val="auto"/>
        </w:rPr>
      </w:pPr>
      <w:r>
        <w:rPr>
          <w:rFonts w:ascii="Arial" w:cs="Arial" w:eastAsia="Arial" w:hAnsi="Arial"/>
          <w:sz w:val="18"/>
          <w:szCs w:val="18"/>
          <w:color w:val="auto"/>
        </w:rPr>
        <w:t>on January 7, 2022, which is incorporated herein by reference.</w:t>
      </w:r>
    </w:p>
    <w:p>
      <w:pPr>
        <w:spacing w:after="0" w:line="1" w:lineRule="exact"/>
        <w:rPr>
          <w:rFonts w:ascii="Arial" w:cs="Arial" w:eastAsia="Arial" w:hAnsi="Arial"/>
          <w:sz w:val="18"/>
          <w:szCs w:val="18"/>
          <w:u w:val="single" w:color="auto"/>
          <w:color w:val="0000FF"/>
        </w:rPr>
      </w:pPr>
    </w:p>
    <w:p>
      <w:pPr>
        <w:ind w:right="40"/>
        <w:spacing w:after="0" w:line="216" w:lineRule="auto"/>
        <w:rPr>
          <w:sz w:val="20"/>
          <w:szCs w:val="20"/>
          <w:color w:val="auto"/>
        </w:rPr>
      </w:pPr>
      <w:r>
        <w:rPr>
          <w:rFonts w:ascii="Arial" w:cs="Arial" w:eastAsia="Arial" w:hAnsi="Arial"/>
          <w:sz w:val="18"/>
          <w:szCs w:val="18"/>
          <w:color w:val="auto"/>
        </w:rPr>
        <w:t>Reference is made to Exhibit 10(iii)A(93) of the registrant's Form 10-K as filed with the Commission</w:t>
      </w:r>
    </w:p>
    <w:p>
      <w:pPr>
        <w:spacing w:after="0" w:line="1" w:lineRule="exact"/>
        <w:rPr>
          <w:rFonts w:ascii="Arial" w:cs="Arial" w:eastAsia="Arial" w:hAnsi="Arial"/>
          <w:sz w:val="18"/>
          <w:szCs w:val="18"/>
          <w:u w:val="single" w:color="auto"/>
          <w:color w:val="0000FF"/>
        </w:rPr>
      </w:pPr>
    </w:p>
    <w:p>
      <w:pPr>
        <w:ind w:right="18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29" w:lineRule="auto"/>
        <w:rPr>
          <w:sz w:val="20"/>
          <w:szCs w:val="20"/>
          <w:color w:val="auto"/>
        </w:rPr>
      </w:pPr>
      <w:r>
        <w:rPr>
          <w:rFonts w:ascii="Arial" w:cs="Arial" w:eastAsia="Arial" w:hAnsi="Arial"/>
          <w:sz w:val="17"/>
          <w:szCs w:val="17"/>
          <w:color w:val="auto"/>
        </w:rPr>
        <w:t>Reference is made to Exhibit 10(c)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80" w:lineRule="exact"/>
        <w:rPr>
          <w:rFonts w:ascii="Arial" w:cs="Arial" w:eastAsia="Arial" w:hAnsi="Arial"/>
          <w:sz w:val="18"/>
          <w:szCs w:val="18"/>
          <w:u w:val="single" w:color="auto"/>
          <w:color w:val="0000FF"/>
        </w:rPr>
      </w:pPr>
    </w:p>
    <w:p>
      <w:pPr>
        <w:ind w:right="40"/>
        <w:spacing w:after="0" w:line="221" w:lineRule="auto"/>
        <w:rPr>
          <w:sz w:val="20"/>
          <w:szCs w:val="20"/>
          <w:color w:val="auto"/>
        </w:rPr>
      </w:pPr>
      <w:r>
        <w:rPr>
          <w:rFonts w:ascii="Arial" w:cs="Arial" w:eastAsia="Arial" w:hAnsi="Arial"/>
          <w:sz w:val="18"/>
          <w:szCs w:val="18"/>
          <w:color w:val="auto"/>
        </w:rPr>
        <w:t>Reference is made to Exhibit 10(iii)A(94) of the registrant's Form 10-K as filed with the Commission</w:t>
      </w:r>
    </w:p>
    <w:p>
      <w:pPr>
        <w:spacing w:after="0" w:line="1" w:lineRule="exact"/>
        <w:rPr>
          <w:rFonts w:ascii="Arial" w:cs="Arial" w:eastAsia="Arial" w:hAnsi="Arial"/>
          <w:sz w:val="18"/>
          <w:szCs w:val="18"/>
          <w:u w:val="single" w:color="auto"/>
          <w:color w:val="0000FF"/>
        </w:rPr>
      </w:pPr>
    </w:p>
    <w:p>
      <w:pPr>
        <w:ind w:right="180"/>
        <w:spacing w:after="0" w:line="229" w:lineRule="auto"/>
        <w:rPr>
          <w:sz w:val="20"/>
          <w:szCs w:val="20"/>
          <w:color w:val="auto"/>
        </w:rPr>
      </w:pPr>
      <w:r>
        <w:rPr>
          <w:rFonts w:ascii="Arial" w:cs="Arial" w:eastAsia="Arial" w:hAnsi="Arial"/>
          <w:sz w:val="18"/>
          <w:szCs w:val="18"/>
          <w:color w:val="auto"/>
        </w:rPr>
        <w:t>on October 29, 2019, which is incorporated herein by reference.</w:t>
      </w:r>
    </w:p>
    <w:p>
      <w:pPr>
        <w:spacing w:after="0" w:line="1" w:lineRule="exact"/>
        <w:rPr>
          <w:rFonts w:ascii="Arial" w:cs="Arial" w:eastAsia="Arial" w:hAnsi="Arial"/>
          <w:sz w:val="18"/>
          <w:szCs w:val="18"/>
          <w:u w:val="single" w:color="auto"/>
          <w:color w:val="0000FF"/>
        </w:rPr>
      </w:pPr>
    </w:p>
    <w:p>
      <w:pPr>
        <w:ind w:right="20"/>
        <w:spacing w:after="0" w:line="229" w:lineRule="auto"/>
        <w:rPr>
          <w:sz w:val="20"/>
          <w:szCs w:val="20"/>
          <w:color w:val="auto"/>
        </w:rPr>
      </w:pPr>
      <w:r>
        <w:rPr>
          <w:rFonts w:ascii="Arial" w:cs="Arial" w:eastAsia="Arial" w:hAnsi="Arial"/>
          <w:sz w:val="17"/>
          <w:szCs w:val="17"/>
          <w:color w:val="auto"/>
        </w:rPr>
        <w:t>Reference is made to Exhibit 10(d) of registrant's Form 10-Q as filed with the Commission on January</w:t>
      </w:r>
    </w:p>
    <w:p>
      <w:pPr>
        <w:spacing w:after="0"/>
        <w:rPr>
          <w:sz w:val="20"/>
          <w:szCs w:val="20"/>
          <w:color w:val="auto"/>
        </w:rPr>
      </w:pPr>
      <w:r>
        <w:rPr>
          <w:rFonts w:ascii="Arial" w:cs="Arial" w:eastAsia="Arial" w:hAnsi="Arial"/>
          <w:sz w:val="18"/>
          <w:szCs w:val="18"/>
          <w:color w:val="auto"/>
        </w:rPr>
        <w:t>7, 2020, which is incorporated herein by reference.</w:t>
      </w:r>
    </w:p>
    <w:p>
      <w:pPr>
        <w:spacing w:after="0" w:line="190" w:lineRule="exact"/>
        <w:rPr>
          <w:rFonts w:ascii="Arial" w:cs="Arial" w:eastAsia="Arial" w:hAnsi="Arial"/>
          <w:sz w:val="18"/>
          <w:szCs w:val="18"/>
          <w:u w:val="single" w:color="auto"/>
          <w:color w:val="0000FF"/>
        </w:rPr>
      </w:pPr>
    </w:p>
    <w:p>
      <w:pPr>
        <w:sectPr>
          <w:pgSz w:w="11900" w:h="16838" w:orient="portrait"/>
          <w:cols w:equalWidth="0" w:num="2">
            <w:col w:w="6640" w:space="400"/>
            <w:col w:w="4160"/>
          </w:cols>
          <w:pgMar w:left="320" w:top="242" w:right="379" w:bottom="1440" w:gutter="0" w:footer="0" w:header="0"/>
        </w:sectPr>
      </w:pPr>
    </w:p>
    <w:tbl>
      <w:tblPr>
        <w:tblLayout w:type="fixed"/>
        <w:tblInd w:w="40" w:type="dxa"/>
        <w:tblCellMar>
          <w:top w:w="0" w:type="dxa"/>
          <w:left w:w="0" w:type="dxa"/>
          <w:bottom w:w="0" w:type="dxa"/>
          <w:right w:w="0" w:type="dxa"/>
        </w:tblCellMar>
      </w:tblPr>
      <w:tr>
        <w:trPr>
          <w:trHeight w:val="179"/>
        </w:trPr>
        <w:tc>
          <w:tcPr>
            <w:tcW w:w="1460" w:type="dxa"/>
            <w:vAlign w:val="bottom"/>
          </w:tcPr>
          <w:p>
            <w:pPr>
              <w:spacing w:after="0" w:line="172" w:lineRule="exact"/>
              <w:rPr>
                <w:sz w:val="20"/>
                <w:szCs w:val="20"/>
                <w:color w:val="auto"/>
              </w:rPr>
            </w:pPr>
            <w:r>
              <w:rPr>
                <w:rFonts w:ascii="Arial" w:cs="Arial" w:eastAsia="Arial" w:hAnsi="Arial"/>
                <w:sz w:val="18"/>
                <w:szCs w:val="18"/>
                <w:color w:val="auto"/>
              </w:rPr>
              <w:t>EXHIBIT 21</w:t>
            </w:r>
          </w:p>
        </w:tc>
        <w:tc>
          <w:tcPr>
            <w:tcW w:w="960" w:type="dxa"/>
            <w:vAlign w:val="bottom"/>
          </w:tcPr>
          <w:p>
            <w:pPr>
              <w:spacing w:after="0"/>
              <w:rPr>
                <w:sz w:val="15"/>
                <w:szCs w:val="15"/>
                <w:color w:val="auto"/>
              </w:rPr>
            </w:pPr>
          </w:p>
        </w:tc>
        <w:tc>
          <w:tcPr>
            <w:tcW w:w="4340" w:type="dxa"/>
            <w:vAlign w:val="bottom"/>
            <w:gridSpan w:val="9"/>
          </w:tcPr>
          <w:p>
            <w:pPr>
              <w:spacing w:after="0" w:line="172" w:lineRule="exact"/>
              <w:rPr>
                <w:sz w:val="20"/>
                <w:szCs w:val="20"/>
                <w:color w:val="auto"/>
              </w:rPr>
            </w:pPr>
            <w:r>
              <w:rPr>
                <w:rFonts w:ascii="Arial" w:cs="Arial" w:eastAsia="Arial" w:hAnsi="Arial"/>
                <w:sz w:val="18"/>
                <w:szCs w:val="18"/>
                <w:color w:val="0000FF"/>
              </w:rPr>
              <w:t>List of Subsidiaries.</w:t>
            </w:r>
          </w:p>
        </w:tc>
        <w:tc>
          <w:tcPr>
            <w:tcW w:w="4260" w:type="dxa"/>
            <w:vAlign w:val="bottom"/>
          </w:tcPr>
          <w:p>
            <w:pPr>
              <w:ind w:left="240"/>
              <w:spacing w:after="0" w:line="172"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11"/>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88"/>
        </w:trPr>
        <w:tc>
          <w:tcPr>
            <w:tcW w:w="1460" w:type="dxa"/>
            <w:vAlign w:val="bottom"/>
          </w:tcPr>
          <w:p>
            <w:pPr>
              <w:spacing w:after="0" w:line="181" w:lineRule="exact"/>
              <w:rPr>
                <w:sz w:val="20"/>
                <w:szCs w:val="20"/>
                <w:color w:val="auto"/>
              </w:rPr>
            </w:pPr>
            <w:r>
              <w:rPr>
                <w:rFonts w:ascii="Arial" w:cs="Arial" w:eastAsia="Arial" w:hAnsi="Arial"/>
                <w:sz w:val="18"/>
                <w:szCs w:val="18"/>
                <w:color w:val="auto"/>
              </w:rPr>
              <w:t>EXHIBIT 22</w:t>
            </w:r>
          </w:p>
        </w:tc>
        <w:tc>
          <w:tcPr>
            <w:tcW w:w="960" w:type="dxa"/>
            <w:vAlign w:val="bottom"/>
          </w:tcPr>
          <w:p>
            <w:pPr>
              <w:spacing w:after="0"/>
              <w:rPr>
                <w:sz w:val="16"/>
                <w:szCs w:val="16"/>
                <w:color w:val="auto"/>
              </w:rPr>
            </w:pPr>
          </w:p>
        </w:tc>
        <w:tc>
          <w:tcPr>
            <w:tcW w:w="4340" w:type="dxa"/>
            <w:vAlign w:val="bottom"/>
            <w:gridSpan w:val="9"/>
          </w:tcPr>
          <w:p>
            <w:pPr>
              <w:spacing w:after="0" w:line="181" w:lineRule="exact"/>
              <w:rPr>
                <w:sz w:val="20"/>
                <w:szCs w:val="20"/>
                <w:color w:val="auto"/>
              </w:rPr>
            </w:pPr>
            <w:r>
              <w:rPr>
                <w:rFonts w:ascii="Arial" w:cs="Arial" w:eastAsia="Arial" w:hAnsi="Arial"/>
                <w:sz w:val="18"/>
                <w:szCs w:val="18"/>
                <w:color w:val="0000FF"/>
              </w:rPr>
              <w:t>List of Guarantors and Subsidiary Issuers of</w:t>
            </w:r>
          </w:p>
        </w:tc>
        <w:tc>
          <w:tcPr>
            <w:tcW w:w="4260" w:type="dxa"/>
            <w:vAlign w:val="bottom"/>
          </w:tcPr>
          <w:p>
            <w:pPr>
              <w:ind w:left="240"/>
              <w:spacing w:after="0" w:line="181"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4"/>
          </w:tcPr>
          <w:p>
            <w:pPr>
              <w:spacing w:after="0" w:line="162" w:lineRule="exact"/>
              <w:rPr>
                <w:sz w:val="20"/>
                <w:szCs w:val="20"/>
                <w:color w:val="auto"/>
              </w:rPr>
            </w:pPr>
            <w:r>
              <w:rPr>
                <w:rFonts w:ascii="Arial" w:cs="Arial" w:eastAsia="Arial" w:hAnsi="Arial"/>
                <w:sz w:val="18"/>
                <w:szCs w:val="18"/>
                <w:color w:val="0000FF"/>
                <w:w w:val="98"/>
              </w:rPr>
              <w:t>Guaranteed Securities.</w:t>
            </w:r>
          </w:p>
        </w:tc>
        <w:tc>
          <w:tcPr>
            <w:tcW w:w="166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ind w:left="24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EXHIBIT 23</w:t>
            </w:r>
          </w:p>
        </w:tc>
        <w:tc>
          <w:tcPr>
            <w:tcW w:w="960" w:type="dxa"/>
            <w:vAlign w:val="bottom"/>
          </w:tcPr>
          <w:p>
            <w:pPr>
              <w:spacing w:after="0"/>
              <w:rPr>
                <w:sz w:val="18"/>
                <w:szCs w:val="18"/>
                <w:color w:val="auto"/>
              </w:rPr>
            </w:pPr>
          </w:p>
        </w:tc>
        <w:tc>
          <w:tcPr>
            <w:tcW w:w="4340" w:type="dxa"/>
            <w:vAlign w:val="bottom"/>
            <w:gridSpan w:val="9"/>
          </w:tcPr>
          <w:p>
            <w:pPr>
              <w:spacing w:after="0"/>
              <w:rPr>
                <w:sz w:val="20"/>
                <w:szCs w:val="20"/>
                <w:color w:val="auto"/>
              </w:rPr>
            </w:pPr>
            <w:r>
              <w:rPr>
                <w:rFonts w:ascii="Arial" w:cs="Arial" w:eastAsia="Arial" w:hAnsi="Arial"/>
                <w:sz w:val="18"/>
                <w:szCs w:val="18"/>
                <w:color w:val="0000FF"/>
              </w:rPr>
              <w:t>Consent of Independent Registered Public</w:t>
            </w:r>
          </w:p>
        </w:tc>
        <w:tc>
          <w:tcPr>
            <w:tcW w:w="4260" w:type="dxa"/>
            <w:vAlign w:val="bottom"/>
          </w:tcPr>
          <w:p>
            <w:pPr>
              <w:ind w:left="240"/>
              <w:spacing w:after="0"/>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tcBorders>
              <w:top w:val="single" w:sz="8" w:color="0000FF"/>
            </w:tcBorders>
            <w:gridSpan w:val="5"/>
          </w:tcPr>
          <w:p>
            <w:pPr>
              <w:spacing w:after="0" w:line="162" w:lineRule="exact"/>
              <w:rPr>
                <w:sz w:val="20"/>
                <w:szCs w:val="20"/>
                <w:color w:val="auto"/>
              </w:rPr>
            </w:pPr>
            <w:r>
              <w:rPr>
                <w:rFonts w:ascii="Arial" w:cs="Arial" w:eastAsia="Arial" w:hAnsi="Arial"/>
                <w:sz w:val="18"/>
                <w:szCs w:val="18"/>
                <w:color w:val="0000FF"/>
              </w:rPr>
              <w:t>Accounting Firm.</w:t>
            </w:r>
          </w:p>
        </w:tc>
        <w:tc>
          <w:tcPr>
            <w:tcW w:w="4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tcPr>
          <w:p>
            <w:pPr>
              <w:ind w:left="240"/>
              <w:spacing w:after="0" w:line="162"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EXHIBIT 24</w:t>
            </w:r>
          </w:p>
        </w:tc>
        <w:tc>
          <w:tcPr>
            <w:tcW w:w="960" w:type="dxa"/>
            <w:vAlign w:val="bottom"/>
          </w:tcPr>
          <w:p>
            <w:pPr>
              <w:spacing w:after="0"/>
              <w:rPr>
                <w:sz w:val="18"/>
                <w:szCs w:val="18"/>
                <w:color w:val="auto"/>
              </w:rPr>
            </w:pPr>
          </w:p>
        </w:tc>
        <w:tc>
          <w:tcPr>
            <w:tcW w:w="4340" w:type="dxa"/>
            <w:vAlign w:val="bottom"/>
            <w:gridSpan w:val="9"/>
          </w:tcPr>
          <w:p>
            <w:pPr>
              <w:spacing w:after="0"/>
              <w:rPr>
                <w:sz w:val="20"/>
                <w:szCs w:val="20"/>
                <w:color w:val="auto"/>
              </w:rPr>
            </w:pPr>
            <w:r>
              <w:rPr>
                <w:rFonts w:ascii="Arial" w:cs="Arial" w:eastAsia="Arial" w:hAnsi="Arial"/>
                <w:sz w:val="18"/>
                <w:szCs w:val="18"/>
                <w:color w:val="0000FF"/>
              </w:rPr>
              <w:t>Powers of Attorney.</w:t>
            </w:r>
          </w:p>
        </w:tc>
        <w:tc>
          <w:tcPr>
            <w:tcW w:w="4260" w:type="dxa"/>
            <w:vAlign w:val="bottom"/>
          </w:tcPr>
          <w:p>
            <w:pPr>
              <w:ind w:left="240"/>
              <w:spacing w:after="0"/>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11"/>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81"/>
        </w:trPr>
        <w:tc>
          <w:tcPr>
            <w:tcW w:w="1460" w:type="dxa"/>
            <w:vAlign w:val="bottom"/>
          </w:tcPr>
          <w:p>
            <w:pPr>
              <w:spacing w:after="0" w:line="181" w:lineRule="exact"/>
              <w:rPr>
                <w:sz w:val="20"/>
                <w:szCs w:val="20"/>
                <w:color w:val="auto"/>
              </w:rPr>
            </w:pPr>
            <w:r>
              <w:rPr>
                <w:rFonts w:ascii="Arial" w:cs="Arial" w:eastAsia="Arial" w:hAnsi="Arial"/>
                <w:sz w:val="18"/>
                <w:szCs w:val="18"/>
                <w:color w:val="auto"/>
              </w:rPr>
              <w:t>EXHIBIT 31</w:t>
            </w:r>
          </w:p>
        </w:tc>
        <w:tc>
          <w:tcPr>
            <w:tcW w:w="5300" w:type="dxa"/>
            <w:vAlign w:val="bottom"/>
            <w:gridSpan w:val="10"/>
          </w:tcPr>
          <w:p>
            <w:pPr>
              <w:ind w:left="500"/>
              <w:spacing w:after="0" w:line="181"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FF"/>
              </w:rPr>
              <w:t>Certification of the Chief Executive Officer of the</w:t>
            </w:r>
          </w:p>
        </w:tc>
        <w:tc>
          <w:tcPr>
            <w:tcW w:w="4260" w:type="dxa"/>
            <w:vAlign w:val="bottom"/>
          </w:tcPr>
          <w:p>
            <w:pPr>
              <w:ind w:left="240"/>
              <w:spacing w:after="0" w:line="181" w:lineRule="exact"/>
              <w:rPr>
                <w:sz w:val="20"/>
                <w:szCs w:val="20"/>
                <w:color w:val="auto"/>
              </w:rPr>
            </w:pPr>
            <w:r>
              <w:rPr>
                <w:rFonts w:ascii="Arial" w:cs="Arial" w:eastAsia="Arial" w:hAnsi="Arial"/>
                <w:sz w:val="18"/>
                <w:szCs w:val="18"/>
                <w:color w:val="auto"/>
                <w:w w:val="99"/>
              </w:rPr>
              <w:t>Filed with the Commission as part of this Form 10-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gridSpan w:val="2"/>
            <w:shd w:val="clear" w:color="auto" w:fill="0000FF"/>
          </w:tcPr>
          <w:p>
            <w:pPr>
              <w:spacing w:after="0"/>
              <w:rPr>
                <w:sz w:val="2"/>
                <w:szCs w:val="2"/>
                <w:color w:val="auto"/>
              </w:rPr>
            </w:pPr>
          </w:p>
        </w:tc>
        <w:tc>
          <w:tcPr>
            <w:tcW w:w="2360" w:type="dxa"/>
            <w:vAlign w:val="bottom"/>
            <w:gridSpan w:val="5"/>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60" w:type="dxa"/>
            <w:vAlign w:val="bottom"/>
            <w:vMerge w:val="restart"/>
          </w:tcPr>
          <w:p>
            <w:pPr>
              <w:ind w:left="240"/>
              <w:spacing w:after="0" w:line="189" w:lineRule="exact"/>
              <w:rPr>
                <w:sz w:val="20"/>
                <w:szCs w:val="20"/>
                <w:color w:val="auto"/>
              </w:rPr>
            </w:pPr>
            <w:r>
              <w:rPr>
                <w:rFonts w:ascii="Arial" w:cs="Arial" w:eastAsia="Arial" w:hAnsi="Arial"/>
                <w:sz w:val="18"/>
                <w:szCs w:val="18"/>
                <w:color w:val="auto"/>
              </w:rPr>
              <w:t>K.</w:t>
            </w:r>
          </w:p>
        </w:tc>
        <w:tc>
          <w:tcPr>
            <w:tcW w:w="0" w:type="dxa"/>
            <w:vAlign w:val="bottom"/>
          </w:tcPr>
          <w:p>
            <w:pPr>
              <w:spacing w:after="0" w:line="20" w:lineRule="exact"/>
              <w:rPr>
                <w:sz w:val="1"/>
                <w:szCs w:val="1"/>
                <w:color w:val="auto"/>
              </w:rPr>
            </w:pPr>
          </w:p>
        </w:tc>
      </w:tr>
      <w:tr>
        <w:trPr>
          <w:trHeight w:val="162"/>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40" w:type="dxa"/>
            <w:vAlign w:val="bottom"/>
            <w:gridSpan w:val="9"/>
          </w:tcPr>
          <w:p>
            <w:pPr>
              <w:spacing w:after="0" w:line="162" w:lineRule="exact"/>
              <w:rPr>
                <w:sz w:val="20"/>
                <w:szCs w:val="20"/>
                <w:color w:val="auto"/>
              </w:rPr>
            </w:pPr>
            <w:r>
              <w:rPr>
                <w:rFonts w:ascii="Arial" w:cs="Arial" w:eastAsia="Arial" w:hAnsi="Arial"/>
                <w:sz w:val="18"/>
                <w:szCs w:val="18"/>
                <w:color w:val="0000FF"/>
              </w:rPr>
              <w:t>Company pursuant to Section 302 of the Sarbanes-</w:t>
            </w: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Oxley Act of 2002.</w:t>
            </w:r>
          </w:p>
        </w:tc>
        <w:tc>
          <w:tcPr>
            <w:tcW w:w="2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rFonts w:ascii="Arial" w:cs="Arial" w:eastAsia="Arial" w:hAnsi="Arial"/>
          <w:sz w:val="18"/>
          <w:szCs w:val="18"/>
          <w:u w:val="single" w:color="auto"/>
          <w:color w:val="0000FF"/>
        </w:rPr>
      </w:pPr>
    </w:p>
    <w:p>
      <w:pPr>
        <w:sectPr>
          <w:pgSz w:w="11900" w:h="16838" w:orient="portrait"/>
          <w:cols w:equalWidth="0" w:num="1">
            <w:col w:w="11200"/>
          </w:cols>
          <w:pgMar w:left="320" w:top="242" w:right="379" w:bottom="1440" w:gutter="0" w:footer="0" w:header="0"/>
          <w:type w:val="continuous"/>
        </w:sectPr>
      </w:pPr>
    </w:p>
    <w:p>
      <w:pPr>
        <w:ind w:left="2460" w:hanging="469"/>
        <w:spacing w:after="0" w:line="233" w:lineRule="auto"/>
        <w:tabs>
          <w:tab w:leader="none" w:pos="2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FF"/>
        </w:rPr>
        <w:t>Certification of the Chief Financial Officer of the Company pursuant to Section 302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189" w:lineRule="exact"/>
        <w:rPr>
          <w:rFonts w:ascii="Arial" w:cs="Arial" w:eastAsia="Arial" w:hAnsi="Arial"/>
          <w:sz w:val="18"/>
          <w:szCs w:val="18"/>
          <w:u w:val="single" w:color="auto"/>
          <w:color w:val="0000FF"/>
        </w:rPr>
      </w:pPr>
    </w:p>
    <w:p>
      <w:pPr>
        <w:sectPr>
          <w:pgSz w:w="11900" w:h="16838" w:orient="portrait"/>
          <w:cols w:equalWidth="0" w:num="2">
            <w:col w:w="6560" w:space="480"/>
            <w:col w:w="4160"/>
          </w:cols>
          <w:pgMar w:left="320" w:top="242" w:right="379" w:bottom="1440" w:gutter="0" w:footer="0" w:header="0"/>
          <w:type w:val="continuous"/>
        </w:sectPr>
      </w:pPr>
    </w:p>
    <w:tbl>
      <w:tblPr>
        <w:tblLayout w:type="fixed"/>
        <w:tblInd w:w="40" w:type="dxa"/>
        <w:tblCellMar>
          <w:top w:w="0" w:type="dxa"/>
          <w:left w:w="0" w:type="dxa"/>
          <w:bottom w:w="0" w:type="dxa"/>
          <w:right w:w="0" w:type="dxa"/>
        </w:tblCellMar>
      </w:tblPr>
      <w:tr>
        <w:trPr>
          <w:trHeight w:val="186"/>
        </w:trPr>
        <w:tc>
          <w:tcPr>
            <w:tcW w:w="1460" w:type="dxa"/>
            <w:vAlign w:val="bottom"/>
          </w:tcPr>
          <w:p>
            <w:pPr>
              <w:spacing w:after="0" w:line="186" w:lineRule="exact"/>
              <w:rPr>
                <w:sz w:val="20"/>
                <w:szCs w:val="20"/>
                <w:color w:val="auto"/>
              </w:rPr>
            </w:pPr>
            <w:r>
              <w:rPr>
                <w:rFonts w:ascii="Arial" w:cs="Arial" w:eastAsia="Arial" w:hAnsi="Arial"/>
                <w:sz w:val="18"/>
                <w:szCs w:val="18"/>
                <w:color w:val="auto"/>
              </w:rPr>
              <w:t>EXHIBIT 32</w:t>
            </w:r>
          </w:p>
        </w:tc>
        <w:tc>
          <w:tcPr>
            <w:tcW w:w="4960" w:type="dxa"/>
            <w:vAlign w:val="bottom"/>
            <w:gridSpan w:val="6"/>
          </w:tcPr>
          <w:p>
            <w:pPr>
              <w:ind w:left="500"/>
              <w:spacing w:after="0" w:line="186"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FF"/>
              </w:rPr>
              <w:t>Certification of the Chief Executive Officer of the</w:t>
            </w: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4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Company pursuant to 18 U.S.C. Section 1350, as</w:t>
            </w:r>
          </w:p>
        </w:tc>
        <w:tc>
          <w:tcPr>
            <w:tcW w:w="60" w:type="dxa"/>
            <w:vAlign w:val="bottom"/>
            <w:gridSpan w:val="2"/>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0" w:type="dxa"/>
            <w:vAlign w:val="bottom"/>
            <w:gridSpan w:val="5"/>
          </w:tcPr>
          <w:p>
            <w:pPr>
              <w:spacing w:after="0" w:line="169" w:lineRule="exact"/>
              <w:rPr>
                <w:sz w:val="20"/>
                <w:szCs w:val="20"/>
                <w:color w:val="auto"/>
              </w:rPr>
            </w:pPr>
            <w:r>
              <w:rPr>
                <w:rFonts w:ascii="Arial" w:cs="Arial" w:eastAsia="Arial" w:hAnsi="Arial"/>
                <w:sz w:val="18"/>
                <w:szCs w:val="18"/>
                <w:color w:val="0000FF"/>
                <w:w w:val="99"/>
              </w:rPr>
              <w:t>adopted pursuant to Section 906 of the Sarbanes-</w:t>
            </w:r>
          </w:p>
        </w:tc>
      </w:tr>
      <w:tr>
        <w:trPr>
          <w:trHeight w:val="155"/>
        </w:trPr>
        <w:tc>
          <w:tcPr>
            <w:tcW w:w="1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8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40"/>
        <w:spacing w:after="0" w:line="234" w:lineRule="auto"/>
        <w:rPr>
          <w:sz w:val="20"/>
          <w:szCs w:val="20"/>
          <w:color w:val="auto"/>
        </w:rPr>
      </w:pPr>
      <w:r>
        <w:rPr>
          <w:rFonts w:ascii="Arial" w:cs="Arial" w:eastAsia="Arial" w:hAnsi="Arial"/>
          <w:sz w:val="18"/>
          <w:szCs w:val="18"/>
          <w:color w:val="auto"/>
        </w:rPr>
        <w:t>Filed with the Commission as part of this Form 10-K.</w:t>
      </w:r>
    </w:p>
    <w:p>
      <w:pPr>
        <w:spacing w:after="0" w:line="356" w:lineRule="exact"/>
        <w:rPr>
          <w:rFonts w:ascii="Arial" w:cs="Arial" w:eastAsia="Arial" w:hAnsi="Arial"/>
          <w:sz w:val="18"/>
          <w:szCs w:val="18"/>
          <w:u w:val="single" w:color="auto"/>
          <w:color w:val="0000FF"/>
        </w:rPr>
      </w:pPr>
    </w:p>
    <w:p>
      <w:pPr>
        <w:sectPr>
          <w:pgSz w:w="11900" w:h="16838" w:orient="portrait"/>
          <w:cols w:equalWidth="0" w:num="2">
            <w:col w:w="6440" w:space="600"/>
            <w:col w:w="4160"/>
          </w:cols>
          <w:pgMar w:left="320" w:top="242" w:right="379" w:bottom="1440" w:gutter="0" w:footer="0" w:header="0"/>
          <w:type w:val="continuous"/>
        </w:sectPr>
      </w:pPr>
    </w:p>
    <w:p>
      <w:pPr>
        <w:ind w:left="2460" w:hanging="469"/>
        <w:spacing w:after="0" w:line="225" w:lineRule="auto"/>
        <w:tabs>
          <w:tab w:leader="none" w:pos="2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FF"/>
        </w:rPr>
        <w:t>Certification of the Chief Executive Officer of the Company pursuant to 18 U.S.C. Section 1350, as adopted pursuant to Section 906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40"/>
        <w:spacing w:after="0"/>
        <w:rPr>
          <w:sz w:val="20"/>
          <w:szCs w:val="20"/>
          <w:color w:val="auto"/>
        </w:rPr>
      </w:pPr>
      <w:r>
        <w:rPr>
          <w:rFonts w:ascii="Arial" w:cs="Arial" w:eastAsia="Arial" w:hAnsi="Arial"/>
          <w:sz w:val="18"/>
          <w:szCs w:val="18"/>
          <w:color w:val="auto"/>
        </w:rPr>
        <w:t>Filed with the Commission as part of this Form 10-K.</w:t>
      </w:r>
    </w:p>
    <w:p>
      <w:pPr>
        <w:spacing w:after="0" w:line="562" w:lineRule="exact"/>
        <w:rPr>
          <w:rFonts w:ascii="Arial" w:cs="Arial" w:eastAsia="Arial" w:hAnsi="Arial"/>
          <w:sz w:val="18"/>
          <w:szCs w:val="18"/>
          <w:u w:val="single" w:color="auto"/>
          <w:color w:val="0000FF"/>
        </w:rPr>
      </w:pPr>
    </w:p>
    <w:p>
      <w:pPr>
        <w:sectPr>
          <w:pgSz w:w="11900" w:h="16838" w:orient="portrait"/>
          <w:cols w:equalWidth="0" w:num="2">
            <w:col w:w="6440" w:space="600"/>
            <w:col w:w="4160"/>
          </w:cols>
          <w:pgMar w:left="320" w:top="242" w:right="37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871"/>
        </w:trPr>
        <w:tc>
          <w:tcPr>
            <w:tcW w:w="140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EXHIBIT 101</w:t>
            </w:r>
          </w:p>
        </w:tc>
        <w:tc>
          <w:tcPr>
            <w:tcW w:w="240" w:type="dxa"/>
            <w:vAlign w:val="bottom"/>
          </w:tcPr>
          <w:p>
            <w:pPr>
              <w:spacing w:after="0"/>
              <w:rPr>
                <w:sz w:val="24"/>
                <w:szCs w:val="24"/>
                <w:color w:val="auto"/>
              </w:rPr>
            </w:pPr>
          </w:p>
        </w:tc>
        <w:tc>
          <w:tcPr>
            <w:tcW w:w="740" w:type="dxa"/>
            <w:vAlign w:val="bottom"/>
          </w:tcPr>
          <w:p>
            <w:pPr>
              <w:jc w:val="center"/>
              <w:ind w:left="90"/>
              <w:spacing w:after="0"/>
              <w:rPr>
                <w:sz w:val="20"/>
                <w:szCs w:val="20"/>
                <w:color w:val="auto"/>
              </w:rPr>
            </w:pPr>
            <w:r>
              <w:rPr>
                <w:rFonts w:ascii="Arial" w:cs="Arial" w:eastAsia="Arial" w:hAnsi="Arial"/>
                <w:sz w:val="18"/>
                <w:szCs w:val="18"/>
                <w:color w:val="auto"/>
              </w:rPr>
              <w:t>.INS</w:t>
            </w:r>
          </w:p>
        </w:tc>
        <w:tc>
          <w:tcPr>
            <w:tcW w:w="438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The instance document does not appear in the</w:t>
            </w:r>
          </w:p>
        </w:tc>
      </w:tr>
      <w:tr>
        <w:trPr>
          <w:trHeight w:val="184"/>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480" w:type="dxa"/>
            <w:vAlign w:val="bottom"/>
          </w:tcPr>
          <w:p>
            <w:pPr>
              <w:ind w:left="280"/>
              <w:spacing w:after="0" w:line="183" w:lineRule="exact"/>
              <w:rPr>
                <w:sz w:val="20"/>
                <w:szCs w:val="20"/>
                <w:color w:val="auto"/>
              </w:rPr>
            </w:pPr>
            <w:r>
              <w:rPr>
                <w:rFonts w:ascii="Arial" w:cs="Arial" w:eastAsia="Arial" w:hAnsi="Arial"/>
                <w:sz w:val="18"/>
                <w:szCs w:val="18"/>
                <w:color w:val="auto"/>
              </w:rPr>
              <w:t>Interactive Data File because its XBRL tags are</w:t>
            </w:r>
          </w:p>
        </w:tc>
      </w:tr>
      <w:tr>
        <w:trPr>
          <w:trHeight w:val="230"/>
        </w:trPr>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181"/>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90"/>
              <w:spacing w:after="0" w:line="181" w:lineRule="exact"/>
              <w:rPr>
                <w:sz w:val="20"/>
                <w:szCs w:val="20"/>
                <w:color w:val="auto"/>
              </w:rPr>
            </w:pPr>
            <w:r>
              <w:rPr>
                <w:rFonts w:ascii="Arial" w:cs="Arial" w:eastAsia="Arial" w:hAnsi="Arial"/>
                <w:sz w:val="18"/>
                <w:szCs w:val="18"/>
                <w:color w:val="auto"/>
              </w:rPr>
              <w:t>.SCH</w:t>
            </w: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XBRL Taxonomy Extension Schema Document.</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Filed with the Commission as part of this Form 10-</w:t>
            </w:r>
          </w:p>
        </w:tc>
      </w:tr>
      <w:tr>
        <w:trPr>
          <w:trHeight w:val="238"/>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81"/>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90"/>
              <w:spacing w:after="0" w:line="181" w:lineRule="exact"/>
              <w:rPr>
                <w:sz w:val="20"/>
                <w:szCs w:val="20"/>
                <w:color w:val="auto"/>
              </w:rPr>
            </w:pPr>
            <w:r>
              <w:rPr>
                <w:rFonts w:ascii="Arial" w:cs="Arial" w:eastAsia="Arial" w:hAnsi="Arial"/>
                <w:sz w:val="18"/>
                <w:szCs w:val="18"/>
                <w:color w:val="auto"/>
                <w:w w:val="99"/>
              </w:rPr>
              <w:t>.CAL</w:t>
            </w: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XBRL Taxonomy Extension Calculation Linkbase</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Filed with the Commission as part of this Form 10-</w:t>
            </w:r>
          </w:p>
        </w:tc>
      </w:tr>
      <w:tr>
        <w:trPr>
          <w:trHeight w:val="238"/>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81"/>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90"/>
              <w:spacing w:after="0" w:line="181" w:lineRule="exact"/>
              <w:rPr>
                <w:sz w:val="20"/>
                <w:szCs w:val="20"/>
                <w:color w:val="auto"/>
              </w:rPr>
            </w:pPr>
            <w:r>
              <w:rPr>
                <w:rFonts w:ascii="Arial" w:cs="Arial" w:eastAsia="Arial" w:hAnsi="Arial"/>
                <w:sz w:val="18"/>
                <w:szCs w:val="18"/>
                <w:color w:val="auto"/>
                <w:w w:val="97"/>
              </w:rPr>
              <w:t>.DEF</w:t>
            </w: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XBRL Taxonomy Extension Definition Linkbase</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Filed with the Commission as part of this Form 10-</w:t>
            </w:r>
          </w:p>
        </w:tc>
      </w:tr>
      <w:tr>
        <w:trPr>
          <w:trHeight w:val="238"/>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81"/>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90"/>
              <w:spacing w:after="0" w:line="181" w:lineRule="exact"/>
              <w:rPr>
                <w:sz w:val="20"/>
                <w:szCs w:val="20"/>
                <w:color w:val="auto"/>
              </w:rPr>
            </w:pPr>
            <w:r>
              <w:rPr>
                <w:rFonts w:ascii="Arial" w:cs="Arial" w:eastAsia="Arial" w:hAnsi="Arial"/>
                <w:sz w:val="18"/>
                <w:szCs w:val="18"/>
                <w:color w:val="auto"/>
              </w:rPr>
              <w:t>.LAB</w:t>
            </w: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XBRL Taxonomy Extension Label Linkbase</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Filed with the Commission as part of this Form 10-</w:t>
            </w:r>
          </w:p>
        </w:tc>
      </w:tr>
      <w:tr>
        <w:trPr>
          <w:trHeight w:val="238"/>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81"/>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110"/>
              <w:spacing w:after="0" w:line="181" w:lineRule="exact"/>
              <w:rPr>
                <w:sz w:val="20"/>
                <w:szCs w:val="20"/>
                <w:color w:val="auto"/>
              </w:rPr>
            </w:pPr>
            <w:r>
              <w:rPr>
                <w:rFonts w:ascii="Arial" w:cs="Arial" w:eastAsia="Arial" w:hAnsi="Arial"/>
                <w:sz w:val="18"/>
                <w:szCs w:val="18"/>
                <w:color w:val="auto"/>
                <w:w w:val="99"/>
              </w:rPr>
              <w:t>.PRE</w:t>
            </w: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XBRL Taxonomy Extension Presentation Linkbase</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Filed with the Commission as part of this Form 10-</w:t>
            </w:r>
          </w:p>
        </w:tc>
      </w:tr>
      <w:tr>
        <w:trPr>
          <w:trHeight w:val="238"/>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Document.</w:t>
            </w:r>
          </w:p>
        </w:tc>
        <w:tc>
          <w:tcPr>
            <w:tcW w:w="4480" w:type="dxa"/>
            <w:vAlign w:val="bottom"/>
          </w:tcPr>
          <w:p>
            <w:pPr>
              <w:ind w:left="280"/>
              <w:spacing w:after="0"/>
              <w:rPr>
                <w:sz w:val="20"/>
                <w:szCs w:val="20"/>
                <w:color w:val="auto"/>
              </w:rPr>
            </w:pPr>
            <w:r>
              <w:rPr>
                <w:rFonts w:ascii="Arial" w:cs="Arial" w:eastAsia="Arial" w:hAnsi="Arial"/>
                <w:sz w:val="18"/>
                <w:szCs w:val="18"/>
                <w:color w:val="auto"/>
              </w:rPr>
              <w:t>K.</w:t>
            </w:r>
          </w:p>
        </w:tc>
      </w:tr>
      <w:tr>
        <w:trPr>
          <w:trHeight w:val="181"/>
        </w:trPr>
        <w:tc>
          <w:tcPr>
            <w:tcW w:w="164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EXHIBIT 104</w:t>
            </w:r>
          </w:p>
        </w:tc>
        <w:tc>
          <w:tcPr>
            <w:tcW w:w="740" w:type="dxa"/>
            <w:vAlign w:val="bottom"/>
          </w:tcPr>
          <w:p>
            <w:pPr>
              <w:spacing w:after="0"/>
              <w:rPr>
                <w:sz w:val="15"/>
                <w:szCs w:val="15"/>
                <w:color w:val="auto"/>
              </w:rPr>
            </w:pPr>
          </w:p>
        </w:tc>
        <w:tc>
          <w:tcPr>
            <w:tcW w:w="4380" w:type="dxa"/>
            <w:vAlign w:val="bottom"/>
          </w:tcPr>
          <w:p>
            <w:pPr>
              <w:ind w:left="80"/>
              <w:spacing w:after="0" w:line="181" w:lineRule="exact"/>
              <w:rPr>
                <w:sz w:val="20"/>
                <w:szCs w:val="20"/>
                <w:color w:val="auto"/>
              </w:rPr>
            </w:pPr>
            <w:r>
              <w:rPr>
                <w:rFonts w:ascii="Arial" w:cs="Arial" w:eastAsia="Arial" w:hAnsi="Arial"/>
                <w:sz w:val="18"/>
                <w:szCs w:val="18"/>
                <w:color w:val="auto"/>
              </w:rPr>
              <w:t>Cover Page Interactive Data File.</w:t>
            </w:r>
          </w:p>
        </w:tc>
        <w:tc>
          <w:tcPr>
            <w:tcW w:w="4480" w:type="dxa"/>
            <w:vAlign w:val="bottom"/>
          </w:tcPr>
          <w:p>
            <w:pPr>
              <w:ind w:left="280"/>
              <w:spacing w:after="0" w:line="181" w:lineRule="exact"/>
              <w:rPr>
                <w:sz w:val="20"/>
                <w:szCs w:val="20"/>
                <w:color w:val="auto"/>
              </w:rPr>
            </w:pPr>
            <w:r>
              <w:rPr>
                <w:rFonts w:ascii="Arial" w:cs="Arial" w:eastAsia="Arial" w:hAnsi="Arial"/>
                <w:sz w:val="18"/>
                <w:szCs w:val="18"/>
                <w:color w:val="auto"/>
              </w:rPr>
              <w:t>Formatted as Inline XBRL and contained in Exhibit</w:t>
            </w: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101 of this Form 10-K.</w:t>
            </w:r>
          </w:p>
        </w:tc>
      </w:tr>
      <w:tr>
        <w:trPr>
          <w:trHeight w:val="1115"/>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80" w:type="dxa"/>
            <w:vAlign w:val="bottom"/>
          </w:tcPr>
          <w:p>
            <w:pPr>
              <w:ind w:left="3140"/>
              <w:spacing w:after="0"/>
              <w:rPr>
                <w:sz w:val="20"/>
                <w:szCs w:val="20"/>
                <w:color w:val="auto"/>
              </w:rPr>
            </w:pPr>
            <w:r>
              <w:rPr>
                <w:rFonts w:ascii="Arial" w:cs="Arial" w:eastAsia="Arial" w:hAnsi="Arial"/>
                <w:sz w:val="18"/>
                <w:szCs w:val="18"/>
                <w:color w:val="auto"/>
              </w:rPr>
              <w:t>82</w:t>
            </w:r>
          </w:p>
        </w:tc>
        <w:tc>
          <w:tcPr>
            <w:tcW w:w="4480" w:type="dxa"/>
            <w:vAlign w:val="bottom"/>
          </w:tcPr>
          <w:p>
            <w:pPr>
              <w:spacing w:after="0"/>
              <w:rPr>
                <w:sz w:val="24"/>
                <w:szCs w:val="24"/>
                <w:color w:val="auto"/>
              </w:rPr>
            </w:pPr>
          </w:p>
        </w:tc>
      </w:tr>
      <w:tr>
        <w:trPr>
          <w:trHeight w:val="111"/>
        </w:trPr>
        <w:tc>
          <w:tcPr>
            <w:tcW w:w="1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BRANDS, INC.</w:t>
      </w:r>
    </w:p>
    <w:p>
      <w:pPr>
        <w:spacing w:after="0" w:line="144" w:lineRule="exact"/>
        <w:rPr>
          <w:sz w:val="20"/>
          <w:szCs w:val="20"/>
          <w:color w:val="auto"/>
        </w:rPr>
      </w:pPr>
    </w:p>
    <w:p>
      <w:pPr>
        <w:ind w:left="280"/>
        <w:spacing w:after="0"/>
        <w:tabs>
          <w:tab w:leader="none" w:pos="4340" w:val="left"/>
          <w:tab w:leader="none" w:pos="726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39947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9">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8"/>
          <w:szCs w:val="18"/>
          <w:b w:val="1"/>
          <w:bCs w:val="1"/>
          <w:color w:val="auto"/>
        </w:rPr>
        <w:t>Neil M. Ashe</w:t>
      </w:r>
    </w:p>
    <w:p>
      <w:pPr>
        <w:jc w:val="center"/>
        <w:ind w:left="48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Signature</w:t>
            </w:r>
          </w:p>
        </w:tc>
        <w:tc>
          <w:tcPr>
            <w:tcW w:w="4520" w:type="dxa"/>
            <w:vAlign w:val="bottom"/>
            <w:gridSpan w:val="3"/>
          </w:tcPr>
          <w:p>
            <w:pPr>
              <w:ind w:left="580"/>
              <w:spacing w:after="0"/>
              <w:rPr>
                <w:sz w:val="20"/>
                <w:szCs w:val="20"/>
                <w:color w:val="auto"/>
              </w:rPr>
            </w:pPr>
            <w:r>
              <w:rPr>
                <w:rFonts w:ascii="Arial" w:cs="Arial" w:eastAsia="Arial" w:hAnsi="Arial"/>
                <w:sz w:val="14"/>
                <w:szCs w:val="14"/>
                <w:b w:val="1"/>
                <w:bCs w:val="1"/>
                <w:color w:val="auto"/>
              </w:rPr>
              <w:t>Title</w:t>
            </w: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80" w:type="dxa"/>
            <w:vAlign w:val="bottom"/>
          </w:tcPr>
          <w:p>
            <w:pPr>
              <w:spacing w:after="0"/>
              <w:rPr>
                <w:sz w:val="24"/>
                <w:szCs w:val="24"/>
                <w:color w:val="auto"/>
              </w:rPr>
            </w:pPr>
          </w:p>
        </w:tc>
        <w:tc>
          <w:tcPr>
            <w:tcW w:w="3260" w:type="dxa"/>
            <w:vAlign w:val="bottom"/>
            <w:gridSpan w:val="3"/>
            <w:vMerge w:val="restart"/>
          </w:tcPr>
          <w:p>
            <w:pPr>
              <w:jc w:val="center"/>
              <w:ind w:right="860"/>
              <w:spacing w:after="0"/>
              <w:rPr>
                <w:sz w:val="20"/>
                <w:szCs w:val="20"/>
                <w:color w:val="auto"/>
              </w:rPr>
            </w:pPr>
            <w:r>
              <w:rPr>
                <w:rFonts w:ascii="Arial" w:cs="Arial" w:eastAsia="Arial" w:hAnsi="Arial"/>
                <w:sz w:val="18"/>
                <w:szCs w:val="18"/>
                <w:color w:val="auto"/>
              </w:rPr>
              <w:t>/s/ NEIL M. ASHE</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Chairman, Director, President and Chief</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154"/>
        </w:trPr>
        <w:tc>
          <w:tcPr>
            <w:tcW w:w="88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3"/>
            <w:vMerge w:val="continue"/>
          </w:tcPr>
          <w:p>
            <w:pPr>
              <w:spacing w:after="0"/>
              <w:rPr>
                <w:sz w:val="13"/>
                <w:szCs w:val="13"/>
                <w:color w:val="auto"/>
              </w:rPr>
            </w:pPr>
          </w:p>
        </w:tc>
        <w:tc>
          <w:tcPr>
            <w:tcW w:w="4520" w:type="dxa"/>
            <w:vAlign w:val="bottom"/>
            <w:gridSpan w:val="3"/>
            <w:vMerge w:val="restart"/>
          </w:tcPr>
          <w:p>
            <w:pPr>
              <w:ind w:left="580"/>
              <w:spacing w:after="0"/>
              <w:rPr>
                <w:sz w:val="20"/>
                <w:szCs w:val="20"/>
                <w:color w:val="auto"/>
              </w:rPr>
            </w:pPr>
            <w:r>
              <w:rPr>
                <w:rFonts w:ascii="Arial" w:cs="Arial" w:eastAsia="Arial" w:hAnsi="Arial"/>
                <w:sz w:val="18"/>
                <w:szCs w:val="18"/>
                <w:color w:val="auto"/>
              </w:rPr>
              <w:t>Executive Officer (Principal Executive Officer)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3260" w:type="dxa"/>
            <w:vAlign w:val="bottom"/>
            <w:gridSpan w:val="3"/>
            <w:vMerge w:val="restart"/>
          </w:tcPr>
          <w:p>
            <w:pPr>
              <w:jc w:val="center"/>
              <w:ind w:right="880"/>
              <w:spacing w:after="0"/>
              <w:rPr>
                <w:sz w:val="20"/>
                <w:szCs w:val="20"/>
                <w:color w:val="auto"/>
              </w:rPr>
            </w:pPr>
            <w:r>
              <w:rPr>
                <w:rFonts w:ascii="Arial" w:cs="Arial" w:eastAsia="Arial" w:hAnsi="Arial"/>
                <w:sz w:val="18"/>
                <w:szCs w:val="18"/>
                <w:b w:val="1"/>
                <w:bCs w:val="1"/>
                <w:color w:val="auto"/>
                <w:w w:val="98"/>
              </w:rPr>
              <w:t>Neil M. Ashe</w:t>
            </w:r>
          </w:p>
        </w:tc>
        <w:tc>
          <w:tcPr>
            <w:tcW w:w="45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2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880" w:type="dxa"/>
            <w:vAlign w:val="bottom"/>
          </w:tcPr>
          <w:p>
            <w:pPr>
              <w:spacing w:after="0"/>
              <w:rPr>
                <w:sz w:val="24"/>
                <w:szCs w:val="24"/>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color w:val="auto"/>
              </w:rPr>
              <w:t>/s/ KAREN J. HOLCOM</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Senior Vice President and Chief Financial</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4520" w:type="dxa"/>
            <w:vAlign w:val="bottom"/>
            <w:gridSpan w:val="3"/>
            <w:vMerge w:val="restart"/>
          </w:tcPr>
          <w:p>
            <w:pPr>
              <w:ind w:left="580"/>
              <w:spacing w:after="0" w:line="149" w:lineRule="exact"/>
              <w:rPr>
                <w:sz w:val="20"/>
                <w:szCs w:val="20"/>
                <w:color w:val="auto"/>
              </w:rPr>
            </w:pPr>
            <w:r>
              <w:rPr>
                <w:rFonts w:ascii="Arial" w:cs="Arial" w:eastAsia="Arial" w:hAnsi="Arial"/>
                <w:sz w:val="17"/>
                <w:szCs w:val="17"/>
                <w:color w:val="auto"/>
              </w:rPr>
              <w:t>Officer (Principal Financial and Accounting</w:t>
            </w: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880" w:type="dxa"/>
            <w:vAlign w:val="bottom"/>
          </w:tcPr>
          <w:p>
            <w:pPr>
              <w:spacing w:after="0"/>
              <w:rPr>
                <w:sz w:val="6"/>
                <w:szCs w:val="6"/>
                <w:color w:val="auto"/>
              </w:rPr>
            </w:pPr>
          </w:p>
        </w:tc>
        <w:tc>
          <w:tcPr>
            <w:tcW w:w="3260" w:type="dxa"/>
            <w:vAlign w:val="bottom"/>
            <w:gridSpan w:val="3"/>
            <w:vMerge w:val="restart"/>
          </w:tcPr>
          <w:p>
            <w:pPr>
              <w:jc w:val="center"/>
              <w:ind w:right="880"/>
              <w:spacing w:after="0"/>
              <w:rPr>
                <w:sz w:val="20"/>
                <w:szCs w:val="20"/>
                <w:color w:val="auto"/>
              </w:rPr>
            </w:pPr>
            <w:r>
              <w:rPr>
                <w:rFonts w:ascii="Arial" w:cs="Arial" w:eastAsia="Arial" w:hAnsi="Arial"/>
                <w:sz w:val="18"/>
                <w:szCs w:val="18"/>
                <w:b w:val="1"/>
                <w:bCs w:val="1"/>
                <w:color w:val="auto"/>
                <w:w w:val="99"/>
              </w:rPr>
              <w:t>Karen J. Holcom</w:t>
            </w:r>
          </w:p>
        </w:tc>
        <w:tc>
          <w:tcPr>
            <w:tcW w:w="45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4520" w:type="dxa"/>
            <w:vAlign w:val="bottom"/>
            <w:gridSpan w:val="3"/>
            <w:vMerge w:val="restart"/>
          </w:tcPr>
          <w:p>
            <w:pPr>
              <w:ind w:left="580"/>
              <w:spacing w:after="0"/>
              <w:rPr>
                <w:sz w:val="20"/>
                <w:szCs w:val="20"/>
                <w:color w:val="auto"/>
              </w:rPr>
            </w:pPr>
            <w:r>
              <w:rPr>
                <w:rFonts w:ascii="Arial" w:cs="Arial" w:eastAsia="Arial" w:hAnsi="Arial"/>
                <w:sz w:val="18"/>
                <w:szCs w:val="18"/>
                <w:color w:val="auto"/>
              </w:rPr>
              <w:t>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5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9"/>
              </w:rPr>
              <w:t>Marcia J. Avedon, Ph.D.</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W. Patrick Battle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Michael J. Bender</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8"/>
              </w:rPr>
              <w:t>G. Douglas Dillard, Jr.</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James H. Hance, Jr.</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9"/>
              </w:rPr>
              <w:t>Maya Leibman</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Laura G. O'Shaughnessy</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Dominic J. Pileggi</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9"/>
              </w:rPr>
              <w:t>Ray M. Robinson</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Mark J. Sachleben</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770"/>
              <w:spacing w:after="0"/>
              <w:rPr>
                <w:sz w:val="20"/>
                <w:szCs w:val="20"/>
                <w:color w:val="auto"/>
              </w:rPr>
            </w:pPr>
            <w:r>
              <w:rPr>
                <w:rFonts w:ascii="Arial" w:cs="Arial" w:eastAsia="Arial" w:hAnsi="Arial"/>
                <w:sz w:val="18"/>
                <w:szCs w:val="18"/>
                <w:color w:val="auto"/>
                <w:w w:val="84"/>
              </w:rPr>
              <w:t>*</w:t>
            </w:r>
          </w:p>
        </w:tc>
        <w:tc>
          <w:tcPr>
            <w:tcW w:w="1740" w:type="dxa"/>
            <w:vAlign w:val="bottom"/>
            <w:tcBorders>
              <w:bottom w:val="single" w:sz="8" w:color="auto"/>
            </w:tcBorders>
          </w:tcPr>
          <w:p>
            <w:pPr>
              <w:spacing w:after="0"/>
              <w:rPr>
                <w:sz w:val="24"/>
                <w:szCs w:val="24"/>
                <w:color w:val="auto"/>
              </w:rPr>
            </w:pP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32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Mary A. Winston</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80" w:type="dxa"/>
            <w:vAlign w:val="bottom"/>
          </w:tcPr>
          <w:p>
            <w:pPr>
              <w:ind w:left="26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KAREN J. HOLCOM</w:t>
            </w:r>
          </w:p>
        </w:tc>
        <w:tc>
          <w:tcPr>
            <w:tcW w:w="4520" w:type="dxa"/>
            <w:vAlign w:val="bottom"/>
            <w:gridSpan w:val="3"/>
          </w:tcPr>
          <w:p>
            <w:pPr>
              <w:ind w:left="580"/>
              <w:spacing w:after="0"/>
              <w:rPr>
                <w:sz w:val="20"/>
                <w:szCs w:val="20"/>
                <w:color w:val="auto"/>
              </w:rPr>
            </w:pPr>
            <w:r>
              <w:rPr>
                <w:rFonts w:ascii="Arial" w:cs="Arial" w:eastAsia="Arial" w:hAnsi="Arial"/>
                <w:sz w:val="18"/>
                <w:szCs w:val="18"/>
                <w:color w:val="auto"/>
              </w:rPr>
              <w:t>Attorney-in-Fact</w:t>
            </w:r>
          </w:p>
        </w:tc>
        <w:tc>
          <w:tcPr>
            <w:tcW w:w="1700" w:type="dxa"/>
            <w:vAlign w:val="bottom"/>
            <w:gridSpan w:val="3"/>
          </w:tcPr>
          <w:p>
            <w:pPr>
              <w:ind w:left="320"/>
              <w:spacing w:after="0"/>
              <w:rPr>
                <w:sz w:val="20"/>
                <w:szCs w:val="20"/>
                <w:color w:val="auto"/>
              </w:rPr>
            </w:pPr>
            <w:r>
              <w:rPr>
                <w:rFonts w:ascii="Arial" w:cs="Arial" w:eastAsia="Arial" w:hAnsi="Arial"/>
                <w:sz w:val="18"/>
                <w:szCs w:val="18"/>
                <w:color w:val="auto"/>
                <w:w w:val="97"/>
              </w:rPr>
              <w:t>October 26, 2022</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9"/>
              </w:rPr>
              <w:t>Karen J. Holcom</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2"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Exhibit 10(iii)A(12)</w:t>
            </w:r>
          </w:p>
        </w:tc>
      </w:tr>
      <w:tr>
        <w:trPr>
          <w:trHeight w:val="775"/>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60" w:type="dxa"/>
            <w:vAlign w:val="bottom"/>
          </w:tcPr>
          <w:p>
            <w:pPr>
              <w:jc w:val="center"/>
              <w:ind w:right="394"/>
              <w:spacing w:after="0"/>
              <w:rPr>
                <w:sz w:val="20"/>
                <w:szCs w:val="20"/>
                <w:color w:val="auto"/>
              </w:rPr>
            </w:pPr>
            <w:r>
              <w:rPr>
                <w:rFonts w:ascii="Calibri" w:cs="Calibri" w:eastAsia="Calibri" w:hAnsi="Calibri"/>
                <w:sz w:val="25"/>
                <w:szCs w:val="25"/>
                <w:b w:val="1"/>
                <w:bCs w:val="1"/>
                <w:color w:val="auto"/>
              </w:rPr>
              <w:t>Acuity Brands, Inc.</w:t>
            </w:r>
          </w:p>
        </w:tc>
        <w:tc>
          <w:tcPr>
            <w:tcW w:w="2580" w:type="dxa"/>
            <w:vAlign w:val="bottom"/>
          </w:tcPr>
          <w:p>
            <w:pPr>
              <w:spacing w:after="0"/>
              <w:rPr>
                <w:sz w:val="24"/>
                <w:szCs w:val="24"/>
                <w:color w:val="auto"/>
              </w:rPr>
            </w:pPr>
          </w:p>
        </w:tc>
      </w:tr>
      <w:tr>
        <w:trPr>
          <w:trHeight w:val="283"/>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60" w:type="dxa"/>
            <w:vAlign w:val="bottom"/>
          </w:tcPr>
          <w:p>
            <w:pPr>
              <w:jc w:val="center"/>
              <w:ind w:right="394"/>
              <w:spacing w:after="0" w:line="283" w:lineRule="exact"/>
              <w:rPr>
                <w:sz w:val="20"/>
                <w:szCs w:val="20"/>
                <w:color w:val="auto"/>
              </w:rPr>
            </w:pPr>
            <w:r>
              <w:rPr>
                <w:rFonts w:ascii="Calibri" w:cs="Calibri" w:eastAsia="Calibri" w:hAnsi="Calibri"/>
                <w:sz w:val="25"/>
                <w:szCs w:val="25"/>
                <w:b w:val="1"/>
                <w:bCs w:val="1"/>
                <w:color w:val="auto"/>
              </w:rPr>
              <w:t>Compensaton for Non-Employee Directors</w:t>
            </w:r>
          </w:p>
        </w:tc>
        <w:tc>
          <w:tcPr>
            <w:tcW w:w="2580" w:type="dxa"/>
            <w:vAlign w:val="bottom"/>
          </w:tcPr>
          <w:p>
            <w:pPr>
              <w:spacing w:after="0"/>
              <w:rPr>
                <w:sz w:val="24"/>
                <w:szCs w:val="24"/>
                <w:color w:val="auto"/>
              </w:rPr>
            </w:pPr>
          </w:p>
        </w:tc>
      </w:tr>
      <w:tr>
        <w:trPr>
          <w:trHeight w:val="301"/>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60" w:type="dxa"/>
            <w:vAlign w:val="bottom"/>
          </w:tcPr>
          <w:p>
            <w:pPr>
              <w:jc w:val="center"/>
              <w:ind w:right="394"/>
              <w:spacing w:after="0" w:line="301" w:lineRule="exact"/>
              <w:rPr>
                <w:sz w:val="20"/>
                <w:szCs w:val="20"/>
                <w:color w:val="auto"/>
              </w:rPr>
            </w:pPr>
            <w:r>
              <w:rPr>
                <w:rFonts w:ascii="Calibri" w:cs="Calibri" w:eastAsia="Calibri" w:hAnsi="Calibri"/>
                <w:sz w:val="25"/>
                <w:szCs w:val="25"/>
                <w:b w:val="1"/>
                <w:bCs w:val="1"/>
                <w:color w:val="auto"/>
              </w:rPr>
              <w:t>(As of January 2022)</w:t>
            </w:r>
          </w:p>
        </w:tc>
        <w:tc>
          <w:tcPr>
            <w:tcW w:w="2580" w:type="dxa"/>
            <w:vAlign w:val="bottom"/>
          </w:tcPr>
          <w:p>
            <w:pPr>
              <w:spacing w:after="0"/>
              <w:rPr>
                <w:sz w:val="24"/>
                <w:szCs w:val="24"/>
                <w:color w:val="auto"/>
              </w:rPr>
            </w:pPr>
          </w:p>
        </w:tc>
      </w:tr>
      <w:tr>
        <w:trPr>
          <w:trHeight w:val="586"/>
        </w:trPr>
        <w:tc>
          <w:tcPr>
            <w:tcW w:w="1460" w:type="dxa"/>
            <w:vAlign w:val="bottom"/>
            <w:tcBorders>
              <w:bottom w:val="single" w:sz="8" w:color="auto"/>
            </w:tcBorders>
          </w:tcPr>
          <w:p>
            <w:pPr>
              <w:spacing w:after="0"/>
              <w:rPr>
                <w:sz w:val="20"/>
                <w:szCs w:val="20"/>
                <w:color w:val="auto"/>
              </w:rPr>
            </w:pPr>
            <w:r>
              <w:rPr>
                <w:rFonts w:ascii="Calibri" w:cs="Calibri" w:eastAsia="Calibri" w:hAnsi="Calibri"/>
                <w:sz w:val="22"/>
                <w:szCs w:val="22"/>
                <w:b w:val="1"/>
                <w:bCs w:val="1"/>
                <w:color w:val="auto"/>
                <w:w w:val="97"/>
              </w:rPr>
              <w:t>Annual Retainer</w:t>
            </w:r>
          </w:p>
        </w:tc>
        <w:tc>
          <w:tcPr>
            <w:tcW w:w="720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433"/>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Cash Porton</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$80,000</w:t>
            </w:r>
          </w:p>
        </w:tc>
      </w:tr>
      <w:tr>
        <w:trPr>
          <w:trHeight w:val="270"/>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Non-Cash Porton</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$145,000</w:t>
            </w:r>
          </w:p>
        </w:tc>
      </w:tr>
      <w:tr>
        <w:trPr>
          <w:trHeight w:val="451"/>
        </w:trPr>
        <w:tc>
          <w:tcPr>
            <w:tcW w:w="3100" w:type="dxa"/>
            <w:vAlign w:val="bottom"/>
            <w:tcBorders>
              <w:bottom w:val="single" w:sz="8" w:color="auto"/>
            </w:tcBorders>
            <w:gridSpan w:val="3"/>
          </w:tcPr>
          <w:p>
            <w:pPr>
              <w:spacing w:after="0"/>
              <w:rPr>
                <w:sz w:val="20"/>
                <w:szCs w:val="20"/>
                <w:color w:val="auto"/>
              </w:rPr>
            </w:pPr>
            <w:r>
              <w:rPr>
                <w:rFonts w:ascii="Calibri" w:cs="Calibri" w:eastAsia="Calibri" w:hAnsi="Calibri"/>
                <w:sz w:val="22"/>
                <w:szCs w:val="22"/>
                <w:b w:val="1"/>
                <w:bCs w:val="1"/>
                <w:color w:val="auto"/>
                <w:w w:val="99"/>
              </w:rPr>
              <w:t>Annual Commitee Chair Retainers</w:t>
            </w:r>
          </w:p>
        </w:tc>
        <w:tc>
          <w:tcPr>
            <w:tcW w:w="5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20"/>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Audit Commitee</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$15,000</w:t>
            </w:r>
          </w:p>
        </w:tc>
      </w:tr>
      <w:tr>
        <w:trPr>
          <w:trHeight w:val="270"/>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Compensaton Commitee</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$15,000</w:t>
            </w:r>
          </w:p>
        </w:tc>
      </w:tr>
      <w:tr>
        <w:trPr>
          <w:trHeight w:val="270"/>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Nominatng and Governance Commitee/Lead Director</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$25,000</w:t>
            </w:r>
          </w:p>
        </w:tc>
      </w:tr>
      <w:tr>
        <w:trPr>
          <w:trHeight w:val="451"/>
        </w:trPr>
        <w:tc>
          <w:tcPr>
            <w:tcW w:w="8660" w:type="dxa"/>
            <w:vAlign w:val="bottom"/>
            <w:gridSpan w:val="4"/>
          </w:tcPr>
          <w:p>
            <w:pPr>
              <w:spacing w:after="0"/>
              <w:rPr>
                <w:sz w:val="20"/>
                <w:szCs w:val="20"/>
                <w:color w:val="auto"/>
              </w:rPr>
            </w:pPr>
            <w:r>
              <w:rPr>
                <w:rFonts w:ascii="Calibri" w:cs="Calibri" w:eastAsia="Calibri" w:hAnsi="Calibri"/>
                <w:sz w:val="22"/>
                <w:szCs w:val="22"/>
                <w:b w:val="1"/>
                <w:bCs w:val="1"/>
                <w:color w:val="auto"/>
              </w:rPr>
              <w:t>Additonal Meetng Fees</w:t>
            </w:r>
          </w:p>
        </w:tc>
        <w:tc>
          <w:tcPr>
            <w:tcW w:w="2580" w:type="dxa"/>
            <w:vAlign w:val="bottom"/>
          </w:tcPr>
          <w:p>
            <w:pPr>
              <w:spacing w:after="0"/>
              <w:rPr>
                <w:sz w:val="24"/>
                <w:szCs w:val="24"/>
                <w:color w:val="auto"/>
              </w:rPr>
            </w:pPr>
          </w:p>
        </w:tc>
      </w:tr>
      <w:tr>
        <w:trPr>
          <w:trHeight w:val="20"/>
        </w:trPr>
        <w:tc>
          <w:tcPr>
            <w:tcW w:w="2180" w:type="dxa"/>
            <w:vAlign w:val="bottom"/>
            <w:gridSpan w:val="2"/>
            <w:shd w:val="clear" w:color="auto" w:fill="000000"/>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33"/>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Board Meetng Fee (for each meetng atended in excess of 6 meetngs)</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$2,000</w:t>
            </w:r>
          </w:p>
        </w:tc>
      </w:tr>
      <w:tr>
        <w:trPr>
          <w:trHeight w:val="270"/>
        </w:trPr>
        <w:tc>
          <w:tcPr>
            <w:tcW w:w="8660" w:type="dxa"/>
            <w:vAlign w:val="bottom"/>
            <w:gridSpan w:val="4"/>
          </w:tcPr>
          <w:p>
            <w:pPr>
              <w:ind w:left="20"/>
              <w:spacing w:after="0"/>
              <w:rPr>
                <w:sz w:val="20"/>
                <w:szCs w:val="20"/>
                <w:color w:val="auto"/>
              </w:rPr>
            </w:pPr>
            <w:r>
              <w:rPr>
                <w:rFonts w:ascii="Calibri" w:cs="Calibri" w:eastAsia="Calibri" w:hAnsi="Calibri"/>
                <w:sz w:val="20"/>
                <w:szCs w:val="20"/>
                <w:color w:val="auto"/>
              </w:rPr>
              <w:t>Commitee Meetng Fee (for each meetng atended in excess of 6 meetngs)</w:t>
            </w:r>
          </w:p>
        </w:tc>
        <w:tc>
          <w:tcPr>
            <w:tcW w:w="2580" w:type="dxa"/>
            <w:vAlign w:val="bottom"/>
          </w:tcPr>
          <w:p>
            <w:pPr>
              <w:jc w:val="right"/>
              <w:ind w:right="942"/>
              <w:spacing w:after="0"/>
              <w:rPr>
                <w:sz w:val="20"/>
                <w:szCs w:val="20"/>
                <w:color w:val="auto"/>
              </w:rPr>
            </w:pPr>
            <w:r>
              <w:rPr>
                <w:rFonts w:ascii="Calibri" w:cs="Calibri" w:eastAsia="Calibri" w:hAnsi="Calibri"/>
                <w:sz w:val="20"/>
                <w:szCs w:val="20"/>
                <w:color w:val="auto"/>
              </w:rPr>
              <w:t>$1,500</w:t>
            </w:r>
          </w:p>
        </w:tc>
      </w:tr>
    </w:tbl>
    <w:p>
      <w:pPr>
        <w:spacing w:after="0" w:line="238"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 xml:space="preserve">The annual retainer, including any commitee chair retainer, is payable in a single payment afer the annual meetng at which the director is elected by stockholders for a one-year term. Additonal meetng fees, when earned, are paid in cash in September following the completon of the fscal year by which the number of meetngs atended is determined. Each director may elect the form of payment for each porton of their annual retainer, subject, in some cases, to our Stock Ownership Guidelines (available at </w:t>
      </w:r>
      <w:r>
        <w:rPr>
          <w:rFonts w:ascii="Calibri" w:cs="Calibri" w:eastAsia="Calibri" w:hAnsi="Calibri"/>
          <w:sz w:val="21"/>
          <w:szCs w:val="21"/>
          <w:b w:val="1"/>
          <w:bCs w:val="1"/>
          <w:u w:val="single" w:color="auto"/>
          <w:color w:val="auto"/>
        </w:rPr>
        <w:t>www.acuitybrands.com</w:t>
      </w:r>
      <w:r>
        <w:rPr>
          <w:rFonts w:ascii="Calibri" w:cs="Calibri" w:eastAsia="Calibri" w:hAnsi="Calibri"/>
          <w:sz w:val="20"/>
          <w:szCs w:val="20"/>
          <w:color w:val="auto"/>
        </w:rPr>
        <w:t xml:space="preserve"> at </w:t>
      </w:r>
      <w:r>
        <w:rPr>
          <w:rFonts w:ascii="Calibri" w:cs="Calibri" w:eastAsia="Calibri" w:hAnsi="Calibri"/>
          <w:sz w:val="21"/>
          <w:szCs w:val="21"/>
          <w:b w:val="1"/>
          <w:bCs w:val="1"/>
          <w:color w:val="auto"/>
        </w:rPr>
        <w:t>For Investors</w:t>
      </w:r>
      <w:r>
        <w:rPr>
          <w:rFonts w:ascii="Calibri" w:cs="Calibri" w:eastAsia="Calibri" w:hAnsi="Calibri"/>
          <w:sz w:val="20"/>
          <w:szCs w:val="20"/>
          <w:color w:val="auto"/>
        </w:rPr>
        <w:t xml:space="preserve"> - </w:t>
      </w:r>
      <w:r>
        <w:rPr>
          <w:rFonts w:ascii="Calibri" w:cs="Calibri" w:eastAsia="Calibri" w:hAnsi="Calibri"/>
          <w:sz w:val="21"/>
          <w:szCs w:val="21"/>
          <w:b w:val="1"/>
          <w:bCs w:val="1"/>
          <w:color w:val="auto"/>
        </w:rPr>
        <w:t>Governance – Commitee Charters &amp; Governance Documents</w:t>
      </w:r>
      <w:r>
        <w:rPr>
          <w:rFonts w:ascii="Calibri" w:cs="Calibri" w:eastAsia="Calibri" w:hAnsi="Calibri"/>
          <w:sz w:val="20"/>
          <w:szCs w:val="20"/>
          <w:color w:val="auto"/>
        </w:rPr>
        <w:t>.</w:t>
      </w:r>
    </w:p>
    <w:p>
      <w:pPr>
        <w:spacing w:after="0" w:line="122" w:lineRule="exact"/>
        <w:rPr>
          <w:sz w:val="20"/>
          <w:szCs w:val="20"/>
          <w:color w:val="auto"/>
        </w:rPr>
      </w:pPr>
    </w:p>
    <w:p>
      <w:pPr>
        <w:ind w:right="280"/>
        <w:spacing w:after="0" w:line="241" w:lineRule="auto"/>
        <w:rPr>
          <w:sz w:val="20"/>
          <w:szCs w:val="20"/>
          <w:color w:val="auto"/>
        </w:rPr>
      </w:pPr>
      <w:r>
        <w:rPr>
          <w:rFonts w:ascii="Calibri" w:cs="Calibri" w:eastAsia="Calibri" w:hAnsi="Calibri"/>
          <w:sz w:val="22"/>
          <w:szCs w:val="22"/>
          <w:i w:val="1"/>
          <w:iCs w:val="1"/>
          <w:u w:val="single" w:color="auto"/>
          <w:color w:val="auto"/>
        </w:rPr>
        <w:t>Cash Porton</w:t>
      </w:r>
      <w:r>
        <w:rPr>
          <w:rFonts w:ascii="Calibri" w:cs="Calibri" w:eastAsia="Calibri" w:hAnsi="Calibri"/>
          <w:sz w:val="19"/>
          <w:szCs w:val="19"/>
          <w:color w:val="auto"/>
        </w:rPr>
        <w:t>: Each director may elect to have the Cash Porton either paid in cash or deferred into the Amended and Restated 2011</w:t>
      </w:r>
      <w:r>
        <w:rPr>
          <w:rFonts w:ascii="Calibri" w:cs="Calibri" w:eastAsia="Calibri" w:hAnsi="Calibri"/>
          <w:sz w:val="22"/>
          <w:szCs w:val="22"/>
          <w:i w:val="1"/>
          <w:iCs w:val="1"/>
          <w:color w:val="auto"/>
        </w:rPr>
        <w:t xml:space="preserve"> </w:t>
      </w:r>
      <w:r>
        <w:rPr>
          <w:rFonts w:ascii="Calibri" w:cs="Calibri" w:eastAsia="Calibri" w:hAnsi="Calibri"/>
          <w:sz w:val="19"/>
          <w:szCs w:val="19"/>
          <w:color w:val="auto"/>
        </w:rPr>
        <w:t>Director Deferred Compensaton Plan (the "Amended 2011 NEDC"). Amounts deferred into the Amended 2011 NEDC may be credited into either an interest-bearing cash fund or into a stock unit fund. The value of the stock unit fund mirrors the value of the Company's common stock and earns cash dividends that are credited to the interest-bearing cash fund.</w:t>
      </w:r>
    </w:p>
    <w:p>
      <w:pPr>
        <w:spacing w:after="0" w:line="125" w:lineRule="exact"/>
        <w:rPr>
          <w:sz w:val="20"/>
          <w:szCs w:val="20"/>
          <w:color w:val="auto"/>
        </w:rPr>
      </w:pPr>
    </w:p>
    <w:p>
      <w:pPr>
        <w:ind w:right="140"/>
        <w:spacing w:after="0" w:line="245" w:lineRule="auto"/>
        <w:rPr>
          <w:sz w:val="20"/>
          <w:szCs w:val="20"/>
          <w:color w:val="auto"/>
        </w:rPr>
      </w:pPr>
      <w:r>
        <w:rPr>
          <w:rFonts w:ascii="Calibri" w:cs="Calibri" w:eastAsia="Calibri" w:hAnsi="Calibri"/>
          <w:sz w:val="22"/>
          <w:szCs w:val="22"/>
          <w:i w:val="1"/>
          <w:iCs w:val="1"/>
          <w:u w:val="single" w:color="auto"/>
          <w:color w:val="auto"/>
        </w:rPr>
        <w:t>Non-Cash Porton</w:t>
      </w:r>
      <w:r>
        <w:rPr>
          <w:rFonts w:ascii="Calibri" w:cs="Calibri" w:eastAsia="Calibri" w:hAnsi="Calibri"/>
          <w:sz w:val="22"/>
          <w:szCs w:val="22"/>
          <w:i w:val="1"/>
          <w:iCs w:val="1"/>
          <w:color w:val="auto"/>
        </w:rPr>
        <w:t xml:space="preserve">: </w:t>
      </w:r>
      <w:r>
        <w:rPr>
          <w:rFonts w:ascii="Calibri" w:cs="Calibri" w:eastAsia="Calibri" w:hAnsi="Calibri"/>
          <w:sz w:val="19"/>
          <w:szCs w:val="19"/>
          <w:color w:val="auto"/>
        </w:rPr>
        <w:t>Each director may elect to have the Non-Cash Porton paid in either a restricted stock award ("RSA") or deferred</w:t>
      </w:r>
      <w:r>
        <w:rPr>
          <w:rFonts w:ascii="Calibri" w:cs="Calibri" w:eastAsia="Calibri" w:hAnsi="Calibri"/>
          <w:sz w:val="22"/>
          <w:szCs w:val="22"/>
          <w:i w:val="1"/>
          <w:iCs w:val="1"/>
          <w:color w:val="auto"/>
        </w:rPr>
        <w:t xml:space="preserve"> </w:t>
      </w:r>
      <w:r>
        <w:rPr>
          <w:rFonts w:ascii="Calibri" w:cs="Calibri" w:eastAsia="Calibri" w:hAnsi="Calibri"/>
          <w:sz w:val="19"/>
          <w:szCs w:val="19"/>
          <w:color w:val="auto"/>
        </w:rPr>
        <w:t>restricted stock unit award ("DSU") pursuant to the Amended and Restated 2012 Omnibus Stock Incentve Compensaton Plan (the "Omnibus Incentve Plan") if they have exceeded the Stock Ownership Guidelines requirement. Prior to exceeding the Stock Ownership Guidelines requirement, the Non-Cash Porton will be paid in the form of a DSU. RSAs and DSUs become fully vested on the frst anniversary of the grant date, or, if earlier, the date of the next subsequent annual meetng of stockholders. Both RSAs and DSUs earn dividend equivalents during the vestng period at a rate equal to the dividends paid to other holders of our common stock if and when declared. DSUs contnue to earn dividend equivalents untl such tme as they are distributed, and such earned dividend equivalents receive interest at the same rate as dividend equivalents earned on deferred stock units under the Amended 2011 NEDC. When a director ceases service with the Company during the one-year vestng period, the total number of shares earned will be prorated based on the rato of the total number of days served to the number of days in the vestng period. Any awards not earned will be forfeited efectve as of the date the director's service ends.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46"/>
        </w:trPr>
        <w:tc>
          <w:tcPr>
            <w:tcW w:w="4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2"/>
          </w:tcPr>
          <w:p>
            <w:pPr>
              <w:ind w:left="2000"/>
              <w:spacing w:after="0"/>
              <w:rPr>
                <w:sz w:val="20"/>
                <w:szCs w:val="20"/>
                <w:color w:val="auto"/>
              </w:rPr>
            </w:pPr>
            <w:r>
              <w:rPr>
                <w:rFonts w:ascii="Arial" w:cs="Arial" w:eastAsia="Arial" w:hAnsi="Arial"/>
                <w:sz w:val="18"/>
                <w:szCs w:val="18"/>
                <w:b w:val="1"/>
                <w:bCs w:val="1"/>
                <w:color w:val="auto"/>
                <w:w w:val="96"/>
              </w:rPr>
              <w:t>Exhibit 21</w:t>
            </w:r>
          </w:p>
        </w:tc>
      </w:tr>
      <w:tr>
        <w:trPr>
          <w:trHeight w:val="739"/>
        </w:trPr>
        <w:tc>
          <w:tcPr>
            <w:tcW w:w="4000" w:type="dxa"/>
            <w:vAlign w:val="bottom"/>
          </w:tcPr>
          <w:p>
            <w:pPr>
              <w:spacing w:after="0"/>
              <w:rPr>
                <w:sz w:val="24"/>
                <w:szCs w:val="24"/>
                <w:color w:val="auto"/>
              </w:rPr>
            </w:pPr>
          </w:p>
        </w:tc>
        <w:tc>
          <w:tcPr>
            <w:tcW w:w="436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9"/>
              </w:rPr>
              <w:t>List of Subsidiaries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Acuity Brands, Inc.</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4000" w:type="dxa"/>
            <w:vAlign w:val="bottom"/>
          </w:tcPr>
          <w:p>
            <w:pPr>
              <w:spacing w:after="0"/>
              <w:rPr>
                <w:sz w:val="21"/>
                <w:szCs w:val="21"/>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As of August 31, 2022</w:t>
            </w: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32"/>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r>
      <w:tr>
        <w:trPr>
          <w:trHeight w:val="224"/>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or Affiliate</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Principal Location</w:t>
            </w:r>
          </w:p>
        </w:tc>
        <w:tc>
          <w:tcPr>
            <w:tcW w:w="1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Incorporation or Organization</w:t>
            </w:r>
          </w:p>
        </w:tc>
        <w:tc>
          <w:tcPr>
            <w:tcW w:w="20" w:type="dxa"/>
            <w:vAlign w:val="bottom"/>
          </w:tcPr>
          <w:p>
            <w:pPr>
              <w:spacing w:after="0"/>
              <w:rPr>
                <w:sz w:val="19"/>
                <w:szCs w:val="19"/>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 to Z Manufacturing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Tucson, Arizona</w:t>
            </w:r>
          </w:p>
        </w:tc>
        <w:tc>
          <w:tcPr>
            <w:tcW w:w="2840" w:type="dxa"/>
            <w:vAlign w:val="bottom"/>
            <w:gridSpan w:val="2"/>
          </w:tcPr>
          <w:p>
            <w:pPr>
              <w:spacing w:after="0"/>
              <w:rPr>
                <w:sz w:val="20"/>
                <w:szCs w:val="20"/>
                <w:color w:val="auto"/>
              </w:rPr>
            </w:pPr>
            <w:r>
              <w:rPr>
                <w:rFonts w:ascii="Arial" w:cs="Arial" w:eastAsia="Arial" w:hAnsi="Arial"/>
                <w:sz w:val="14"/>
                <w:szCs w:val="14"/>
                <w:color w:val="auto"/>
              </w:rPr>
              <w:t>Arizona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AB BMS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Cayman Islands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AB Netherlands Holdings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ABL IP Holding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Aviation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BMS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Amsterdam,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Insurance (Bermuda)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Hamilton, Bermuda</w:t>
            </w:r>
          </w:p>
        </w:tc>
        <w:tc>
          <w:tcPr>
            <w:tcW w:w="2840" w:type="dxa"/>
            <w:vAlign w:val="bottom"/>
            <w:gridSpan w:val="2"/>
          </w:tcPr>
          <w:p>
            <w:pPr>
              <w:spacing w:after="0"/>
              <w:rPr>
                <w:sz w:val="20"/>
                <w:szCs w:val="20"/>
                <w:color w:val="auto"/>
              </w:rPr>
            </w:pPr>
            <w:r>
              <w:rPr>
                <w:rFonts w:ascii="Arial" w:cs="Arial" w:eastAsia="Arial" w:hAnsi="Arial"/>
                <w:sz w:val="14"/>
                <w:szCs w:val="14"/>
                <w:color w:val="auto"/>
              </w:rPr>
              <w:t>Bermuda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Canada,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Markham, Ontario</w:t>
            </w:r>
          </w:p>
        </w:tc>
        <w:tc>
          <w:tcPr>
            <w:tcW w:w="2840" w:type="dxa"/>
            <w:vAlign w:val="bottom"/>
            <w:gridSpan w:val="2"/>
          </w:tcPr>
          <w:p>
            <w:pPr>
              <w:spacing w:after="0"/>
              <w:rPr>
                <w:sz w:val="20"/>
                <w:szCs w:val="20"/>
                <w:color w:val="auto"/>
              </w:rPr>
            </w:pPr>
            <w:r>
              <w:rPr>
                <w:rFonts w:ascii="Arial" w:cs="Arial" w:eastAsia="Arial" w:hAnsi="Arial"/>
                <w:sz w:val="14"/>
                <w:szCs w:val="14"/>
                <w:color w:val="auto"/>
              </w:rPr>
              <w:t>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(Hong Kong)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Lighting de Mexico, S. de R.L.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Netherlands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30"/>
        </w:trPr>
        <w:tc>
          <w:tcPr>
            <w:tcW w:w="4000" w:type="dxa"/>
            <w:vAlign w:val="bottom"/>
          </w:tcPr>
          <w:p>
            <w:pPr>
              <w:spacing w:after="0"/>
              <w:rPr>
                <w:sz w:val="20"/>
                <w:szCs w:val="20"/>
                <w:color w:val="auto"/>
              </w:rPr>
            </w:pPr>
            <w:r>
              <w:rPr>
                <w:rFonts w:ascii="Arial" w:cs="Arial" w:eastAsia="Arial" w:hAnsi="Arial"/>
                <w:sz w:val="14"/>
                <w:szCs w:val="14"/>
                <w:color w:val="auto"/>
              </w:rPr>
              <w:t>Acuity Brands Services, Inc.</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Technology Services,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2"/>
        </w:trPr>
        <w:tc>
          <w:tcPr>
            <w:tcW w:w="4000" w:type="dxa"/>
            <w:vAlign w:val="bottom"/>
          </w:tcPr>
          <w:p>
            <w:pPr>
              <w:spacing w:after="0"/>
              <w:rPr>
                <w:sz w:val="20"/>
                <w:szCs w:val="20"/>
                <w:color w:val="auto"/>
              </w:rPr>
            </w:pPr>
            <w:r>
              <w:rPr>
                <w:rFonts w:ascii="Arial" w:cs="Arial" w:eastAsia="Arial" w:hAnsi="Arial"/>
                <w:sz w:val="14"/>
                <w:szCs w:val="14"/>
                <w:color w:val="auto"/>
              </w:rPr>
              <w:t>Acuity Mexico Holdings,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Brands Mexico Holdings II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Acuity Trading (Shanghai) Co.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Shanghai, People's Republic of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Amerillum,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California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Arizona (Tianjin) Electronics Products Trade Co.,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Tianjin, People's Republic of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Arizona Trading Company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Castlight de Mexico, S.A.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Matamoros, Tamaulipas, Mexico</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British Columbia,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Facility Solutions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Ottawa, Ontario,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Ontario,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(Canada)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SAS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Brignais, France</w:t>
            </w:r>
          </w:p>
        </w:tc>
        <w:tc>
          <w:tcPr>
            <w:tcW w:w="2840" w:type="dxa"/>
            <w:vAlign w:val="bottom"/>
            <w:gridSpan w:val="2"/>
          </w:tcPr>
          <w:p>
            <w:pPr>
              <w:spacing w:after="0"/>
              <w:rPr>
                <w:sz w:val="20"/>
                <w:szCs w:val="20"/>
                <w:color w:val="auto"/>
              </w:rPr>
            </w:pPr>
            <w:r>
              <w:rPr>
                <w:rFonts w:ascii="Arial" w:cs="Arial" w:eastAsia="Arial" w:hAnsi="Arial"/>
                <w:sz w:val="14"/>
                <w:szCs w:val="14"/>
                <w:color w:val="auto"/>
              </w:rPr>
              <w:t>France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Texas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eldoLAB Holding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2"/>
        </w:trPr>
        <w:tc>
          <w:tcPr>
            <w:tcW w:w="4000" w:type="dxa"/>
            <w:vAlign w:val="bottom"/>
          </w:tcPr>
          <w:p>
            <w:pPr>
              <w:spacing w:after="0"/>
              <w:rPr>
                <w:sz w:val="20"/>
                <w:szCs w:val="20"/>
                <w:color w:val="auto"/>
              </w:rPr>
            </w:pPr>
            <w:r>
              <w:rPr>
                <w:rFonts w:ascii="Arial" w:cs="Arial" w:eastAsia="Arial" w:hAnsi="Arial"/>
                <w:sz w:val="14"/>
                <w:szCs w:val="14"/>
                <w:color w:val="auto"/>
              </w:rPr>
              <w:t>eldoLED B.V.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EXY Poland sp. z o.o.</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Warsaw, Poland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Poland</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S.A. de C.V.</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 Mexico</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Europe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Holophane Lighting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HSA Acquisition Company,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Ohio</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ID Limited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Douglas, Isle of Man</w:t>
            </w:r>
          </w:p>
        </w:tc>
        <w:tc>
          <w:tcPr>
            <w:tcW w:w="2840" w:type="dxa"/>
            <w:vAlign w:val="bottom"/>
            <w:gridSpan w:val="2"/>
          </w:tcPr>
          <w:p>
            <w:pPr>
              <w:spacing w:after="0"/>
              <w:rPr>
                <w:sz w:val="20"/>
                <w:szCs w:val="20"/>
                <w:color w:val="auto"/>
              </w:rPr>
            </w:pPr>
            <w:r>
              <w:rPr>
                <w:rFonts w:ascii="Arial" w:cs="Arial" w:eastAsia="Arial" w:hAnsi="Arial"/>
                <w:sz w:val="14"/>
                <w:szCs w:val="14"/>
                <w:color w:val="auto"/>
              </w:rPr>
              <w:t>Isle of Man</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Luminaire LED,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Luxfab Ltd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Rockpile Ventures,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Seattle, Washington</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The Luminaires Group Inc.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Montreal,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203"/>
        </w:trPr>
        <w:tc>
          <w:tcPr>
            <w:tcW w:w="4000" w:type="dxa"/>
            <w:vAlign w:val="bottom"/>
          </w:tcPr>
          <w:p>
            <w:pPr>
              <w:spacing w:after="0"/>
              <w:rPr>
                <w:sz w:val="20"/>
                <w:szCs w:val="20"/>
                <w:color w:val="auto"/>
              </w:rPr>
            </w:pPr>
            <w:r>
              <w:rPr>
                <w:rFonts w:ascii="Arial" w:cs="Arial" w:eastAsia="Arial" w:hAnsi="Arial"/>
                <w:sz w:val="14"/>
                <w:szCs w:val="14"/>
                <w:color w:val="auto"/>
              </w:rPr>
              <w:t>The Luminaires Group U.S.A., LLC</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00"/>
          </w:cols>
          <w:pgMar w:left="36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Acuity Brands Lighting, Inc., a Delaware corporation, is the issuer of the 2.150% Notes due 2030, that are fully and unconditionally guaranteed by Acuity Brands, Inc. (the “Company”) and the following subsidiary of the Company.</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 Name</w:t>
            </w:r>
          </w:p>
        </w:tc>
        <w:tc>
          <w:tcPr>
            <w:tcW w:w="9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State or Country of Incorporation or Formation</w:t>
            </w:r>
          </w:p>
        </w:tc>
      </w:tr>
      <w:tr>
        <w:trPr>
          <w:trHeight w:val="232"/>
        </w:trPr>
        <w:tc>
          <w:tcPr>
            <w:tcW w:w="1960" w:type="dxa"/>
            <w:vAlign w:val="bottom"/>
          </w:tcPr>
          <w:p>
            <w:pPr>
              <w:ind w:left="20"/>
              <w:spacing w:after="0"/>
              <w:rPr>
                <w:sz w:val="20"/>
                <w:szCs w:val="20"/>
                <w:color w:val="auto"/>
              </w:rPr>
            </w:pPr>
            <w:r>
              <w:rPr>
                <w:rFonts w:ascii="Arial" w:cs="Arial" w:eastAsia="Arial" w:hAnsi="Arial"/>
                <w:sz w:val="18"/>
                <w:szCs w:val="18"/>
                <w:color w:val="auto"/>
              </w:rPr>
              <w:t>ABL IP Holding LLC</w:t>
            </w:r>
          </w:p>
        </w:tc>
        <w:tc>
          <w:tcPr>
            <w:tcW w:w="9240" w:type="dxa"/>
            <w:vAlign w:val="bottom"/>
          </w:tcPr>
          <w:p>
            <w:pPr>
              <w:ind w:left="34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60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S-3 No. 333-249656) of Acuity Brands, Inc., Acuity Brands Lighting, Inc., and ABL IP Holding LLC,</w:t>
      </w:r>
    </w:p>
    <w:p>
      <w:pPr>
        <w:spacing w:after="0" w:line="31" w:lineRule="exact"/>
        <w:rPr>
          <w:rFonts w:ascii="Arial" w:cs="Arial" w:eastAsia="Arial" w:hAnsi="Arial"/>
          <w:sz w:val="18"/>
          <w:szCs w:val="18"/>
          <w:color w:val="auto"/>
        </w:rPr>
      </w:pPr>
    </w:p>
    <w:p>
      <w:pPr>
        <w:ind w:left="600" w:right="420" w:hanging="479"/>
        <w:spacing w:after="0" w:line="223"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p>
      <w:pPr>
        <w:ind w:left="600" w:right="80" w:hanging="479"/>
        <w:spacing w:after="0" w:line="234"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and Acuity Brands, Inc. 2001 Nonemployee Directors’ Stock Option Plan,</w:t>
      </w:r>
    </w:p>
    <w:p>
      <w:pPr>
        <w:spacing w:after="0" w:line="5" w:lineRule="exact"/>
        <w:rPr>
          <w:rFonts w:ascii="Arial" w:cs="Arial" w:eastAsia="Arial" w:hAnsi="Arial"/>
          <w:sz w:val="18"/>
          <w:szCs w:val="18"/>
          <w:color w:val="auto"/>
        </w:rPr>
      </w:pPr>
    </w:p>
    <w:p>
      <w:pPr>
        <w:ind w:left="60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31" w:lineRule="exact"/>
        <w:rPr>
          <w:rFonts w:ascii="Arial" w:cs="Arial" w:eastAsia="Arial" w:hAnsi="Arial"/>
          <w:sz w:val="18"/>
          <w:szCs w:val="18"/>
          <w:color w:val="auto"/>
        </w:rPr>
      </w:pPr>
    </w:p>
    <w:p>
      <w:pPr>
        <w:ind w:left="600" w:right="120" w:hanging="479"/>
        <w:spacing w:after="0" w:line="234"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5" w:lineRule="exact"/>
        <w:rPr>
          <w:rFonts w:ascii="Arial" w:cs="Arial" w:eastAsia="Arial" w:hAnsi="Arial"/>
          <w:sz w:val="18"/>
          <w:szCs w:val="18"/>
          <w:color w:val="auto"/>
        </w:rPr>
      </w:pPr>
    </w:p>
    <w:p>
      <w:pPr>
        <w:ind w:left="600" w:right="16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and Acuity Brands, Inc. Nonemployee Director Deferred Compensation Plan (as amended and restated),</w:t>
      </w:r>
    </w:p>
    <w:p>
      <w:pPr>
        <w:spacing w:after="0" w:line="4" w:lineRule="exact"/>
        <w:rPr>
          <w:rFonts w:ascii="Arial" w:cs="Arial" w:eastAsia="Arial" w:hAnsi="Arial"/>
          <w:sz w:val="18"/>
          <w:szCs w:val="18"/>
          <w:color w:val="auto"/>
        </w:rPr>
      </w:pPr>
    </w:p>
    <w:p>
      <w:pPr>
        <w:ind w:left="600" w:right="12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4" w:lineRule="exact"/>
        <w:rPr>
          <w:rFonts w:ascii="Arial" w:cs="Arial" w:eastAsia="Arial" w:hAnsi="Arial"/>
          <w:sz w:val="18"/>
          <w:szCs w:val="18"/>
          <w:color w:val="auto"/>
        </w:rPr>
      </w:pPr>
    </w:p>
    <w:p>
      <w:pPr>
        <w:ind w:left="600" w:right="118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w:t>
      </w:r>
    </w:p>
    <w:p>
      <w:pPr>
        <w:spacing w:after="0" w:line="4" w:lineRule="exact"/>
        <w:rPr>
          <w:rFonts w:ascii="Arial" w:cs="Arial" w:eastAsia="Arial" w:hAnsi="Arial"/>
          <w:sz w:val="18"/>
          <w:szCs w:val="18"/>
          <w:color w:val="auto"/>
        </w:rPr>
      </w:pPr>
    </w:p>
    <w:p>
      <w:pPr>
        <w:ind w:left="600" w:right="500" w:hanging="4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5" w:lineRule="exact"/>
        <w:rPr>
          <w:sz w:val="20"/>
          <w:szCs w:val="20"/>
          <w:color w:val="auto"/>
        </w:rPr>
      </w:pPr>
    </w:p>
    <w:p>
      <w:pPr>
        <w:ind w:left="600" w:right="120" w:hanging="529"/>
        <w:spacing w:after="0" w:line="23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Amended and Restated Acuity Brands, Inc. 2011 Nonemployee Director Deferred Compensation Plan, and the Amended and Restated Acuity Brands, Inc. 2012 Omnibus Stock Incentive Compensation Plan, and</w:t>
      </w:r>
    </w:p>
    <w:p>
      <w:pPr>
        <w:ind w:left="600" w:right="460" w:hanging="523"/>
        <w:spacing w:after="0" w:line="23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333-262426) pertaining to the. Amended and Restated Acuity Brands, Inc. 2012 Omnibus Stock Incentive Compensation Plan;</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our reports dated October 26, 2022, with respect to the consolidated financial statements and the effectiveness of internal control over financial reporting of Acuity Brands, Inc. included in this Annual Report (Form 10-K) of Acuity Brands, Inc. for the year ended August 31, 2022.</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Ernst &amp; Young LLP</w:t>
      </w:r>
    </w:p>
    <w:p>
      <w:pPr>
        <w:spacing w:after="0" w:line="2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October 26, 2022</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Marcia J. Avedon,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8903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0">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Marcia J. Avedon, Ph.D.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4986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1">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 Patrick Battle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Michael J.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5748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2">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J. Bender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644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3">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 Douglas Dillard, Jr.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5932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4">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James H. Hance, Jr.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Maya Leibman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441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Maya Leibman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717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Laura G. O'Shaughnessy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Dominic J. Pileggi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4725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7">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Dominic J. Pileggi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4408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Ray M. Robinson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Mark J. Sachleben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6065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1606550" cy="8890"/>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Mark J. Sachleben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2022,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-7620</wp:posOffset>
            </wp:positionV>
            <wp:extent cx="14027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0">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Mary A. Winston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2022, as filed with the Securities and Exchange Commission on the date hereof (the “Report”), the undersigned, the Chairman, President and Chief Executive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2022, as filed with the Securities and Exchange Commission on the date hereof (the “Report”), the undersigned, the Senior Vice President and Chief Financial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2"/>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lowerLetter"/>
      <w:start w:val="6"/>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1)"/>
      <w:numFmt w:val="decimal"/>
      <w:start w:val="10"/>
    </w:lvl>
  </w:abstractNum>
  <w:abstractNum w:abstractNumId="20">
    <w:nsid w:val="71F32454"/>
    <w:multiLevelType w:val="hybridMultilevel"/>
    <w:lvl w:ilvl="0">
      <w:lvlJc w:val="left"/>
      <w:lvlText w:val="(%1)"/>
      <w:numFmt w:val="decimal"/>
      <w:start w:val="18"/>
    </w:lvl>
  </w:abstractNum>
  <w:abstractNum w:abstractNumId="21">
    <w:nsid w:val="2CA88611"/>
    <w:multiLevelType w:val="hybridMultilevel"/>
    <w:lvl w:ilvl="0">
      <w:lvlJc w:val="left"/>
      <w:lvlText w:val="(%1)"/>
      <w:numFmt w:val="decimal"/>
      <w:start w:val="33"/>
    </w:lvl>
    <w:lvl w:ilvl="1">
      <w:lvlJc w:val="left"/>
      <w:lvlText w:val="%2."/>
      <w:numFmt w:val="upperLetter"/>
      <w:start w:val="18"/>
    </w:lvl>
  </w:abstractNum>
  <w:abstractNum w:abstractNumId="22">
    <w:nsid w:val="836C40E"/>
    <w:multiLevelType w:val="hybridMultilevel"/>
    <w:lvl w:ilvl="0">
      <w:lvlJc w:val="left"/>
      <w:lvlText w:val="(%1)"/>
      <w:numFmt w:val="decimal"/>
      <w:start w:val="48"/>
    </w:lvl>
    <w:lvl w:ilvl="1">
      <w:lvlJc w:val="left"/>
      <w:lvlText w:val="%2."/>
      <w:numFmt w:val="upperLetter"/>
      <w:start w:val="18"/>
    </w:lvl>
  </w:abstractNum>
  <w:abstractNum w:abstractNumId="23">
    <w:nsid w:val="2901D82"/>
    <w:multiLevelType w:val="hybridMultilevel"/>
    <w:lvl w:ilvl="0">
      <w:lvlJc w:val="left"/>
      <w:lvlText w:val="%1"/>
      <w:numFmt w:val="decimal"/>
      <w:start w:val="1"/>
    </w:lvl>
    <w:lvl w:ilvl="1">
      <w:lvlJc w:val="left"/>
      <w:lvlText w:val="%2."/>
      <w:numFmt w:val="upperLetter"/>
      <w:start w:val="19"/>
    </w:lvl>
  </w:abstractNum>
  <w:abstractNum w:abstractNumId="24">
    <w:nsid w:val="3A95F874"/>
    <w:multiLevelType w:val="hybridMultilevel"/>
    <w:lvl w:ilvl="0">
      <w:lvlJc w:val="left"/>
      <w:lvlText w:val="(%1)"/>
      <w:numFmt w:val="decimal"/>
      <w:start w:val="54"/>
    </w:lvl>
    <w:lvl w:ilvl="1">
      <w:lvlJc w:val="left"/>
      <w:lvlText w:val="%2"/>
      <w:numFmt w:val="upperLetter"/>
      <w:start w:val="1"/>
    </w:lvl>
  </w:abstractNum>
  <w:abstractNum w:abstractNumId="25">
    <w:nsid w:val="8138641"/>
    <w:multiLevelType w:val="hybridMultilevel"/>
    <w:lvl w:ilvl="0">
      <w:lvlJc w:val="left"/>
      <w:lvlText w:val="(%1)"/>
      <w:numFmt w:val="decimal"/>
      <w:start w:val="63"/>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42" Type="http://schemas.openxmlformats.org/officeDocument/2006/relationships/image" Target="media/image120.png"/><Relationship Id="rId157" Type="http://schemas.openxmlformats.org/officeDocument/2006/relationships/image" Target="media/image121.png"/><Relationship Id="rId173" Type="http://schemas.openxmlformats.org/officeDocument/2006/relationships/image" Target="media/image122.png"/><Relationship Id="rId189" Type="http://schemas.openxmlformats.org/officeDocument/2006/relationships/image" Target="media/image123.png"/><Relationship Id="rId205" Type="http://schemas.openxmlformats.org/officeDocument/2006/relationships/image" Target="media/image124.png"/><Relationship Id="rId215" Type="http://schemas.openxmlformats.org/officeDocument/2006/relationships/image" Target="media/image125.png"/><Relationship Id="rId216" Type="http://schemas.openxmlformats.org/officeDocument/2006/relationships/image" Target="media/image126.png"/><Relationship Id="rId217" Type="http://schemas.openxmlformats.org/officeDocument/2006/relationships/image" Target="media/image127.png"/><Relationship Id="rId218" Type="http://schemas.openxmlformats.org/officeDocument/2006/relationships/image" Target="media/image128.png"/><Relationship Id="rId219" Type="http://schemas.openxmlformats.org/officeDocument/2006/relationships/image" Target="media/image129.png"/><Relationship Id="rId220" Type="http://schemas.openxmlformats.org/officeDocument/2006/relationships/image" Target="media/image130.png"/><Relationship Id="rId221" Type="http://schemas.openxmlformats.org/officeDocument/2006/relationships/image" Target="media/image131.png"/><Relationship Id="rId222" Type="http://schemas.openxmlformats.org/officeDocument/2006/relationships/image" Target="media/image132.png"/><Relationship Id="rId223" Type="http://schemas.openxmlformats.org/officeDocument/2006/relationships/image" Target="media/image133.png"/><Relationship Id="rId224"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png"/><Relationship Id="rId227"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png"/><Relationship Id="rId230" Type="http://schemas.openxmlformats.org/officeDocument/2006/relationships/image" Target="media/image140.png"/><Relationship Id="rId231" Type="http://schemas.openxmlformats.org/officeDocument/2006/relationships/image" Target="media/image141.png"/><Relationship Id="rId232" Type="http://schemas.openxmlformats.org/officeDocument/2006/relationships/image" Target="media/image142.png"/><Relationship Id="rId233" Type="http://schemas.openxmlformats.org/officeDocument/2006/relationships/image" Target="media/image143.png"/><Relationship Id="rId234" Type="http://schemas.openxmlformats.org/officeDocument/2006/relationships/image" Target="media/image144.png"/><Relationship Id="rId33" Type="http://schemas.openxmlformats.org/officeDocument/2006/relationships/hyperlink" Target="http://www.sec.gov/ix?doc=/Archives/edgar/data/0001144215/000114421521000097/ayi-20210831.htm#ia8a6501260b143a39280cec81b65d5ab_40" TargetMode="External"/><Relationship Id="rId82" Type="http://schemas.openxmlformats.org/officeDocument/2006/relationships/hyperlink" Target="http://www.sec.gov/ix?doc=/Archives/edgar/data/0001144215/000114421521000097/ayi-20210831.htm#ia8a6501260b143a39280cec81b65d5ab_121" TargetMode="External"/><Relationship Id="rId129" Type="http://schemas.openxmlformats.org/officeDocument/2006/relationships/hyperlink" Target="http://www.sec.gov/Archives/edgar/data/1144215/000119312507208062/dex31.htm" TargetMode="External"/><Relationship Id="rId130" Type="http://schemas.openxmlformats.org/officeDocument/2006/relationships/hyperlink" Target="http://www.sec.gov/Archives/edgar/data/1144215/000119312507208062/dex32.htm" TargetMode="External"/><Relationship Id="rId131" Type="http://schemas.openxmlformats.org/officeDocument/2006/relationships/hyperlink" Target="http://www.sec.gov/Archives/edgar/data/1144215/000114421517000005/ex3ccertificateofamendment.htm" TargetMode="External"/><Relationship Id="rId132" Type="http://schemas.openxmlformats.org/officeDocument/2006/relationships/hyperlink" Target="http://www.sec.gov/Archives/edgar/data/1144215/000114421521000008/ayi-20201130xex3d.htm" TargetMode="External"/><Relationship Id="rId133" Type="http://schemas.openxmlformats.org/officeDocument/2006/relationships/hyperlink" Target="http://www.sec.gov/Archives/edgar/data/1144215/000114421521000008/ayi-20201130xex3e.htm" TargetMode="External"/><Relationship Id="rId134" Type="http://schemas.openxmlformats.org/officeDocument/2006/relationships/hyperlink" Target="http://www.sec.gov/Archives/edgar/data/1144215/000095014401510028/g73259ex4-1.txt" TargetMode="External"/><Relationship Id="rId135" Type="http://schemas.openxmlformats.org/officeDocument/2006/relationships/hyperlink" Target="http://www.sec.gov/Archives/edgar/data/1144215/000114421521000097/ayi-20210831xex4b.htm" TargetMode="External"/><Relationship Id="rId136" Type="http://schemas.openxmlformats.org/officeDocument/2006/relationships/hyperlink" Target="http://www.sec.gov/Archives/edgar/data/0001144215/000119312520290161/d807246dex41.htm" TargetMode="External"/><Relationship Id="rId137" Type="http://schemas.openxmlformats.org/officeDocument/2006/relationships/hyperlink" Target="http://www.sec.gov/Archives/edgar/data/0001144215/000119312520290161/d807246dex42.htm" TargetMode="External"/><Relationship Id="rId138" Type="http://schemas.openxmlformats.org/officeDocument/2006/relationships/hyperlink" Target="http://www.sec.gov/Archives/edgar/data/0001144215/000119312520290161/d807246dex43.htm" TargetMode="External"/><Relationship Id="rId139" Type="http://schemas.openxmlformats.org/officeDocument/2006/relationships/hyperlink" Target="http://www.sec.gov/Archives/edgar/data/1144215/000114421522000073/ayi-20220531xex101.htm" TargetMode="External"/><Relationship Id="rId140" Type="http://schemas.openxmlformats.org/officeDocument/2006/relationships/hyperlink" Target="http://www.sec.gov/Archives/edgar/data/1144215/000095014401510028/g73259ex10-14.txt" TargetMode="External"/><Relationship Id="rId141" Type="http://schemas.openxmlformats.org/officeDocument/2006/relationships/hyperlink" Target="http://www.sec.gov/Archives/edgar/data/1144215/000093176303000078/dex10iiia2.htm" TargetMode="External"/><Relationship Id="rId143" Type="http://schemas.openxmlformats.org/officeDocument/2006/relationships/hyperlink" Target="http://www.sec.gov/Archives/edgar/data/1144215/000119312503019186/dex10iiia8.htm" TargetMode="External"/><Relationship Id="rId144" Type="http://schemas.openxmlformats.org/officeDocument/2006/relationships/hyperlink" Target="http://www.sec.gov/Archives/edgar/data/1144215/000119312504181807/dex10iiia36.htm" TargetMode="External"/><Relationship Id="rId145" Type="http://schemas.openxmlformats.org/officeDocument/2006/relationships/hyperlink" Target="http://www.sec.gov/Archives/edgar/data/1144215/000119312506142480/dex992.htm" TargetMode="External"/><Relationship Id="rId146" Type="http://schemas.openxmlformats.org/officeDocument/2006/relationships/hyperlink" Target="http://www.sec.gov/Archives/edgar/data/1144215/000119312507152172/dex10iiia6.htm" TargetMode="External"/><Relationship Id="rId147" Type="http://schemas.openxmlformats.org/officeDocument/2006/relationships/hyperlink" Target="http://www.sec.gov/Archives/edgar/data/1144215/000114421519000072/ayi-20190531xex10b.htm" TargetMode="External"/><Relationship Id="rId148" Type="http://schemas.openxmlformats.org/officeDocument/2006/relationships/hyperlink" Target="http://www.sec.gov/Archives/edgar/data/1144215/000114421521000097/ayi-20210831xex10iiia14.htm" TargetMode="External"/><Relationship Id="rId149" Type="http://schemas.openxmlformats.org/officeDocument/2006/relationships/hyperlink" Target="http://www.sec.gov/Archives/edgar/data/1144215/000119312506142480/dex991.htm" TargetMode="External"/><Relationship Id="rId150" Type="http://schemas.openxmlformats.org/officeDocument/2006/relationships/hyperlink" Target="http://www.sec.gov/Archives/edgar/data/1144215/000119312508216953/dex10iiia86.htm" TargetMode="External"/><Relationship Id="rId151" Type="http://schemas.openxmlformats.org/officeDocument/2006/relationships/hyperlink" Target="http://www.sec.gov/Archives/edgar/data/1144215/000114421522000010/ayi-20211130xex10c.htm" TargetMode="External"/><Relationship Id="rId152" Type="http://schemas.openxmlformats.org/officeDocument/2006/relationships/hyperlink" Target="http://www.sec.gov/Archives/edgar/data/1144215/000095014401510028/g73259ex10-16.txt" TargetMode="External"/><Relationship Id="rId153" Type="http://schemas.openxmlformats.org/officeDocument/2006/relationships/hyperlink" Target="http://www.sec.gov/Archives/edgar/data/1144215/000119312507152172/dex10iiia5.htm" TargetMode="External"/><Relationship Id="rId154" Type="http://schemas.openxmlformats.org/officeDocument/2006/relationships/hyperlink" Target="http://www.sec.gov/Archives/edgar/data/1144215/000095014401510028/g73259ex10-18.txt" TargetMode="External"/><Relationship Id="rId155" Type="http://schemas.openxmlformats.org/officeDocument/2006/relationships/hyperlink" Target="http://www.sec.gov/Archives/edgar/data/1144215/000095014401510028/g73259ex10-19.txt" TargetMode="External"/><Relationship Id="rId156" Type="http://schemas.openxmlformats.org/officeDocument/2006/relationships/hyperlink" Target="http://www.sec.gov/Archives/edgar/data/1144215/000093176303000964/dex10iiia2.htm" TargetMode="External"/><Relationship Id="rId158" Type="http://schemas.openxmlformats.org/officeDocument/2006/relationships/hyperlink" Target="http://www.sec.gov/Archives/edgar/data/1144215/000095014401510028/g73259ex10-21.txt" TargetMode="External"/><Relationship Id="rId159" Type="http://schemas.openxmlformats.org/officeDocument/2006/relationships/hyperlink" Target="http://www.sec.gov/Archives/edgar/data/1144215/000114421519000072/ayi-20190531xex10c.htm" TargetMode="External"/><Relationship Id="rId160" Type="http://schemas.openxmlformats.org/officeDocument/2006/relationships/hyperlink" Target="http://www.sec.gov/Archives/edgar/data/0001144215/000114421521000008/ayi-20201130xex10a.htm" TargetMode="External"/><Relationship Id="rId161" Type="http://schemas.openxmlformats.org/officeDocument/2006/relationships/hyperlink" Target="http://www.sec.gov/Archives/edgar/data/1144215/000119312506091167/dex991.htm" TargetMode="External"/><Relationship Id="rId162" Type="http://schemas.openxmlformats.org/officeDocument/2006/relationships/hyperlink" Target="http://www.sec.gov/Archives/edgar/data/1144215/000114421520000010/ayi-20200109x8xkex101.htm" TargetMode="External"/><Relationship Id="rId163" Type="http://schemas.openxmlformats.org/officeDocument/2006/relationships/hyperlink" Target="http://www.sec.gov/Archives/edgar/data/1144215/000114421520000010/ayi-20200109x8xkex102.htm" TargetMode="External"/><Relationship Id="rId164" Type="http://schemas.openxmlformats.org/officeDocument/2006/relationships/hyperlink" Target="http://www.sec.gov/Archives/edgar/data/1144215/000114421520000010/ayi-20200109x8xkex103.htm" TargetMode="External"/><Relationship Id="rId165" Type="http://schemas.openxmlformats.org/officeDocument/2006/relationships/hyperlink" Target="http://www.sec.gov/Archives/edgar/data/1144215/000114421520000010/ayi-20200109x8xkex104.htm" TargetMode="External"/><Relationship Id="rId166" Type="http://schemas.openxmlformats.org/officeDocument/2006/relationships/hyperlink" Target="http://www.sec.gov/Archives/edgar/data/1144215/000114421520000010/ayi-20200109x8xkex105.htm" TargetMode="External"/><Relationship Id="rId167" Type="http://schemas.openxmlformats.org/officeDocument/2006/relationships/hyperlink" Target="http://www.sec.gov/Archives/edgar/data/1144215/000119312505068978/dex10iiia1.htm" TargetMode="External"/><Relationship Id="rId168" Type="http://schemas.openxmlformats.org/officeDocument/2006/relationships/hyperlink" Target="http://www.sec.gov/Archives/edgar/data/1144215/000119312505229173/dex101.htm" TargetMode="External"/><Relationship Id="rId169" Type="http://schemas.openxmlformats.org/officeDocument/2006/relationships/hyperlink" Target="http://www.sec.gov/Archives/edgar/data/1144215/000119312509217720/dex10iiia81.htm" TargetMode="External"/><Relationship Id="rId170" Type="http://schemas.openxmlformats.org/officeDocument/2006/relationships/hyperlink" Target="http://www.sec.gov/Archives/edgar/data/1144215/000119312510072493/dex10f.htm" TargetMode="External"/><Relationship Id="rId171" Type="http://schemas.openxmlformats.org/officeDocument/2006/relationships/hyperlink" Target="http://www.sec.gov/Archives/edgar/data/1144215/000114421514000037/ayi-20140228xex10iiia4.htm" TargetMode="External"/><Relationship Id="rId172" Type="http://schemas.openxmlformats.org/officeDocument/2006/relationships/hyperlink" Target="http://www.sec.gov/Archives/edgar/data/1144215/000114421514000108/ayi-20140831xex10iiia46.htm" TargetMode="External"/><Relationship Id="rId174" Type="http://schemas.openxmlformats.org/officeDocument/2006/relationships/hyperlink" Target="http://www.sec.gov/Archives/edgar/data/1144215/000114421515000120/ayi-2015831xex10iiia43.htm" TargetMode="External"/><Relationship Id="rId175" Type="http://schemas.openxmlformats.org/officeDocument/2006/relationships/hyperlink" Target="http://www.sec.gov/Archives/edgar/data/1144215/000114421516000287/ayi-2016831xex10iiia44.htm" TargetMode="External"/><Relationship Id="rId176" Type="http://schemas.openxmlformats.org/officeDocument/2006/relationships/hyperlink" Target="http://www.sec.gov/Archives/edgar/data/1144215/000114421517000106/ayi-20170831xex10iiia45.htm" TargetMode="External"/><Relationship Id="rId177" Type="http://schemas.openxmlformats.org/officeDocument/2006/relationships/hyperlink" Target="http://www.sec.gov/Archives/edgar/data/1144215/000114421519000025/ayi-20181130xex10a.htm" TargetMode="External"/><Relationship Id="rId178" Type="http://schemas.openxmlformats.org/officeDocument/2006/relationships/hyperlink" Target="http://www.sec.gov/Archives/edgar/data/1144215/000114421519000043/ayi-20190228xex10b.htm" TargetMode="External"/><Relationship Id="rId179" Type="http://schemas.openxmlformats.org/officeDocument/2006/relationships/hyperlink" Target="http://www.sec.gov/Archives/edgar/data/1144215/000114421519000114/ayi-20190831xex10iiia51.htm" TargetMode="External"/><Relationship Id="rId180" Type="http://schemas.openxmlformats.org/officeDocument/2006/relationships/hyperlink" Target="http://www.sec.gov/Archives/edgar/data/1144215/000114421519000114/ayi-20190831xex10iiia52.htm" TargetMode="External"/><Relationship Id="rId181" Type="http://schemas.openxmlformats.org/officeDocument/2006/relationships/hyperlink" Target="http://www.sec.gov/Archives/edgar/data/1144215/000114421519000114/ayi-20190831xex10iiia53.htm" TargetMode="External"/><Relationship Id="rId182" Type="http://schemas.openxmlformats.org/officeDocument/2006/relationships/hyperlink" Target="http://www.sec.gov/Archives/edgar/data/0001144215/000114421521000008/ayi-20201130xex10b.htm" TargetMode="External"/><Relationship Id="rId183" Type="http://schemas.openxmlformats.org/officeDocument/2006/relationships/hyperlink" Target="http://www.sec.gov/Archives/edgar/data/1144215/000114421519000114/ayi-20190831xex10iiia54.htm" TargetMode="External"/><Relationship Id="rId184" Type="http://schemas.openxmlformats.org/officeDocument/2006/relationships/hyperlink" Target="http://www.sec.gov/Archives/edgar/data/1144215/000114421519000114/ayi-20190831xex10iiia55.htm" TargetMode="External"/><Relationship Id="rId185" Type="http://schemas.openxmlformats.org/officeDocument/2006/relationships/hyperlink" Target="http://www.sec.gov/Archives/edgar/data/1144215/000114421520000125/ayi-20200831xex10iiia81.htm" TargetMode="External"/><Relationship Id="rId186" Type="http://schemas.openxmlformats.org/officeDocument/2006/relationships/hyperlink" Target="http://www.sec.gov/Archives/edgar/data/1144215/000114421520000125/ayi-20200831xex10iiia82.htm" TargetMode="External"/><Relationship Id="rId187" Type="http://schemas.openxmlformats.org/officeDocument/2006/relationships/hyperlink" Target="http://www.sec.gov/Archives/edgar/data/1144215/000114421520000125/ayi-20200831xex10iiia83.htm" TargetMode="External"/><Relationship Id="rId188" Type="http://schemas.openxmlformats.org/officeDocument/2006/relationships/hyperlink" Target="http://www.sec.gov/Archives/edgar/data/1144215/000114421520000125/ayi-20200831xex10iiia84.htm" TargetMode="External"/><Relationship Id="rId190" Type="http://schemas.openxmlformats.org/officeDocument/2006/relationships/hyperlink" Target="http://www.sec.gov/Archives/edgar/data/1144215/000114421520000125/ayi-20200831xex10iiia85.htm" TargetMode="External"/><Relationship Id="rId191" Type="http://schemas.openxmlformats.org/officeDocument/2006/relationships/hyperlink" Target="http://www.sec.gov/Archives/edgar/data/1144215/000114421520000125/ayi-20200831xex10iiia86.htm" TargetMode="External"/><Relationship Id="rId192" Type="http://schemas.openxmlformats.org/officeDocument/2006/relationships/hyperlink" Target="http://www.sec.gov/Archives/edgar/data/1144215/000114421521000097/ayi-20210831xex10iiia80.htm" TargetMode="External"/><Relationship Id="rId193" Type="http://schemas.openxmlformats.org/officeDocument/2006/relationships/hyperlink" Target="http://www.sec.gov/Archives/edgar/data/1144215/000114421520000125/ayi-20200831xex10iiia87.htm" TargetMode="External"/><Relationship Id="rId194" Type="http://schemas.openxmlformats.org/officeDocument/2006/relationships/hyperlink" Target="http://www.sec.gov/Archives/edgar/data/1144215/000114421520000125/ayi-20200831xex10iiia88.htm" TargetMode="External"/><Relationship Id="rId195" Type="http://schemas.openxmlformats.org/officeDocument/2006/relationships/hyperlink" Target="http://www.sec.gov/Archives/edgar/data/1144215/000114421521000097/ayi-20210831xex10iiia83.htm" TargetMode="External"/><Relationship Id="rId196" Type="http://schemas.openxmlformats.org/officeDocument/2006/relationships/hyperlink" Target="http://www.sec.gov/Archives/edgar/data/1144215/000119312510025834/dex101.htm" TargetMode="External"/><Relationship Id="rId197" Type="http://schemas.openxmlformats.org/officeDocument/2006/relationships/hyperlink" Target="http://www.sec.gov/Archives/edgar/data/1144215/000114421514000037/ayi-20140228xex10iiia1.htm" TargetMode="External"/><Relationship Id="rId198" Type="http://schemas.openxmlformats.org/officeDocument/2006/relationships/hyperlink" Target="http://www.sec.gov/Archives/edgar/data/1144215/000114421514000108/ayi-20140831xex10iiia66.htm" TargetMode="External"/><Relationship Id="rId199" Type="http://schemas.openxmlformats.org/officeDocument/2006/relationships/hyperlink" Target="http://www.sec.gov/Archives/edgar/data/1144215/000114421516000200/ayi-20160229xex10iiia1.htm" TargetMode="External"/><Relationship Id="rId200" Type="http://schemas.openxmlformats.org/officeDocument/2006/relationships/hyperlink" Target="http://www.sec.gov/Archives/edgar/data/1144215/000114421516000287/ayi-2016831xex10iiia70.htm" TargetMode="External"/><Relationship Id="rId201" Type="http://schemas.openxmlformats.org/officeDocument/2006/relationships/hyperlink" Target="http://www.sec.gov/Archives/edgar/data/1144215/000114421517000106/ayi-20170831xex10iiia72.htm" TargetMode="External"/><Relationship Id="rId202" Type="http://schemas.openxmlformats.org/officeDocument/2006/relationships/hyperlink" Target="http://www.sec.gov/Archives/edgar/data/1144215/000114421516000287/ayi-2016831xex10iiia72.htm" TargetMode="External"/><Relationship Id="rId203" Type="http://schemas.openxmlformats.org/officeDocument/2006/relationships/hyperlink" Target="http://www.sec.gov/Archives/edgar/data/1144215/000114421516000287/ayi-2016831xex10iiia73.htm" TargetMode="External"/><Relationship Id="rId204" Type="http://schemas.openxmlformats.org/officeDocument/2006/relationships/hyperlink" Target="http://www.sec.gov/Archives/edgar/data/1144215/000114421521000112/a2021proxystatementdef14a.htm#i7bc6a15f5a1a47b29b01de25c90db6ad_2222" TargetMode="External"/><Relationship Id="rId206" Type="http://schemas.openxmlformats.org/officeDocument/2006/relationships/hyperlink" Target="http://www.sec.gov/Archives/edgar/data/1144215/000114421517000130/a2017proxydef14a.htm#sb719b3f2e0d14bb0948e9c46f7f66dcb" TargetMode="External"/><Relationship Id="rId207" Type="http://schemas.openxmlformats.org/officeDocument/2006/relationships/hyperlink" Target="http://www.sec.gov/Archives/edgar/data/1144215/000114421518000040/ayi-20180228xex10iiia1.htm" TargetMode="External"/><Relationship Id="rId208" Type="http://schemas.openxmlformats.org/officeDocument/2006/relationships/hyperlink" Target="http://www.sec.gov/Archives/edgar/data/1144215/000114421518000040/ayi-20180228xex10iiia3.htm" TargetMode="External"/><Relationship Id="rId209" Type="http://schemas.openxmlformats.org/officeDocument/2006/relationships/hyperlink" Target="http://www.sec.gov/Archives/edgar/data/1144215/000114421522000010/ayi-20211130xex10a.htm" TargetMode="External"/><Relationship Id="rId210" Type="http://schemas.openxmlformats.org/officeDocument/2006/relationships/hyperlink" Target="http://www.sec.gov/Archives/edgar/data/1144215/000114421522000010/ayi-20211130xex10b.htm" TargetMode="External"/><Relationship Id="rId211" Type="http://schemas.openxmlformats.org/officeDocument/2006/relationships/hyperlink" Target="http://www.sec.gov/Archives/edgar/data/1144215/000114421519000114/ayi-20190831xex10iiia93.htm" TargetMode="External"/><Relationship Id="rId212" Type="http://schemas.openxmlformats.org/officeDocument/2006/relationships/hyperlink" Target="http://www.sec.gov/Archives/edgar/data/0001144215/000114421521000008/ayi-20201130xex10c.htm" TargetMode="External"/><Relationship Id="rId213" Type="http://schemas.openxmlformats.org/officeDocument/2006/relationships/hyperlink" Target="http://www.sec.gov/Archives/edgar/data/1144215/000114421519000114/ayi-20190831xex10iiia94.htm" TargetMode="External"/><Relationship Id="rId214" Type="http://schemas.openxmlformats.org/officeDocument/2006/relationships/hyperlink" Target="http://www.sec.gov/Archives/edgar/data/0001144215/000114421521000008/ayi-20201130xex10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2022-10-26T07:35:27Z</dcterms:created>
  <dcterms:modified xsi:type="dcterms:W3CDTF">2022-10-26T07:35:27Z</dcterms:modified>
</cp:coreProperties>
</file>