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3880" w:right="1380" w:hanging="2380"/>
        <w:spacing w:after="0" w:line="442" w:lineRule="auto"/>
        <w:tabs>
          <w:tab w:leader="none" w:pos="247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November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3960" w:type="dxa"/>
            <w:vAlign w:val="bottom"/>
          </w:tcPr>
          <w:p>
            <w:pPr>
              <w:jc w:val="center"/>
              <w:ind w:right="200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1170 Peachtree Street, N.E., Suite 1200, Atlanta, Georgia 30309-7676</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136"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1170 Peachtree Street, N.E., Suite 2300, Atlanta, Georgia 30309-7676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06"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32,051,483 shares as of January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November 30, 2022 (Unaudited) and August 31, 2022</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months ended November 30, 2022 and 2021</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Cash Flows (Unaudited) -- Three months ended November 30, 2022 and 2021</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 and Divestitures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 Recognition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November 30, 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2022</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$1.7 and $1.2, respectively</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584.2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1,466.0</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279.6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1,082.0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1,084.3</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200" w:type="dxa"/>
            <w:vAlign w:val="bottom"/>
          </w:tcPr>
          <w:p>
            <w:pPr>
              <w:spacing w:after="0"/>
              <w:rPr>
                <w:sz w:val="17"/>
                <w:szCs w:val="17"/>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192"/>
        </w:trPr>
        <w:tc>
          <w:tcPr>
            <w:tcW w:w="72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697.6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733.6</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1,568.4</w:t>
            </w:r>
          </w:p>
        </w:tc>
        <w:tc>
          <w:tcPr>
            <w:tcW w:w="0" w:type="dxa"/>
            <w:vAlign w:val="bottom"/>
          </w:tcPr>
          <w:p>
            <w:pPr>
              <w:spacing w:after="0"/>
              <w:rPr>
                <w:sz w:val="1"/>
                <w:szCs w:val="1"/>
                <w:color w:val="auto"/>
              </w:rPr>
            </w:pPr>
          </w:p>
        </w:tc>
      </w:tr>
      <w:tr>
        <w:trPr>
          <w:trHeight w:val="18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80" w:type="dxa"/>
            <w:vAlign w:val="bottom"/>
          </w:tcPr>
          <w:p>
            <w:pPr>
              <w:ind w:left="140"/>
              <w:spacing w:after="0" w:line="149" w:lineRule="exact"/>
              <w:rPr>
                <w:sz w:val="20"/>
                <w:szCs w:val="20"/>
                <w:color w:val="auto"/>
              </w:rPr>
            </w:pPr>
            <w:r>
              <w:rPr>
                <w:rFonts w:ascii="Arial" w:cs="Arial" w:eastAsia="Arial" w:hAnsi="Arial"/>
                <w:sz w:val="14"/>
                <w:szCs w:val="14"/>
                <w:color w:val="auto"/>
              </w:rPr>
              <w:t>Common stock, $0.01 par value; 500,000,000 shares authorized; 54,376,386 and 54,241,069 issued,</w:t>
            </w:r>
          </w:p>
        </w:tc>
        <w:tc>
          <w:tcPr>
            <w:tcW w:w="200" w:type="dxa"/>
            <w:vAlign w:val="bottom"/>
          </w:tcPr>
          <w:p>
            <w:pPr>
              <w:spacing w:after="0"/>
              <w:rPr>
                <w:sz w:val="12"/>
                <w:szCs w:val="12"/>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2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1,036.3</w:t>
            </w:r>
          </w:p>
        </w:tc>
        <w:tc>
          <w:tcPr>
            <w:tcW w:w="0" w:type="dxa"/>
            <w:vAlign w:val="bottom"/>
          </w:tcPr>
          <w:p>
            <w:pPr>
              <w:spacing w:after="0"/>
              <w:rPr>
                <w:sz w:val="1"/>
                <w:szCs w:val="1"/>
                <w:color w:val="auto"/>
              </w:rPr>
            </w:pP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3,246.8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3,176.2</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of 22,225,453 and 21,753,820 shares, respectively</w:t>
            </w: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(2,175.4)</w:t>
            </w: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1,911.8</w:t>
            </w:r>
          </w:p>
        </w:tc>
        <w:tc>
          <w:tcPr>
            <w:tcW w:w="0" w:type="dxa"/>
            <w:vAlign w:val="bottom"/>
          </w:tcPr>
          <w:p>
            <w:pPr>
              <w:spacing w:after="0"/>
              <w:rPr>
                <w:sz w:val="1"/>
                <w:szCs w:val="1"/>
                <w:color w:val="auto"/>
              </w:rPr>
            </w:pPr>
          </w:p>
        </w:tc>
      </w:tr>
      <w:tr>
        <w:trPr>
          <w:trHeight w:val="200"/>
        </w:trPr>
        <w:tc>
          <w:tcPr>
            <w:tcW w:w="728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 2022</w:t>
            </w:r>
          </w:p>
        </w:tc>
        <w:tc>
          <w:tcPr>
            <w:tcW w:w="160" w:type="dxa"/>
            <w:vAlign w:val="bottom"/>
          </w:tcPr>
          <w:p>
            <w:pPr>
              <w:spacing w:after="0"/>
              <w:rPr>
                <w:sz w:val="18"/>
                <w:szCs w:val="18"/>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November 30, 2021</w:t>
            </w:r>
          </w:p>
        </w:tc>
      </w:tr>
      <w:tr>
        <w:trPr>
          <w:trHeight w:val="20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926.1</w:t>
            </w: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540.3</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5"/>
        </w:trPr>
        <w:tc>
          <w:tcPr>
            <w:tcW w:w="74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5"/>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6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5"/>
        </w:trPr>
        <w:tc>
          <w:tcPr>
            <w:tcW w:w="7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6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7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15"/>
        </w:trPr>
        <w:tc>
          <w:tcPr>
            <w:tcW w:w="746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7"/>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items,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0"/>
        </w:trPr>
        <w:tc>
          <w:tcPr>
            <w:tcW w:w="7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r>
      <w:tr>
        <w:trPr>
          <w:trHeight w:val="20"/>
        </w:trPr>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2022</w:t>
            </w:r>
          </w:p>
        </w:tc>
        <w:tc>
          <w:tcPr>
            <w:tcW w:w="160" w:type="dxa"/>
            <w:vAlign w:val="bottom"/>
          </w:tcPr>
          <w:p>
            <w:pPr>
              <w:spacing w:after="0"/>
              <w:rPr>
                <w:sz w:val="18"/>
                <w:szCs w:val="18"/>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2021</w:t>
            </w: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of a business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Repayments on credit facility, net of borrowings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Interest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Segment</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2"/>
          <w:szCs w:val="22"/>
          <w:color w:val="auto"/>
          <w:vertAlign w:val="superscript"/>
        </w:rPr>
        <w:t>®</w:t>
      </w:r>
      <w:r>
        <w:rPr>
          <w:rFonts w:ascii="Arial" w:cs="Arial" w:eastAsia="Arial" w:hAnsi="Arial"/>
          <w:sz w:val="17"/>
          <w:szCs w:val="17"/>
          <w:color w:val="auto"/>
        </w:rPr>
        <w:t>, Holophane</w:t>
      </w:r>
      <w:r>
        <w:rPr>
          <w:rFonts w:ascii="Arial" w:cs="Arial" w:eastAsia="Arial" w:hAnsi="Arial"/>
          <w:sz w:val="22"/>
          <w:szCs w:val="22"/>
          <w:color w:val="auto"/>
          <w:vertAlign w:val="superscript"/>
        </w:rPr>
        <w:t>®</w:t>
      </w:r>
      <w:r>
        <w:rPr>
          <w:rFonts w:ascii="Arial" w:cs="Arial" w:eastAsia="Arial" w:hAnsi="Arial"/>
          <w:sz w:val="17"/>
          <w:szCs w:val="17"/>
          <w:color w:val="auto"/>
        </w:rPr>
        <w:t>, Peerless</w:t>
      </w:r>
      <w:r>
        <w:rPr>
          <w:rFonts w:ascii="Arial" w:cs="Arial" w:eastAsia="Arial" w:hAnsi="Arial"/>
          <w:sz w:val="22"/>
          <w:szCs w:val="22"/>
          <w:color w:val="auto"/>
          <w:vertAlign w:val="superscript"/>
        </w:rPr>
        <w:t>®</w:t>
      </w:r>
      <w:r>
        <w:rPr>
          <w:rFonts w:ascii="Arial" w:cs="Arial" w:eastAsia="Arial" w:hAnsi="Arial"/>
          <w:sz w:val="17"/>
          <w:szCs w:val="17"/>
          <w:color w:val="auto"/>
        </w:rPr>
        <w:t>, Gotham</w:t>
      </w:r>
      <w:r>
        <w:rPr>
          <w:rFonts w:ascii="Arial" w:cs="Arial" w:eastAsia="Arial" w:hAnsi="Arial"/>
          <w:sz w:val="22"/>
          <w:szCs w:val="22"/>
          <w:color w:val="auto"/>
          <w:vertAlign w:val="superscript"/>
        </w:rPr>
        <w:t>®</w:t>
      </w:r>
      <w:r>
        <w:rPr>
          <w:rFonts w:ascii="Arial" w:cs="Arial" w:eastAsia="Arial" w:hAnsi="Arial"/>
          <w:sz w:val="17"/>
          <w:szCs w:val="17"/>
          <w:color w:val="auto"/>
        </w:rPr>
        <w:t>, Mark Architectural Lighting</w:t>
      </w:r>
      <w:r>
        <w:rPr>
          <w:rFonts w:ascii="Arial" w:cs="Arial" w:eastAsia="Arial" w:hAnsi="Arial"/>
          <w:sz w:val="22"/>
          <w:szCs w:val="22"/>
          <w:color w:val="auto"/>
          <w:vertAlign w:val="superscript"/>
        </w:rPr>
        <w:t>TM</w:t>
      </w:r>
      <w:r>
        <w:rPr>
          <w:rFonts w:ascii="Arial" w:cs="Arial" w:eastAsia="Arial" w:hAnsi="Arial"/>
          <w:sz w:val="17"/>
          <w:szCs w:val="17"/>
          <w:color w:val="auto"/>
        </w:rPr>
        <w:t>, Juno</w:t>
      </w:r>
      <w:r>
        <w:rPr>
          <w:rFonts w:ascii="Arial" w:cs="Arial" w:eastAsia="Arial" w:hAnsi="Arial"/>
          <w:sz w:val="22"/>
          <w:szCs w:val="22"/>
          <w:color w:val="auto"/>
          <w:vertAlign w:val="superscript"/>
        </w:rPr>
        <w:t>®</w:t>
      </w:r>
      <w:r>
        <w:rPr>
          <w:rFonts w:ascii="Arial" w:cs="Arial" w:eastAsia="Arial" w:hAnsi="Arial"/>
          <w:sz w:val="17"/>
          <w:szCs w:val="17"/>
          <w:color w:val="auto"/>
        </w:rPr>
        <w:t>, Indy</w:t>
      </w:r>
      <w:r>
        <w:rPr>
          <w:rFonts w:ascii="Arial" w:cs="Arial" w:eastAsia="Arial" w:hAnsi="Arial"/>
          <w:sz w:val="22"/>
          <w:szCs w:val="22"/>
          <w:color w:val="auto"/>
          <w:vertAlign w:val="superscript"/>
        </w:rPr>
        <w:t>TM</w:t>
      </w:r>
      <w:r>
        <w:rPr>
          <w:rFonts w:ascii="Arial" w:cs="Arial" w:eastAsia="Arial" w:hAnsi="Arial"/>
          <w:sz w:val="17"/>
          <w:szCs w:val="17"/>
          <w:color w:val="auto"/>
        </w:rPr>
        <w:t>, Aculux</w:t>
      </w:r>
      <w:r>
        <w:rPr>
          <w:rFonts w:ascii="Arial" w:cs="Arial" w:eastAsia="Arial" w:hAnsi="Arial"/>
          <w:sz w:val="22"/>
          <w:szCs w:val="22"/>
          <w:color w:val="auto"/>
          <w:vertAlign w:val="superscript"/>
        </w:rPr>
        <w:t>TM</w:t>
      </w:r>
      <w:r>
        <w:rPr>
          <w:rFonts w:ascii="Arial" w:cs="Arial" w:eastAsia="Arial" w:hAnsi="Arial"/>
          <w:sz w:val="17"/>
          <w:szCs w:val="17"/>
          <w:color w:val="auto"/>
        </w:rPr>
        <w:t>, Healthcare Lighting</w:t>
      </w:r>
      <w:r>
        <w:rPr>
          <w:rFonts w:ascii="Arial" w:cs="Arial" w:eastAsia="Arial" w:hAnsi="Arial"/>
          <w:sz w:val="22"/>
          <w:szCs w:val="22"/>
          <w:color w:val="auto"/>
          <w:vertAlign w:val="superscript"/>
        </w:rPr>
        <w:t>®</w:t>
      </w:r>
      <w:r>
        <w:rPr>
          <w:rFonts w:ascii="Arial" w:cs="Arial" w:eastAsia="Arial" w:hAnsi="Arial"/>
          <w:sz w:val="17"/>
          <w:szCs w:val="17"/>
          <w:color w:val="auto"/>
        </w:rPr>
        <w:t>, Hydrel</w:t>
      </w:r>
      <w:r>
        <w:rPr>
          <w:rFonts w:ascii="Arial" w:cs="Arial" w:eastAsia="Arial" w:hAnsi="Arial"/>
          <w:sz w:val="22"/>
          <w:szCs w:val="22"/>
          <w:color w:val="auto"/>
          <w:vertAlign w:val="superscript"/>
        </w:rPr>
        <w:t>®</w:t>
      </w:r>
      <w:r>
        <w:rPr>
          <w:rFonts w:ascii="Arial" w:cs="Arial" w:eastAsia="Arial" w:hAnsi="Arial"/>
          <w:sz w:val="17"/>
          <w:szCs w:val="17"/>
          <w:color w:val="auto"/>
        </w:rPr>
        <w:t>, American Electric Lighting</w:t>
      </w:r>
      <w:r>
        <w:rPr>
          <w:rFonts w:ascii="Arial" w:cs="Arial" w:eastAsia="Arial" w:hAnsi="Arial"/>
          <w:sz w:val="22"/>
          <w:szCs w:val="22"/>
          <w:color w:val="auto"/>
          <w:vertAlign w:val="superscript"/>
        </w:rPr>
        <w:t>®</w:t>
      </w:r>
      <w:r>
        <w:rPr>
          <w:rFonts w:ascii="Arial" w:cs="Arial" w:eastAsia="Arial" w:hAnsi="Arial"/>
          <w:sz w:val="17"/>
          <w:szCs w:val="17"/>
          <w:color w:val="auto"/>
        </w:rPr>
        <w:t>, eldoLED</w:t>
      </w:r>
      <w:r>
        <w:rPr>
          <w:rFonts w:ascii="Arial" w:cs="Arial" w:eastAsia="Arial" w:hAnsi="Arial"/>
          <w:sz w:val="22"/>
          <w:szCs w:val="22"/>
          <w:color w:val="auto"/>
          <w:vertAlign w:val="superscript"/>
        </w:rPr>
        <w:t>®</w:t>
      </w:r>
      <w:r>
        <w:rPr>
          <w:rFonts w:ascii="Arial" w:cs="Arial" w:eastAsia="Arial" w:hAnsi="Arial"/>
          <w:sz w:val="17"/>
          <w:szCs w:val="17"/>
          <w:color w:val="auto"/>
        </w:rPr>
        <w:t>, nLight</w:t>
      </w:r>
      <w:r>
        <w:rPr>
          <w:rFonts w:ascii="Arial" w:cs="Arial" w:eastAsia="Arial" w:hAnsi="Arial"/>
          <w:sz w:val="22"/>
          <w:szCs w:val="22"/>
          <w:color w:val="auto"/>
          <w:vertAlign w:val="superscript"/>
        </w:rPr>
        <w:t>®</w:t>
      </w:r>
      <w:r>
        <w:rPr>
          <w:rFonts w:ascii="Arial" w:cs="Arial" w:eastAsia="Arial" w:hAnsi="Arial"/>
          <w:sz w:val="17"/>
          <w:szCs w:val="17"/>
          <w:color w:val="auto"/>
        </w:rPr>
        <w:t>, Sensor Switch</w:t>
      </w:r>
      <w:r>
        <w:rPr>
          <w:rFonts w:ascii="Arial" w:cs="Arial" w:eastAsia="Arial" w:hAnsi="Arial"/>
          <w:sz w:val="22"/>
          <w:szCs w:val="22"/>
          <w:color w:val="auto"/>
          <w:vertAlign w:val="superscript"/>
        </w:rPr>
        <w:t>®</w:t>
      </w:r>
      <w:r>
        <w:rPr>
          <w:rFonts w:ascii="Arial" w:cs="Arial" w:eastAsia="Arial" w:hAnsi="Arial"/>
          <w:sz w:val="17"/>
          <w:szCs w:val="17"/>
          <w:color w:val="auto"/>
        </w:rPr>
        <w:t>, IOTA</w:t>
      </w:r>
      <w:r>
        <w:rPr>
          <w:rFonts w:ascii="Arial" w:cs="Arial" w:eastAsia="Arial" w:hAnsi="Arial"/>
          <w:sz w:val="22"/>
          <w:szCs w:val="22"/>
          <w:color w:val="auto"/>
          <w:vertAlign w:val="superscript"/>
        </w:rPr>
        <w:t>®</w:t>
      </w:r>
      <w:r>
        <w:rPr>
          <w:rFonts w:ascii="Arial" w:cs="Arial" w:eastAsia="Arial" w:hAnsi="Arial"/>
          <w:sz w:val="17"/>
          <w:szCs w:val="17"/>
          <w:color w:val="auto"/>
        </w:rPr>
        <w:t>, A-Light</w:t>
      </w:r>
      <w:r>
        <w:rPr>
          <w:rFonts w:ascii="Arial" w:cs="Arial" w:eastAsia="Arial" w:hAnsi="Arial"/>
          <w:sz w:val="22"/>
          <w:szCs w:val="22"/>
          <w:color w:val="auto"/>
          <w:vertAlign w:val="superscript"/>
        </w:rPr>
        <w:t>TM</w:t>
      </w:r>
      <w:r>
        <w:rPr>
          <w:rFonts w:ascii="Arial" w:cs="Arial" w:eastAsia="Arial" w:hAnsi="Arial"/>
          <w:sz w:val="17"/>
          <w:szCs w:val="17"/>
          <w:color w:val="auto"/>
        </w:rPr>
        <w:t>, Cyclone</w:t>
      </w:r>
      <w:r>
        <w:rPr>
          <w:rFonts w:ascii="Arial" w:cs="Arial" w:eastAsia="Arial" w:hAnsi="Arial"/>
          <w:sz w:val="22"/>
          <w:szCs w:val="22"/>
          <w:color w:val="auto"/>
          <w:vertAlign w:val="superscript"/>
        </w:rPr>
        <w:t>TM</w:t>
      </w:r>
      <w:r>
        <w:rPr>
          <w:rFonts w:ascii="Arial" w:cs="Arial" w:eastAsia="Arial" w:hAnsi="Arial"/>
          <w:sz w:val="17"/>
          <w:szCs w:val="17"/>
          <w:color w:val="auto"/>
        </w:rPr>
        <w:t>, Eureka</w:t>
      </w:r>
      <w:r>
        <w:rPr>
          <w:rFonts w:ascii="Arial" w:cs="Arial" w:eastAsia="Arial" w:hAnsi="Arial"/>
          <w:sz w:val="22"/>
          <w:szCs w:val="22"/>
          <w:color w:val="auto"/>
          <w:vertAlign w:val="superscript"/>
        </w:rPr>
        <w:t>®</w:t>
      </w:r>
      <w:r>
        <w:rPr>
          <w:rFonts w:ascii="Arial" w:cs="Arial" w:eastAsia="Arial" w:hAnsi="Arial"/>
          <w:sz w:val="17"/>
          <w:szCs w:val="17"/>
          <w:color w:val="auto"/>
        </w:rPr>
        <w:t>, Luminaire LED</w:t>
      </w:r>
      <w:r>
        <w:rPr>
          <w:rFonts w:ascii="Arial" w:cs="Arial" w:eastAsia="Arial" w:hAnsi="Arial"/>
          <w:sz w:val="22"/>
          <w:szCs w:val="22"/>
          <w:color w:val="auto"/>
          <w:vertAlign w:val="superscript"/>
        </w:rPr>
        <w:t>TM</w:t>
      </w:r>
      <w:r>
        <w:rPr>
          <w:rFonts w:ascii="Arial" w:cs="Arial" w:eastAsia="Arial" w:hAnsi="Arial"/>
          <w:sz w:val="17"/>
          <w:szCs w:val="17"/>
          <w:color w:val="auto"/>
        </w:rPr>
        <w:t>, Luminis</w:t>
      </w:r>
      <w:r>
        <w:rPr>
          <w:rFonts w:ascii="Arial" w:cs="Arial" w:eastAsia="Arial" w:hAnsi="Arial"/>
          <w:sz w:val="22"/>
          <w:szCs w:val="22"/>
          <w:color w:val="auto"/>
          <w:vertAlign w:val="superscript"/>
        </w:rPr>
        <w:t>®</w:t>
      </w:r>
      <w:r>
        <w:rPr>
          <w:rFonts w:ascii="Arial" w:cs="Arial" w:eastAsia="Arial" w:hAnsi="Arial"/>
          <w:sz w:val="17"/>
          <w:szCs w:val="17"/>
          <w:color w:val="auto"/>
        </w:rPr>
        <w:t>, Dark to Light</w:t>
      </w:r>
      <w:r>
        <w:rPr>
          <w:rFonts w:ascii="Arial" w:cs="Arial" w:eastAsia="Arial" w:hAnsi="Arial"/>
          <w:sz w:val="22"/>
          <w:szCs w:val="22"/>
          <w:color w:val="auto"/>
          <w:vertAlign w:val="superscript"/>
        </w:rPr>
        <w:t>®</w:t>
      </w:r>
      <w:r>
        <w:rPr>
          <w:rFonts w:ascii="Arial" w:cs="Arial" w:eastAsia="Arial" w:hAnsi="Arial"/>
          <w:sz w:val="17"/>
          <w:szCs w:val="17"/>
          <w:color w:val="auto"/>
        </w:rPr>
        <w:t>, RELOC</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Wiring Solutions, and OPTOTRONIC</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Our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 company-managed truck fleet. To serve international customers, our sales forces utilize a variety of distribution methods to meet specific individual customer or country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the three months ended November 30, 2022 and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 Segment</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ISG delivers products and services that make spaces smarter, safer, and greener. ISG offers a building management platform and location-aware applications. Our building management platform includes products for controlling heating, ventilation, and air conditioning (“HVAC”), lighting, shades, and building access that deliver end-to-end optimization of those building systems.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intelligent building software enhances the occupant experience, improves building system management, and automates labor intensive tasks while delivering operational energy efficiency and cost reductions. Through a connected and converged building system architecture,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software delivers different applications, allows clients to upgrade over time with natural refresh cycles, and deploys new capabilities through both software and hardware updates. Customers of ISG primarily include system integrators as well as retail stores, airports, and enterprise campuses throughout North America and select international locations. ISG products and solutions are marketed under multiple brand names, including but not limited to Distech Controls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Atrius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the three months ended November 30, 2022 and 2021.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November 30, 2022, our consolidated comprehensive income for the three months ended November 30, 2022 and 2021, and our consolidated cash flows for the three months ended November 30, 2022 and 2021.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2022 and notes thereto included in our Annual Report on Form 10-K filed with the Securities and Exchange Commission (the “SEC”) on October 26, 2022 (File No. 001-16583) (“Form 10-K”).</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months ended November 30, 2022 are not necessarily indicative of the results to be expected for the full fiscal 2023 year due primarily to continued uncertainty of general economic conditions that may impact our key end markets for the remainder of fiscal 2023; the impact of inflation; component shortages; disruptions in the global supply chain; seasonality; and the impact of any acquisitions and/or divestitures, among other reasons. We are uncertain of the future impact of the ongoing COVID-19 pandemic or recovery of prior deterioration in economic conditions to our sales channels, supply chain, manufacturing, and distribution as well as overall construction, renovation, and consumer spending. Additionally, 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acquisitions during fiscal 2023 or fiscal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first quarter of fiscal 2023, we committed to a plan to sell our Sunoptics prismatic skylights business. We completed the sale of the business on November 10, 2022, and we transferred assets with a total carrying value of $15.1 million, which primarily consisted of intangibles with definite lives, inventories, and allocated goodwill from the ABL segment. We recognized a pre-tax loss on the sale of $11.2 million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Additionally, we recorded impairment charges for certain retained assets as well as associate severance and other costs related to the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further details.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1"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Accounting Standards Update (“ASU”) 2021-08, Business Combinations (Topic 805): Accounting for Contract Assets and Contract Liabilities from Contracts with Customers (“ASU 2021-08”)</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Financial Accounting Standards Board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We are currently assessing the impacts of ASU 2021-08 to determine whether we will adopt early or in fiscal 2024. Amendments within the standard are required to be applied on a prospective basis from the date of adoption. We will apply the provisions of ASU 2021-08 after adoption to future acquisitions, if 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w:t>
      </w:r>
    </w:p>
    <w:p>
      <w:pPr>
        <w:spacing w:after="0" w:line="1" w:lineRule="exact"/>
        <w:rPr>
          <w:sz w:val="20"/>
          <w:szCs w:val="20"/>
          <w:color w:val="auto"/>
        </w:rPr>
      </w:pPr>
    </w:p>
    <w:p>
      <w:pPr>
        <w:jc w:val="both"/>
        <w:ind w:firstLine="8"/>
        <w:spacing w:after="0" w:line="258"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$284.1 million and $223.2 million as of November 30, 2022 and August 31, 2022, respectively.</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hold a small number of strategic investments totaling $12.0 million and $11.9 million as of November 30, 2022 and August 31, 2022, respectively. These investments are primarily equity instruments in privately-held entities over which we do not exercise significant influence or control. We generally account for these investments at fair value on a recurring basis; however, these investments do not have readily determinable fair value.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to measure these investments at cost less any impairment adjusted for observable price changes, if any. As such, these investments are excluded from the fair value hierarchy.</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the fair values of these financial instruments during the three months ended November 30, 2022 and 2021 were not material to our financial condition,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$388.4 million and $399.2 million as of November 30, 2022 and August 31, 2022, respectively. The decrease in fair value is due to increases in market bond yields since the end of fiscal 2022. We had no short-term borrowings and $18.0 million of short-term borrowings outstanding under our revolving credit facility as of November 30, 2022 and August 31, 2022, respectively. These borrowings are variable-rate instruments that reset on a frequent short-term basis; therefore, we estimate that any outstanding carrying values, which are equal to the face amounts, of these instruments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details on our outstanding borrowings.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2022</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2022</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667.6</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891.9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w:t>
            </w:r>
          </w:p>
        </w:tc>
      </w:tr>
      <w:tr>
        <w:trPr>
          <w:trHeight w:val="21"/>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recorded amortization expense for definite-lived intangible assets of $13.6 million and $ 10.3 million during the three months ended November 30, 2022 and 2021, respectively. Amortization expense is generally recorded on a straight-line basis and is expected to be approximately $41.5 million in fiscal 2023, $36.9 million in fiscal 2024, $29.4 million in fiscal 2025, $26.7 million in fiscal 2026, and $25.2 million in fiscal 2027.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2022</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Derecognitions for divestitures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as of November 30, 2022</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1,013.1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1,082.0</w:t>
            </w:r>
          </w:p>
        </w:tc>
      </w:tr>
      <w:tr>
        <w:trPr>
          <w:trHeight w:val="21"/>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1,022.2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1,094.7</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November 30, 2021</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1,019.2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2022</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2022</w:t>
            </w:r>
          </w:p>
        </w:tc>
      </w:tr>
      <w:tr>
        <w:trPr>
          <w:trHeight w:val="209"/>
        </w:trPr>
        <w:tc>
          <w:tcPr>
            <w:tcW w:w="7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within our Form 10-K for additional information.</w:t>
      </w:r>
    </w:p>
    <w:p>
      <w:pPr>
        <w:ind w:left="640" w:hanging="308"/>
        <w:spacing w:after="0" w:line="187" w:lineRule="auto"/>
        <w:tabs>
          <w:tab w:leader="none" w:pos="6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tabs>
          <w:tab w:leader="none" w:pos="6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accruals for income, sales and use, and value added taxes.</w:t>
      </w:r>
    </w:p>
    <w:p>
      <w:pPr>
        <w:spacing w:after="0" w:line="14" w:lineRule="exact"/>
        <w:rPr>
          <w:rFonts w:ascii="Arial" w:cs="Arial" w:eastAsia="Arial" w:hAnsi="Arial"/>
          <w:sz w:val="9"/>
          <w:szCs w:val="9"/>
          <w:color w:val="auto"/>
        </w:rPr>
      </w:pPr>
    </w:p>
    <w:p>
      <w:pPr>
        <w:ind w:left="640" w:hanging="308"/>
        <w:spacing w:after="0" w:line="193" w:lineRule="auto"/>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The Unsecured Notes are fully and unconditionally guaranteed on a senior unsecured basis by Acuity Brands, Inc. and ABL IP Holding LLC, a wholly-owned subsidiary of Acuity Brands, Inc. The Unsecured Notes bear interest at a rate of 2.150% per annum and were issued at a price equal to 99.737% of their face value. Interest on the Unsecured Notes is paid semi-annually in arrears on June 15 and December 15 of each year. The Unsecured Notes are fully and unconditionally guaranteed on a senior unsecured basis by Acuity Brands, Inc. and ABL IP Holding LLC, a wholly-owned subsidiary of Acuity Brands, Inc. Additionally, we recorded $4.8 million of deferred issuance costs related to the Unsecured Notes as a direct deduction from the face amount of the Unsecured Notes. These issuance costs are amortized over the 10-year term of the Unsecured Notes.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at November 30, 2022 and $18.0 million in short-term borrowings at August 31, 2022 outstanding under the Revolving Credit Facility.</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Revolving Credit Facility uses the Secured Overnight Financing Rate (“SOFR”) as the applicable benchmark for U.S. Dollar borrowings and an applicable benchmark rate for non-U.S. Dollar borrowings as defined in the Credit Agreement. The applicable margin pricing grid mechanics are based on the better of our public credit ratings or our net leverage ratio and range from 0.80% to 1.20% for base rate borrowings and from 0.00% to 0.20% for floating rate advances. We are also required to pay certain fees in connection with the Credit Agreement, including administrative service fees and annual facility fees, which range from 0.075% to 0.175% of the aggregate $600.0 million remaining commitment of the lenders under the Credit Agreement.</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a leverage ratio covenant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Maximum Leverage Ratio of 3.75 (subject to a temporary increase to 4.25 in the event of a significant acquisition) and allows netting of all unrestricted cash and cash equivalents against debt.</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financial covenants under the Credit Agreement as of November 30, 2022. At November 30, 2022, we had additional borrowing capacity under the Credit Agreement of $595.9 million under the most restrictive covenant in effect at the time, which represents the full amount of the Revolving Credit Facility less outstanding letters of credit of $4.1 million issued under the Revolving Credit Facility, primarily for securing collateral requirements under our casualty insurance programs.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2022</w:t>
            </w:r>
          </w:p>
        </w:tc>
        <w:tc>
          <w:tcPr>
            <w:tcW w:w="20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November 30, 2021</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rPr>
              <w:t>6.2</w:t>
            </w:r>
          </w:p>
        </w:tc>
      </w:tr>
      <w:tr>
        <w:trPr>
          <w:trHeight w:val="21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rPr>
              <w:t>(0.3)</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w w:val="98"/>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rPr>
              <w:t>5.9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November 30, 2022,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other than the items discussed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products generally have a standard warranty term of five years that assures our products comply with agreed upon specifications. We record an accrual for the estimated amount of future warranty costs when the related revenue is recognized. Estimated future warranty 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based on the expected timing of receipt of recovery.</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November 30, 2022</w:t>
            </w: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November 30, 2021</w:t>
            </w:r>
          </w:p>
        </w:tc>
      </w:tr>
      <w:tr>
        <w:trPr>
          <w:trHeight w:val="208"/>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215"/>
        </w:trPr>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1062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-316865</wp:posOffset>
            </wp:positionV>
            <wp:extent cx="71062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previously disclosed, on October 1, 2021, certain alleged shareholders of the Company filed a putative derivative complaint in the United States District Court for the Northern District of Georgia asserting claims against three former executives for breach of fiduciary duty and certain other claims (the “Derivative Complaint”). The Company is named as a nominal defendant, and the plaintiffs seek on behalf of the Company unspecified damages from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individual defendants and other relief. Prior to filing the Derivative Complaint, the derivative plaintiffs sent letters to the Company’s Board of Directors (the “Board”) demanding that the Company investigate and pursue substantially the same claims against the individual defendants that are asserted in the Derivative Complaint. The Company’s Board formed a demand evaluation committee consisting of independent directors to investigate these matters and make a recommendation to the Board regarding the best interests of the Company in connection therewith. On December 14, 2021, the Company filed a motion to stay the derivative action pending the conclusion of the related securities class action or, in the alternative, to dismiss the derivative action without prejudice as premature, given the demand evaluation committee’s ongoing work. Also on December 14, 2021, the individual defendants filed a motion to dismiss the Derivative Complaint for failure to adequately plead any claim for relief against them.</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 2022, the Court entered a stipulated consent order extending the deadline for the individual defendants and the Company to answer, move against, or otherwise respond to the Derivative Complaint until thirty days after the filing of an amended complaint or the designation of an operative complaint. Subsequently, the demand evaluation committee completed its investigation and recommended that the Board reject the demands and direct the Company to seek dismissal of the Derivative Complaint. The Board approved and adopted the recommendation from the committee and rejected the demands and directed the Company to seek dismissal of the Derivative Complaint. The parties advised the Court of the Board’s decision during the status conference held on October 6, 2022. The Court directed the parties to submit a written status report within forty-five days as to the litigation.</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subsequently negotiated a Stipulated Confidentially Agreement, which was filed with the Court on October 31, 2022. Pursuant to the Stipulated Confidentiality Agreement and Order, the Company produced the demand evaluation committee report and recommendation regarding the claims asserted in the Derivative Complaint, along with exhibits, to the plaintiffs for review. On December 21, 2022, the parties filed a joint status report notifying the Court that the plaintiffs had completed their review of the demand evaluation committee report and that the parties expect to update the Court by January 20, 2023 regarding the next steps in the litigation.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Incidents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14, 2022, a former employee filed a putative class action complaint against the Company in the United States District Court for the Northern District of Georgia on behalf of all persons whose personal information was compromised as a result of data security incidents we experienced in October 2020 and/or December 2021. The plaintiff alleges that the Company failed to exercise reasonable caution in securing and safeguarding her and the other putative class members’ personal information, and on that basis, asserts claims for negligence, breach of contract, breach of implied contract, unjust enrichment, and breach of fiduciary duty. The plaintiff seeks class certification, unspecified monetary damages, certain injunctive relief regarding our data-security measures, additional credit-monitoring services, other equitable relief (including disgorgement), attorneys’ fees, costs, and pre- and post-judgment interest. We dispute the allegations in the complaint and, given the recency of the lawsuit, are planning our response strategy, which we currently expect to include a vigorous defense of the claims.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particularly where the matters involve indeterminate claims for monetary damages and are in the early stages of the proceedings where key evidential and legal issues have not been resolved. In addition, we have received inquiries from, and it is also possible that investigations or other actions are taken by, state and/or federal agencies regarding the data security incidents and related data privacy matters. For these reasons, we are currently unable to predict the ultimate timing or outcome of or reasonably estimate the possible losses or a range of possible losses resulting from the matters described above. We have insurance, subject to certain terms and conditions, for these types of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However, we cannot make a meaningful estimate of actual costs to be incurred that could possibly be higher or lower than the accrued amounts.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6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2022</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2022</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6"/>
              </w:rPr>
              <w:t>Common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9"/>
                <w:szCs w:val="9"/>
                <w:color w:val="auto"/>
              </w:rPr>
            </w:pPr>
          </w:p>
        </w:tc>
        <w:tc>
          <w:tcPr>
            <w:tcW w:w="13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rPr>
              <w:t>Treasury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2021</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9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 2022</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53.1</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service-type warranty fees collected prior to performing the related service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recognized from beginning balances of contract liabilities during the three months ended November 30, 2022 totaled $3.9 million.</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generally expected to be satisfied within one year from November 30, 2022 and consist primarily of orders for physical goods that have not yet been shipped.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2022</w:t>
            </w:r>
          </w:p>
        </w:tc>
        <w:tc>
          <w:tcPr>
            <w:tcW w:w="16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2021</w:t>
            </w:r>
          </w:p>
        </w:tc>
      </w:tr>
      <w:tr>
        <w:trPr>
          <w:trHeight w:val="196"/>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5"/>
        </w:trPr>
        <w:tc>
          <w:tcPr>
            <w:tcW w:w="73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673.7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636.8</w:t>
            </w:r>
          </w:p>
        </w:tc>
      </w:tr>
      <w:tr>
        <w:trPr>
          <w:trHeight w:val="217"/>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5"/>
        </w:trPr>
        <w:tc>
          <w:tcPr>
            <w:tcW w:w="73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17"/>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5"/>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883.6</w:t>
            </w: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ISG</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926.1</w:t>
            </w: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stock units, and restricted stock (all part of our equity incentive plan), as well as stock units representing certain deferrals into our director deferred compensation plan or our supplemental deferred savings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2022</w:t>
            </w:r>
          </w:p>
        </w:tc>
        <w:tc>
          <w:tcPr>
            <w:tcW w:w="18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2021</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recognized excess tax benefits of $1.3 million and $4.2 million related to share-based payment awards during the three months ended November 30, 2022 and 2021, respectively.</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ind w:left="104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2022</w:t>
            </w:r>
          </w:p>
        </w:tc>
        <w:tc>
          <w:tcPr>
            <w:tcW w:w="18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November 30, 2021</w:t>
            </w:r>
          </w:p>
        </w:tc>
      </w:tr>
      <w:tr>
        <w:trPr>
          <w:trHeight w:val="20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rPr>
              <w:t>1.2</w:t>
            </w: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left="1359"/>
              <w:spacing w:after="0"/>
              <w:rPr>
                <w:sz w:val="20"/>
                <w:szCs w:val="20"/>
                <w:color w:val="auto"/>
              </w:rPr>
            </w:pPr>
            <w:r>
              <w:rPr>
                <w:rFonts w:ascii="Arial" w:cs="Arial" w:eastAsia="Arial" w:hAnsi="Arial"/>
                <w:sz w:val="16"/>
                <w:szCs w:val="16"/>
                <w:color w:val="auto"/>
              </w:rPr>
              <w:t>1.5</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w w:val="97"/>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rPr>
              <w:t>(3.4)</w:t>
            </w: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left="1359"/>
              <w:spacing w:after="0"/>
              <w:rPr>
                <w:sz w:val="20"/>
                <w:szCs w:val="20"/>
                <w:color w:val="auto"/>
              </w:rPr>
            </w:pPr>
            <w:r>
              <w:rPr>
                <w:rFonts w:ascii="Arial" w:cs="Arial" w:eastAsia="Arial" w:hAnsi="Arial"/>
                <w:sz w:val="16"/>
                <w:szCs w:val="16"/>
                <w:color w:val="auto"/>
              </w:rPr>
              <w:t>0.7</w:t>
            </w: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center"/>
              <w:ind w:left="1359"/>
              <w:spacing w:after="0"/>
              <w:rPr>
                <w:sz w:val="20"/>
                <w:szCs w:val="20"/>
                <w:color w:val="auto"/>
              </w:rPr>
            </w:pPr>
            <w:r>
              <w:rPr>
                <w:rFonts w:ascii="Arial" w:cs="Arial" w:eastAsia="Arial" w:hAnsi="Arial"/>
                <w:sz w:val="16"/>
                <w:szCs w:val="16"/>
                <w:color w:val="auto"/>
              </w:rPr>
              <w:t>0.9</w:t>
            </w:r>
          </w:p>
        </w:tc>
      </w:tr>
      <w:tr>
        <w:trPr>
          <w:trHeight w:val="210"/>
        </w:trPr>
        <w:tc>
          <w:tcPr>
            <w:tcW w:w="712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center"/>
              <w:ind w:left="1359"/>
              <w:spacing w:after="0"/>
              <w:rPr>
                <w:sz w:val="20"/>
                <w:szCs w:val="20"/>
                <w:color w:val="auto"/>
              </w:rPr>
            </w:pPr>
            <w:r>
              <w:rPr>
                <w:rFonts w:ascii="Arial" w:cs="Arial" w:eastAsia="Arial" w:hAnsi="Arial"/>
                <w:sz w:val="16"/>
                <w:szCs w:val="16"/>
                <w:color w:val="auto"/>
              </w:rPr>
              <w:t>0.9</w:t>
            </w: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first three months of fiscal 2023, we recognized pre-tax special charges of $6.9 million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of Comprehensive Income </w:t>
      </w:r>
      <w:r>
        <w:rPr>
          <w:rFonts w:ascii="Arial" w:cs="Arial" w:eastAsia="Arial" w:hAnsi="Arial"/>
          <w:sz w:val="18"/>
          <w:szCs w:val="18"/>
          <w:color w:val="auto"/>
        </w:rPr>
        <w:t>primarily for impairments of operating lease right-of-use assets for $4.3 million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owned Sunoptics prismatic skylights business that were not transferred in connection with the sale. We additionally recognized associate severance and other costs totaling $2.6 million primarily in connection with the Sunoptics divestiture.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30, 2022</w:t>
            </w:r>
          </w:p>
        </w:tc>
        <w:tc>
          <w:tcPr>
            <w:tcW w:w="180" w:type="dxa"/>
            <w:vAlign w:val="bottom"/>
          </w:tcPr>
          <w:p>
            <w:pPr>
              <w:spacing w:after="0"/>
              <w:rPr>
                <w:sz w:val="17"/>
                <w:szCs w:val="17"/>
                <w:color w:val="auto"/>
              </w:rPr>
            </w:pPr>
          </w:p>
        </w:tc>
        <w:tc>
          <w:tcPr>
            <w:tcW w:w="1640" w:type="dxa"/>
            <w:vAlign w:val="bottom"/>
          </w:tcPr>
          <w:p>
            <w:pPr>
              <w:jc w:val="right"/>
              <w:ind w:right="188"/>
              <w:spacing w:after="0"/>
              <w:rPr>
                <w:sz w:val="20"/>
                <w:szCs w:val="20"/>
                <w:color w:val="auto"/>
              </w:rPr>
            </w:pPr>
            <w:r>
              <w:rPr>
                <w:rFonts w:ascii="Arial" w:cs="Arial" w:eastAsia="Arial" w:hAnsi="Arial"/>
                <w:sz w:val="14"/>
                <w:szCs w:val="14"/>
                <w:b w:val="1"/>
                <w:bCs w:val="1"/>
                <w:color w:val="auto"/>
              </w:rPr>
              <w:t>November 30, 2021</w:t>
            </w:r>
          </w:p>
        </w:tc>
        <w:tc>
          <w:tcPr>
            <w:tcW w:w="0" w:type="dxa"/>
            <w:vAlign w:val="bottom"/>
          </w:tcPr>
          <w:p>
            <w:pPr>
              <w:spacing w:after="0"/>
              <w:rPr>
                <w:sz w:val="1"/>
                <w:szCs w:val="1"/>
                <w:color w:val="auto"/>
              </w:rPr>
            </w:pPr>
          </w:p>
        </w:tc>
      </w:tr>
      <w:tr>
        <w:trPr>
          <w:trHeight w:val="222"/>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32.308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35.063</w:t>
            </w: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0.476</w:t>
            </w:r>
          </w:p>
        </w:tc>
        <w:tc>
          <w:tcPr>
            <w:tcW w:w="0" w:type="dxa"/>
            <w:vAlign w:val="bottom"/>
          </w:tcPr>
          <w:p>
            <w:pPr>
              <w:spacing w:after="0"/>
              <w:rPr>
                <w:sz w:val="1"/>
                <w:szCs w:val="1"/>
                <w:color w:val="auto"/>
              </w:rPr>
            </w:pPr>
          </w:p>
        </w:tc>
      </w:tr>
      <w:tr>
        <w:trPr>
          <w:trHeight w:val="200"/>
        </w:trPr>
        <w:tc>
          <w:tcPr>
            <w:tcW w:w="750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35.539</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r>
              <w:rPr>
                <w:rFonts w:ascii="Arial" w:cs="Arial" w:eastAsia="Arial" w:hAnsi="Arial"/>
                <w:sz w:val="9"/>
                <w:szCs w:val="9"/>
                <w:color w:val="auto"/>
              </w:rPr>
              <w:t>(1)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00" w:type="dxa"/>
            <w:vAlign w:val="bottom"/>
          </w:tcPr>
          <w:p>
            <w:pPr>
              <w:ind w:left="2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9"/>
                <w:szCs w:val="9"/>
                <w:color w:val="auto"/>
              </w:rPr>
              <w:t>(1)</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1"/>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18"/>
                <w:szCs w:val="18"/>
                <w:color w:val="auto"/>
              </w:rPr>
            </w:pPr>
          </w:p>
        </w:tc>
        <w:tc>
          <w:tcPr>
            <w:tcW w:w="438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6860" w:type="dxa"/>
            <w:vAlign w:val="bottom"/>
          </w:tcPr>
          <w:p>
            <w:pPr>
              <w:spacing w:after="0"/>
              <w:rPr>
                <w:sz w:val="18"/>
                <w:szCs w:val="18"/>
                <w:color w:val="auto"/>
              </w:rPr>
            </w:pPr>
          </w:p>
        </w:tc>
        <w:tc>
          <w:tcPr>
            <w:tcW w:w="2260" w:type="dxa"/>
            <w:vAlign w:val="bottom"/>
            <w:gridSpan w:val="2"/>
          </w:tcPr>
          <w:p>
            <w:pPr>
              <w:ind w:left="340"/>
              <w:spacing w:after="0"/>
              <w:rPr>
                <w:sz w:val="20"/>
                <w:szCs w:val="20"/>
                <w:color w:val="auto"/>
              </w:rPr>
            </w:pPr>
            <w:r>
              <w:rPr>
                <w:rFonts w:ascii="Arial" w:cs="Arial" w:eastAsia="Arial" w:hAnsi="Arial"/>
                <w:sz w:val="16"/>
                <w:szCs w:val="16"/>
                <w:b w:val="1"/>
                <w:bCs w:val="1"/>
                <w:color w:val="auto"/>
              </w:rPr>
              <w:t>November 30, 2022</w:t>
            </w:r>
          </w:p>
        </w:tc>
        <w:tc>
          <w:tcPr>
            <w:tcW w:w="2120" w:type="dxa"/>
            <w:vAlign w:val="bottom"/>
          </w:tcPr>
          <w:p>
            <w:pPr>
              <w:ind w:left="320"/>
              <w:spacing w:after="0"/>
              <w:rPr>
                <w:sz w:val="20"/>
                <w:szCs w:val="20"/>
                <w:color w:val="auto"/>
              </w:rPr>
            </w:pPr>
            <w:r>
              <w:rPr>
                <w:rFonts w:ascii="Arial" w:cs="Arial" w:eastAsia="Arial" w:hAnsi="Arial"/>
                <w:sz w:val="16"/>
                <w:szCs w:val="16"/>
                <w:b w:val="1"/>
                <w:bCs w:val="1"/>
                <w:color w:val="auto"/>
              </w:rPr>
              <w:t>November 30, 2021</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1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Performance stock awards</w:t>
            </w:r>
          </w:p>
        </w:tc>
        <w:tc>
          <w:tcPr>
            <w:tcW w:w="2260" w:type="dxa"/>
            <w:vAlign w:val="bottom"/>
            <w:gridSpan w:val="2"/>
          </w:tcPr>
          <w:p>
            <w:pPr>
              <w:ind w:left="1720"/>
              <w:spacing w:after="0"/>
              <w:rPr>
                <w:sz w:val="20"/>
                <w:szCs w:val="20"/>
                <w:color w:val="auto"/>
              </w:rPr>
            </w:pPr>
            <w:r>
              <w:rPr>
                <w:rFonts w:ascii="Arial" w:cs="Arial" w:eastAsia="Arial" w:hAnsi="Arial"/>
                <w:sz w:val="16"/>
                <w:szCs w:val="16"/>
                <w:color w:val="auto"/>
              </w:rPr>
              <w:t>— *</w:t>
            </w:r>
          </w:p>
        </w:tc>
        <w:tc>
          <w:tcPr>
            <w:tcW w:w="2120" w:type="dxa"/>
            <w:vAlign w:val="bottom"/>
          </w:tcPr>
          <w:p>
            <w:pPr>
              <w:ind w:left="1680"/>
              <w:spacing w:after="0"/>
              <w:rPr>
                <w:sz w:val="20"/>
                <w:szCs w:val="20"/>
                <w:color w:val="auto"/>
              </w:rPr>
            </w:pPr>
            <w:r>
              <w:rPr>
                <w:rFonts w:ascii="Arial" w:cs="Arial" w:eastAsia="Arial" w:hAnsi="Arial"/>
                <w:sz w:val="16"/>
                <w:szCs w:val="16"/>
                <w:color w:val="auto"/>
              </w:rPr>
              <w:t>— *</w:t>
            </w: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w:t>
            </w:r>
          </w:p>
        </w:tc>
        <w:tc>
          <w:tcPr>
            <w:tcW w:w="2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Represents shares of less than 0.1 million.</w:t>
      </w:r>
    </w:p>
    <w:p>
      <w:pPr>
        <w:spacing w:after="0" w:line="13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Comprehensive Income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which are comprised of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2022</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30, 2021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November 30, 2022</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668"/>
              <w:spacing w:after="0"/>
              <w:rPr>
                <w:sz w:val="20"/>
                <w:szCs w:val="20"/>
                <w:color w:val="auto"/>
              </w:rPr>
            </w:pPr>
            <w:r>
              <w:rPr>
                <w:rFonts w:ascii="Arial" w:cs="Arial" w:eastAsia="Arial" w:hAnsi="Arial"/>
                <w:sz w:val="14"/>
                <w:szCs w:val="14"/>
                <w:b w:val="1"/>
                <w:bCs w:val="1"/>
                <w:color w:val="auto"/>
              </w:rPr>
              <w:t>November 30, 2021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9"/>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 our financial results of operations in two reportable segments, ABL and ISG, consistent with how our chief operating decision maker currently evaluates operating results, assesses performance, and allocates resources within the Company.</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our segments. These include expenses related to governance, policy setting, compliance, and certain other shared services functions. Beginning in fiscal 2023, we now allocate special charges to operating segment information presented to the chief operating decision maker on a prospective basis. Special charges during the three months ended November 30, 2022 of $6.9 million pertained to the ABL segment. We recorded no special charges during fiscal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ABL</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(1)</w:t>
            </w:r>
          </w:p>
        </w:tc>
        <w:tc>
          <w:tcPr>
            <w:tcW w:w="32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8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November 30, 2022</w:t>
            </w:r>
          </w:p>
        </w:tc>
        <w:tc>
          <w:tcPr>
            <w:tcW w:w="8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98"/>
        </w:trPr>
        <w:tc>
          <w:tcPr>
            <w:tcW w:w="39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947.1</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ind w:left="102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997.9</w:t>
            </w:r>
          </w:p>
        </w:tc>
      </w:tr>
      <w:tr>
        <w:trPr>
          <w:trHeight w:val="207"/>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w:t>
            </w:r>
          </w:p>
        </w:tc>
      </w:tr>
      <w:tr>
        <w:trPr>
          <w:trHeight w:val="198"/>
        </w:trPr>
        <w:tc>
          <w:tcPr>
            <w:tcW w:w="39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20"/>
        </w:trPr>
        <w:tc>
          <w:tcPr>
            <w:tcW w:w="3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1"/>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Three Months Ended November 30, 2021</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883.6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926.1</w:t>
            </w:r>
          </w:p>
        </w:tc>
      </w:tr>
      <w:tr>
        <w:trPr>
          <w:trHeight w:val="198"/>
        </w:trPr>
        <w:tc>
          <w:tcPr>
            <w:tcW w:w="392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8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128.1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207"/>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3"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2022</w:t>
            </w:r>
          </w:p>
        </w:tc>
        <w:tc>
          <w:tcPr>
            <w:tcW w:w="180" w:type="dxa"/>
            <w:vAlign w:val="bottom"/>
          </w:tcPr>
          <w:p>
            <w:pPr>
              <w:spacing w:after="0"/>
              <w:rPr>
                <w:sz w:val="18"/>
                <w:szCs w:val="18"/>
                <w:color w:val="auto"/>
              </w:rPr>
            </w:pPr>
          </w:p>
        </w:tc>
        <w:tc>
          <w:tcPr>
            <w:tcW w:w="1820" w:type="dxa"/>
            <w:vAlign w:val="bottom"/>
          </w:tcPr>
          <w:p>
            <w:pPr>
              <w:jc w:val="right"/>
              <w:ind w:right="179"/>
              <w:spacing w:after="0"/>
              <w:rPr>
                <w:sz w:val="20"/>
                <w:szCs w:val="20"/>
                <w:color w:val="auto"/>
              </w:rPr>
            </w:pPr>
            <w:r>
              <w:rPr>
                <w:rFonts w:ascii="Arial" w:cs="Arial" w:eastAsia="Arial" w:hAnsi="Arial"/>
                <w:sz w:val="16"/>
                <w:szCs w:val="16"/>
                <w:b w:val="1"/>
                <w:bCs w:val="1"/>
                <w:color w:val="auto"/>
              </w:rPr>
              <w:t>November 30, 2021</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profit - ABL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r>
      <w:tr>
        <w:trPr>
          <w:trHeight w:val="215"/>
        </w:trPr>
        <w:tc>
          <w:tcPr>
            <w:tcW w:w="7080" w:type="dxa"/>
            <w:vAlign w:val="bottom"/>
          </w:tcPr>
          <w:p>
            <w:pPr>
              <w:spacing w:after="0"/>
              <w:rPr>
                <w:sz w:val="20"/>
                <w:szCs w:val="20"/>
                <w:color w:val="auto"/>
              </w:rPr>
            </w:pPr>
            <w:r>
              <w:rPr>
                <w:rFonts w:ascii="Arial" w:cs="Arial" w:eastAsia="Arial" w:hAnsi="Arial"/>
                <w:sz w:val="16"/>
                <w:szCs w:val="16"/>
                <w:color w:val="auto"/>
              </w:rPr>
              <w:t>Operating profit - ISG</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Unallocated corporate amounts</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9"/>
        </w:trPr>
        <w:tc>
          <w:tcPr>
            <w:tcW w:w="7080" w:type="dxa"/>
            <w:vAlign w:val="bottom"/>
          </w:tcPr>
          <w:p>
            <w:pPr>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217"/>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7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Miscellaneous expense, net</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35"/>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November 30, 2022 and for the three months ended November 30, 2022 and 2021.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Brands, Inc.'s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31, 2022, filed with the Securities and Exchange Commission (the “SEC”) on October 26, 2022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months ended November 30, 2022 are not necessarily indicative of the results to be expected for the full fiscal 2023 year due primarily to continued uncertainty of general economic conditions that may impact our key end markets for fiscal 2023; the impact of inflation; component shortages; disruptions in the global supply chain; seasonality; and the impact of any acquisitions and/or divestitures, among other reasons. We are uncertain of the future impact of the ongoing COVID-19 pandemic or recovery of prior deterioration in economic conditions to our sales channels, supply chain, manufacturing, and distribution as well as overall construction, renovation, and consumer spending. Additionally, 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 from operations or to access certain capital markets, including banks, is necessary to meet our capital allocation priorities, which are to invest in our current business for growth, to invest in mergers and acquisitions, to maintain our dividend, and to make share repurchases. Sufficient cash flow generation is also critical to fund our operations in the short and long terms and to maintain compliance with covenants contained in our financing agreements.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and borrowings under our credit agreement, payments for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We believe that we will be able to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cash position at November 30, 2022 was $284.1 million, an increase of $60.9 million from August 31, 2022. Cash generated from operating activities and cash on hand were used during the current year to fund our capital allocation priorities as discussed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generated $186.6 million of cash flows from operating activities during the three months ended November 30,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2022, compared with $83.7 million in the prior-year period, an increase of $102.9 million. This increase was due primarily to increased cash collections from customers and fewer inventory purchases during the current period as well as the timing of quarterly income tax payments.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our various financing arrangements, including the $ 500.0 million aggregate principal amount of 2.150% senior unsecured notes due December 15, 2030 (the “Unsecured Notes”) as well as the terms of our $600.0 million five-year unsecured revolving credit facility (“Revolving Credit Facility”).</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November 30, 2022, our outstanding debt balance was $495.1 million, which consisted solely of our Unsecured Notes, compared to our cash position of $284.1 million. We were in compliance with all financial covenants under our financing arrangements as of November 30, 2022.</w:t>
      </w:r>
    </w:p>
    <w:p>
      <w:pPr>
        <w:spacing w:after="0" w:line="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At November 30, 2022, we had additional borrowing capacity under the Revolving Credit Facility of $595.9 million under the most restrictive covenant in effect at the time, which represents the full amount of the Revolving Credit Facility less outstanding letters of credit of $ 4.1 million issued under the facility. As of November 30, 2022, our cash on hand combined with the additional borrowing capacity under the Revolving Credit Facility totaled $880.0 million.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2022</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1,056.6</w:t>
            </w: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300.9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280.2</w:t>
            </w:r>
          </w:p>
        </w:tc>
      </w:tr>
      <w:tr>
        <w:trPr>
          <w:trHeight w:val="21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1,414.3</w:t>
            </w: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593.3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620.4</w:t>
            </w:r>
          </w:p>
        </w:tc>
      </w:tr>
      <w:tr>
        <w:trPr>
          <w:trHeight w:val="21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260" w:type="dxa"/>
            <w:vAlign w:val="bottom"/>
          </w:tcPr>
          <w:p>
            <w:pPr>
              <w:spacing w:after="0"/>
              <w:rPr>
                <w:sz w:val="16"/>
                <w:szCs w:val="16"/>
                <w:color w:val="auto"/>
              </w:rPr>
            </w:pP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379"/>
              <w:spacing w:after="0"/>
              <w:rPr>
                <w:sz w:val="20"/>
                <w:szCs w:val="20"/>
                <w:color w:val="auto"/>
              </w:rPr>
            </w:pPr>
            <w:r>
              <w:rPr>
                <w:rFonts w:ascii="Arial" w:cs="Arial" w:eastAsia="Arial" w:hAnsi="Arial"/>
                <w:sz w:val="16"/>
                <w:szCs w:val="16"/>
                <w:b w:val="1"/>
                <w:bCs w:val="1"/>
                <w:color w:val="auto"/>
              </w:rPr>
              <w:t>November 30, 2022</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347.0</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maintain our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invested $18.2 million and $9.3 million in property, plant, and equipment during the three months ended November 30, 2022 and 2021, respectively. We invested more in fiscal 2023 primarily for investments in new and enhanced equipment and tooling.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seek opportunities to strategically expand and enhance our portfolio of solutions. There were no acquisitions during the first three months of fiscal 2023 or fiscal 2022. During the three months ended November 30, 2022, we committed to a plan to sell our Sunoptics prismatic skylights business, which we completed on November 10, 2022. We recognized a loss of $11.2 million on the sale of the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$4.3 million ($ 0.13 per share) and $4.7 million ($0.13 per share) during the three months ended November 30, 2022 and 2021,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three months of fiscal 2023, we repurchased 0.5 million shares of our outstanding common stock for $77.6 million. Total cash outflows for share repurchases during the three months ended November 30, 2022 were $76.5 million. We expect to repurchase shares on an opportunistic basis subject to various factors including stock price, Company performance, market conditions, and other possible uses of cash. As of November 30, 2022, the maximum number of shares that may yet be repurchased under the share repurchase program authorized by the Board equaled 2.4 million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various health and safety policies and processes at our facilities in the United States, Mexico, Canada, and other locations as permitted by law.</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operating results. Although our facilities are open, a resurgence in COVID-19 cases, including as a result of new variants,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We paid half of these deferrals in December 2021 and the other half in December 2022.</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 for further details regarding the potential impacts of COVID-19 to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2023 Compared with First Quarter of Fiscal 2022</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2022 and 2021 (in millions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November 30, 2022</w:t>
            </w:r>
          </w:p>
        </w:tc>
        <w:tc>
          <w:tcPr>
            <w:tcW w:w="100" w:type="dxa"/>
            <w:vAlign w:val="bottom"/>
            <w:vMerge w:val="restart"/>
          </w:tcPr>
          <w:p>
            <w:pPr>
              <w:spacing w:after="0"/>
              <w:rPr>
                <w:sz w:val="11"/>
                <w:szCs w:val="1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November 30, 2021</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6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997.9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926.1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581.4</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540.3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416.5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4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w:t>
            </w:r>
          </w:p>
        </w:tc>
        <w:tc>
          <w:tcPr>
            <w:tcW w:w="46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108.9</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115.1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90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10.9 %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3"/>
          </w:tcPr>
          <w:p>
            <w:pPr>
              <w:jc w:val="right"/>
              <w:ind w:right="1408"/>
              <w:spacing w:after="0"/>
              <w:rPr>
                <w:sz w:val="20"/>
                <w:szCs w:val="20"/>
                <w:color w:val="auto"/>
              </w:rPr>
            </w:pPr>
            <w:r>
              <w:rPr>
                <w:rFonts w:ascii="Arial" w:cs="Arial" w:eastAsia="Arial" w:hAnsi="Arial"/>
                <w:sz w:val="14"/>
                <w:szCs w:val="14"/>
                <w:i w:val="1"/>
                <w:iCs w:val="1"/>
                <w:color w:val="auto"/>
              </w:rPr>
              <w:t>(150) 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440" w:type="dxa"/>
            <w:vAlign w:val="bottom"/>
          </w:tcPr>
          <w:p>
            <w:pPr>
              <w:spacing w:after="0"/>
              <w:rPr>
                <w:sz w:val="17"/>
                <w:szCs w:val="17"/>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expense, net</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153.2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98"/>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11.8 %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3"/>
          </w:tcPr>
          <w:p>
            <w:pPr>
              <w:jc w:val="right"/>
              <w:ind w:right="1408"/>
              <w:spacing w:after="0"/>
              <w:rPr>
                <w:sz w:val="20"/>
                <w:szCs w:val="20"/>
                <w:color w:val="auto"/>
              </w:rPr>
            </w:pPr>
            <w:r>
              <w:rPr>
                <w:rFonts w:ascii="Arial" w:cs="Arial" w:eastAsia="Arial" w:hAnsi="Arial"/>
                <w:sz w:val="14"/>
                <w:szCs w:val="14"/>
                <w:i w:val="1"/>
                <w:iCs w:val="1"/>
                <w:color w:val="auto"/>
              </w:rPr>
              <w:t>(250) 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192"/>
        </w:trPr>
        <w:tc>
          <w:tcPr>
            <w:tcW w:w="502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19.6 %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19.6 %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November 30, 2022 increased $71.8 million, or 7.8%, to $997.9 million, compared with $926.1 million in the prior-year period. Both our ABL and ISG segments benefited from recent price increases as well as favorable mix. Changes in foreign currency rates and the divestiture from our Sunoptics prismatic skylight business did not have a meaningful impact on net sales for the first quarter of fiscal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first quarter of fiscal 2023 increased $30.7 million, or 8.0%, to $416.5 million, compared with $385.8 million in the prior-year period, while gross profit margin remained flat at 41.7% compared with the prior-year period. Our gross profit margin remained flat with the prior year as we were able to offset material, labor, and other cost escalations with price and favorable mix.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distribution, and administrative expenses ("SD&amp;A") expenses for the three months ended November 30, 2022 were $300.7 million, compared with $270.7 million in the prior-year period, an increase of $30.0 million, or 11.1%. The increase in SD&amp;A expenses was due primarily to higher commissions and freight costs associated with higher sales. Amortization expense of definite-lived intangibles increased in fiscal 2023 as we recorded $4.0 million of accelerated amortization for intangibles associated with certain brands that were discontinued.</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recognized special charges of $6.9 million during the first quarter of fiscal 2023. Please refer to the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Consolidated Financial Statements </w:t>
      </w:r>
      <w:r>
        <w:rPr>
          <w:rFonts w:ascii="Arial" w:cs="Arial" w:eastAsia="Arial" w:hAnsi="Arial"/>
          <w:sz w:val="18"/>
          <w:szCs w:val="18"/>
          <w:color w:val="auto"/>
        </w:rPr>
        <w:t>for further details.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profit for the first quarter of fiscal 2023 was $108.9 million (10.9% of net sales), compared with $115.1 million (12.4% of net sales) for the prior-year period, a decrease of $6.2 million, or 5.4%. The operating profit margin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decrease of 150 bps year over year was due primarily to higher special charges, commission rates, and amortization expense.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expense consists of net interest expense and net miscellaneous expense, which includes non-service related components of net periodic pension cost, gains and losses associated with foreign currency-related transactions, and non-operating gains and losses.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$6.6 million and $5.9 million for the three months ended November 30, 2022 and 2021, respectively.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reported net miscellaneous expense of $9.1 million and $0.3 million for the three months ended November 30, 2022 and 2021, respectively. The year-over-year change in net miscellaneous expense was largely due to the $11.2 million loss of the sale of the Sunoptics prismatic skylights business, the details of which are described in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This loss was partially offset by higher gains on foreign currency-related items compared to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effective income tax rate was 19.6% for the three months ended November 30, 2022 and 2021 and reflects favorable discrete items recognized in both periods.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three months ended November 30, 2022 decreased $12.7 million, or 14.5%, to $74.9 million, from $87.6 million reported for the prior-year period. The decrease in net income resulted primarily from $ 22.1 million in combined losses and special charges recognized from the Sunoptics sale and other restructuring activities as well as accelerated amortization of intangible assets. Diluted earnings per share for the three months ended November 30, 2022 decreased $0.17, or 6.9%, to $2.29 compared with diluted earnings per share of $2.46 for the prior-year period. This decrease reflects lower net income, partially offset by lower outstanding diluted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 November 30, 2022 and 2021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November 30, 2022</w:t>
            </w: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November 30, 2021</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947.1</w:t>
            </w:r>
          </w:p>
        </w:tc>
        <w:tc>
          <w:tcPr>
            <w:tcW w:w="10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883.6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12.5 %</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7"/>
                <w:szCs w:val="17"/>
                <w:color w:val="auto"/>
              </w:rPr>
            </w:pPr>
          </w:p>
        </w:tc>
        <w:tc>
          <w:tcPr>
            <w:tcW w:w="1280" w:type="dxa"/>
            <w:vAlign w:val="bottom"/>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ABL net sales for the three months ended November 30, 2022 increased $63.5 million, or 7.2%, to $947.1 million, compared with $883.6 million in the prior-year period. Sales within the ABL segment benefited from recent price increases as well as favorable mix year over year.</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ABL was $118.1 million (12.5% of ABL net sales) for the three months ended November 30, 2022, compared with $128.1 million (14.5% of ABL net sales) in the prior-year period, a decrease of $10.0 million. The decrease in operating profit was due primarily to the recognition of special charges of $ 6.9 million attributed to the segment in the current period, the acceleration of amortization for definite-lived intangibles related to brands that were discontinued, and increased commission rates.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ISG net sales for the three months ended November 30, 2022 increased $10.4 million, or 22.4%, to $56.8 million, compared with $ 46.4 million in the prior-year period, driven primarily by strong demand for building management controls, improved component availability, and price increases. ISG operating profit was $7.7 million for the three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months ended November 30, 2022, compared with $2.0 million in the prior-year period, an increase of $5.7 million. This increase was due primarily to contributions from higher sales, partially offset by increased employee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“believe,” “intend,” “anticipate,” “indicative,” “projection,” “predict,” “plan,” “may,” “could,” “should,” “would,” “potential,”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do not relate to historical or current fact, are examples of forward-looking statements.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results to differ materially from our historical experience and management’s present expectations or projections.These risks and uncertainties are discussed in our filings with the U.S. Securities and Exchange Commission, including our most recent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rates, foreign exchange rates, and commodity prices. There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no material changes to our exposure from market risks from those disclosed in </w:t>
      </w:r>
      <w:r>
        <w:rPr>
          <w:rFonts w:ascii="Arial" w:cs="Arial" w:eastAsia="Arial" w:hAnsi="Arial"/>
          <w:sz w:val="18"/>
          <w:szCs w:val="18"/>
          <w:i w:val="1"/>
          <w:iCs w:val="1"/>
          <w:color w:val="auto"/>
        </w:rPr>
        <w:t>Part II, 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November 30, 2022.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November 30, 2022.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months ended November 30, 2022,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31, 2022, the Board of Directors (the “Board”) authorized the repurchase of up to five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November 30, 2022, the maximum number of shares that may yet be repurchased under the share repurchase program authorized by the Board equaled 2.4 million shares. The following table reflects activity related to equity securities we repurchased during the quarter ended November 30, 2022:</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9/1/2022 through 9/30/2022</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196,491</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161.27</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196,491</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2,621,709</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10/1/2022 through 10/31/2022</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105,557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169.35</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105,557</w:t>
            </w:r>
          </w:p>
        </w:tc>
        <w:tc>
          <w:tcPr>
            <w:tcW w:w="1940" w:type="dxa"/>
            <w:vAlign w:val="bottom"/>
          </w:tcPr>
          <w:p>
            <w:pPr>
              <w:jc w:val="right"/>
              <w:spacing w:after="0"/>
              <w:rPr>
                <w:sz w:val="20"/>
                <w:szCs w:val="20"/>
                <w:color w:val="auto"/>
              </w:rPr>
            </w:pPr>
            <w:r>
              <w:rPr>
                <w:rFonts w:ascii="Arial" w:cs="Arial" w:eastAsia="Arial" w:hAnsi="Arial"/>
                <w:sz w:val="16"/>
                <w:szCs w:val="16"/>
                <w:color w:val="auto"/>
              </w:rPr>
              <w:t>2,516,152</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11/1/2022 through 11/30/2022</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149,619</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187.14</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149,619</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2,366,533</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451,667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171.73</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451,667</w:t>
            </w:r>
          </w:p>
        </w:tc>
        <w:tc>
          <w:tcPr>
            <w:tcW w:w="1940" w:type="dxa"/>
            <w:vAlign w:val="bottom"/>
          </w:tcPr>
          <w:p>
            <w:pPr>
              <w:jc w:val="right"/>
              <w:spacing w:after="0"/>
              <w:rPr>
                <w:sz w:val="20"/>
                <w:szCs w:val="20"/>
                <w:color w:val="auto"/>
              </w:rPr>
            </w:pPr>
            <w:r>
              <w:rPr>
                <w:rFonts w:ascii="Arial" w:cs="Arial" w:eastAsia="Arial" w:hAnsi="Arial"/>
                <w:sz w:val="16"/>
                <w:szCs w:val="16"/>
                <w:color w:val="auto"/>
              </w:rPr>
              <w:t>2,366,533</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16"/>
          </w:tcPr>
          <w:p>
            <w:pPr>
              <w:ind w:left="86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60" w:type="dxa"/>
            <w:vAlign w:val="bottom"/>
            <w:gridSpan w:val="20"/>
          </w:tcPr>
          <w:p>
            <w:pPr>
              <w:spacing w:after="0"/>
              <w:rPr>
                <w:rFonts w:ascii="Arial" w:cs="Arial" w:eastAsia="Arial" w:hAnsi="Arial"/>
                <w:sz w:val="16"/>
                <w:szCs w:val="16"/>
                <w:color w:val="0000FF"/>
              </w:rPr>
            </w:pPr>
            <w:hyperlink r:id="rId56">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60" w:type="dxa"/>
            <w:vAlign w:val="bottom"/>
            <w:gridSpan w:val="20"/>
          </w:tcPr>
          <w:p>
            <w:pPr>
              <w:spacing w:after="0"/>
              <w:rPr>
                <w:rFonts w:ascii="Arial" w:cs="Arial" w:eastAsia="Arial" w:hAnsi="Arial"/>
                <w:sz w:val="16"/>
                <w:szCs w:val="16"/>
                <w:color w:val="0000FF"/>
              </w:rPr>
            </w:pPr>
            <w:hyperlink r:id="rId57">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Incorporation of Acuity Brands, Inc. (formerly Acuity</w:t>
              </w:r>
            </w:hyperlink>
          </w:p>
        </w:tc>
        <w:tc>
          <w:tcPr>
            <w:tcW w:w="580" w:type="dxa"/>
            <w:vAlign w:val="bottom"/>
            <w:gridSpan w:val="12"/>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60" w:type="dxa"/>
            <w:vAlign w:val="bottom"/>
            <w:gridSpan w:val="20"/>
          </w:tcPr>
          <w:p>
            <w:pPr>
              <w:spacing w:after="0"/>
              <w:rPr>
                <w:rFonts w:ascii="Arial" w:cs="Arial" w:eastAsia="Arial" w:hAnsi="Arial"/>
                <w:sz w:val="16"/>
                <w:szCs w:val="16"/>
                <w:color w:val="0000FF"/>
              </w:rPr>
            </w:pPr>
            <w:hyperlink r:id="rId58">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r:id="rId58">
              <w:r>
                <w:rPr>
                  <w:rFonts w:ascii="Arial" w:cs="Arial" w:eastAsia="Arial" w:hAnsi="Arial"/>
                  <w:sz w:val="16"/>
                  <w:szCs w:val="16"/>
                  <w:color w:val="0000FF"/>
                  <w:w w:val="98"/>
                </w:rPr>
                <w:t>Incorporation of Acuity Brands, Inc., dated as of January</w:t>
              </w:r>
            </w:hyperlink>
          </w:p>
        </w:tc>
        <w:tc>
          <w:tcPr>
            <w:tcW w:w="300" w:type="dxa"/>
            <w:vAlign w:val="bottom"/>
            <w:tcBorders>
              <w:bottom w:val="single" w:sz="8" w:color="0000FF"/>
            </w:tcBorders>
            <w:gridSpan w:val="6"/>
          </w:tcPr>
          <w:p>
            <w:pPr>
              <w:jc w:val="right"/>
              <w:ind w:right="20"/>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58">
              <w:r>
                <w:rPr>
                  <w:rFonts w:ascii="Arial" w:cs="Arial" w:eastAsia="Arial" w:hAnsi="Arial"/>
                  <w:sz w:val="16"/>
                  <w:szCs w:val="16"/>
                  <w:color w:val="0000FF"/>
                  <w:w w:val="99"/>
                </w:rPr>
                <w:t>2017.</w:t>
              </w:r>
            </w:hyperlink>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60" w:type="dxa"/>
            <w:vAlign w:val="bottom"/>
            <w:gridSpan w:val="20"/>
          </w:tcPr>
          <w:p>
            <w:pPr>
              <w:spacing w:after="0"/>
              <w:rPr>
                <w:rFonts w:ascii="Arial" w:cs="Arial" w:eastAsia="Arial" w:hAnsi="Arial"/>
                <w:sz w:val="16"/>
                <w:szCs w:val="16"/>
                <w:color w:val="0000FF"/>
              </w:rPr>
            </w:pPr>
            <w:hyperlink r:id="rId59">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9"/>
          </w:tcPr>
          <w:p>
            <w:pPr>
              <w:spacing w:after="0" w:line="142" w:lineRule="exact"/>
              <w:rPr>
                <w:rFonts w:ascii="Arial" w:cs="Arial" w:eastAsia="Arial" w:hAnsi="Arial"/>
                <w:sz w:val="16"/>
                <w:szCs w:val="16"/>
                <w:color w:val="0000FF"/>
                <w:w w:val="98"/>
              </w:rPr>
            </w:pPr>
            <w:hyperlink r:id="rId59">
              <w:r>
                <w:rPr>
                  <w:rFonts w:ascii="Arial" w:cs="Arial" w:eastAsia="Arial" w:hAnsi="Arial"/>
                  <w:sz w:val="16"/>
                  <w:szCs w:val="16"/>
                  <w:color w:val="0000FF"/>
                  <w:w w:val="98"/>
                </w:rPr>
                <w:t>Incorporation of Acuity Brands, Inc., dated as of January</w:t>
              </w:r>
            </w:hyperlink>
          </w:p>
        </w:tc>
        <w:tc>
          <w:tcPr>
            <w:tcW w:w="340" w:type="dxa"/>
            <w:vAlign w:val="bottom"/>
            <w:gridSpan w:val="8"/>
          </w:tcPr>
          <w:p>
            <w:pPr>
              <w:jc w:val="right"/>
              <w:ind w:right="60"/>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59">
              <w:r>
                <w:rPr>
                  <w:rFonts w:ascii="Arial" w:cs="Arial" w:eastAsia="Arial" w:hAnsi="Arial"/>
                  <w:sz w:val="16"/>
                  <w:szCs w:val="16"/>
                  <w:color w:val="0000FF"/>
                  <w:w w:val="99"/>
                </w:rPr>
                <w:t>2021.</w:t>
              </w:r>
            </w:hyperlink>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60" w:type="dxa"/>
            <w:vAlign w:val="bottom"/>
            <w:gridSpan w:val="20"/>
          </w:tcPr>
          <w:p>
            <w:pPr>
              <w:spacing w:after="0"/>
              <w:rPr>
                <w:rFonts w:ascii="Arial" w:cs="Arial" w:eastAsia="Arial" w:hAnsi="Arial"/>
                <w:sz w:val="16"/>
                <w:szCs w:val="16"/>
                <w:color w:val="0000FF"/>
              </w:rPr>
            </w:pPr>
            <w:hyperlink r:id="rId60">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as of January 7, 2021.</w:t>
              </w:r>
            </w:hyperlink>
          </w:p>
        </w:tc>
        <w:tc>
          <w:tcPr>
            <w:tcW w:w="27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(1)</w:t>
            </w:r>
          </w:p>
        </w:tc>
        <w:tc>
          <w:tcPr>
            <w:tcW w:w="4360" w:type="dxa"/>
            <w:vAlign w:val="bottom"/>
            <w:gridSpan w:val="20"/>
          </w:tcPr>
          <w:p>
            <w:pPr>
              <w:spacing w:after="0"/>
              <w:rPr>
                <w:sz w:val="20"/>
                <w:szCs w:val="20"/>
                <w:color w:val="auto"/>
              </w:rPr>
            </w:pPr>
            <w:r>
              <w:rPr>
                <w:rFonts w:ascii="Arial" w:cs="Arial" w:eastAsia="Arial" w:hAnsi="Arial"/>
                <w:sz w:val="16"/>
                <w:szCs w:val="16"/>
                <w:color w:val="0000FF"/>
              </w:rPr>
              <w:t>Acuity Brands, Inc. Amended and Restated 2012 Omnibus</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Stock Incentive Compensation Plan Global Performance</w:t>
            </w:r>
          </w:p>
        </w:tc>
        <w:tc>
          <w:tcPr>
            <w:tcW w:w="160" w:type="dxa"/>
            <w:vAlign w:val="bottom"/>
            <w:tcBorders>
              <w:top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60" w:type="dxa"/>
            <w:vAlign w:val="bottom"/>
            <w:tcBorders>
              <w:bottom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Unit Notification and Award Agreement (TSR October 2022).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17"/>
                <w:szCs w:val="17"/>
                <w:color w:val="auto"/>
              </w:rPr>
            </w:pPr>
          </w:p>
        </w:tc>
        <w:tc>
          <w:tcPr>
            <w:tcW w:w="4360" w:type="dxa"/>
            <w:vAlign w:val="bottom"/>
            <w:gridSpan w:val="20"/>
          </w:tcPr>
          <w:p>
            <w:pPr>
              <w:spacing w:after="0"/>
              <w:rPr>
                <w:rFonts w:ascii="Arial" w:cs="Arial" w:eastAsia="Arial" w:hAnsi="Arial"/>
                <w:sz w:val="16"/>
                <w:szCs w:val="16"/>
                <w:color w:val="0000FF"/>
              </w:rPr>
            </w:pPr>
            <w:hyperlink r:id="rId61">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60" w:type="dxa"/>
            <w:vAlign w:val="bottom"/>
            <w:gridSpan w:val="20"/>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3"/>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20" w:type="dxa"/>
            <w:vAlign w:val="bottom"/>
            <w:gridSpan w:val="9"/>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60" w:type="dxa"/>
            <w:vAlign w:val="bottom"/>
            <w:gridSpan w:val="20"/>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80" w:type="dxa"/>
            <w:vAlign w:val="bottom"/>
            <w:gridSpan w:val="3"/>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60" w:type="dxa"/>
            <w:vAlign w:val="bottom"/>
            <w:gridSpan w:val="7"/>
          </w:tcPr>
          <w:p>
            <w:pPr>
              <w:jc w:val="right"/>
              <w:ind w:right="60"/>
              <w:spacing w:after="0" w:line="142" w:lineRule="exact"/>
              <w:rPr>
                <w:sz w:val="20"/>
                <w:szCs w:val="20"/>
                <w:color w:val="auto"/>
              </w:rPr>
            </w:pPr>
            <w:r>
              <w:rPr>
                <w:rFonts w:ascii="Arial" w:cs="Arial" w:eastAsia="Arial" w:hAnsi="Arial"/>
                <w:sz w:val="13"/>
                <w:szCs w:val="13"/>
                <w:color w:val="0000FF"/>
                <w:w w:val="73"/>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3"/>
          </w:tcPr>
          <w:p>
            <w:pPr>
              <w:spacing w:after="0"/>
              <w:rPr>
                <w:sz w:val="12"/>
                <w:szCs w:val="12"/>
                <w:color w:val="auto"/>
              </w:rPr>
            </w:pPr>
          </w:p>
        </w:tc>
        <w:tc>
          <w:tcPr>
            <w:tcW w:w="60" w:type="dxa"/>
            <w:vAlign w:val="bottom"/>
            <w:gridSpan w:val="2"/>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60" w:type="dxa"/>
            <w:vAlign w:val="bottom"/>
            <w:gridSpan w:val="20"/>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20" w:type="dxa"/>
            <w:vAlign w:val="bottom"/>
            <w:gridSpan w:val="9"/>
          </w:tcPr>
          <w:p>
            <w:pPr>
              <w:jc w:val="right"/>
              <w:ind w:right="6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3"/>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60" w:type="dxa"/>
            <w:vAlign w:val="bottom"/>
            <w:gridSpan w:val="20"/>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60" w:type="dxa"/>
            <w:vAlign w:val="bottom"/>
            <w:gridSpan w:val="20"/>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60" w:type="dxa"/>
            <w:vAlign w:val="bottom"/>
            <w:gridSpan w:val="20"/>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60" w:type="dxa"/>
            <w:vAlign w:val="bottom"/>
            <w:gridSpan w:val="20"/>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60" w:type="dxa"/>
            <w:vAlign w:val="bottom"/>
            <w:gridSpan w:val="20"/>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60" w:type="dxa"/>
            <w:vAlign w:val="bottom"/>
            <w:gridSpan w:val="20"/>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60" w:type="dxa"/>
            <w:vAlign w:val="bottom"/>
            <w:gridSpan w:val="20"/>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60" w:type="dxa"/>
            <w:vAlign w:val="bottom"/>
            <w:gridSpan w:val="20"/>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60" w:type="dxa"/>
            <w:vAlign w:val="bottom"/>
            <w:gridSpan w:val="20"/>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2021,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2021,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26, 2022,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6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60"/>
          </w:cols>
          <w:pgMar w:left="320" w:top="24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January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January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24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color w:val="auto"/>
        </w:rPr>
        <w:t>/$CurrentDate$/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7447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47447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ACUITY BRANDS, INC.</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Amended and Restated 2012 Omnibus Stock Incentive Compensation Plan</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Global Performance Unit Notification and Award Agreement</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(rTSR Performance Award)</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00" w:type="dxa"/>
            <w:vAlign w:val="bottom"/>
            <w:tcBorders>
              <w:top w:val="single" w:sz="8" w:color="auto"/>
              <w:left w:val="single" w:sz="8" w:color="auto"/>
            </w:tcBorders>
          </w:tcPr>
          <w:p>
            <w:pPr>
              <w:jc w:val="right"/>
              <w:ind w:right="81"/>
              <w:spacing w:after="0" w:line="207" w:lineRule="exact"/>
              <w:rPr>
                <w:sz w:val="20"/>
                <w:szCs w:val="20"/>
                <w:color w:val="auto"/>
              </w:rPr>
            </w:pPr>
            <w:r>
              <w:rPr>
                <w:rFonts w:ascii="Times New Roman" w:cs="Times New Roman" w:eastAsia="Times New Roman" w:hAnsi="Times New Roman"/>
                <w:sz w:val="20"/>
                <w:szCs w:val="20"/>
                <w:color w:val="auto"/>
              </w:rPr>
              <w:t>Grantee:</w:t>
            </w:r>
          </w:p>
        </w:tc>
        <w:tc>
          <w:tcPr>
            <w:tcW w:w="8260" w:type="dxa"/>
            <w:vAlign w:val="bottom"/>
            <w:tcBorders>
              <w:top w:val="single" w:sz="8" w:color="auto"/>
              <w:right w:val="single" w:sz="8" w:color="auto"/>
            </w:tcBorders>
            <w:gridSpan w:val="3"/>
          </w:tcPr>
          <w:p>
            <w:pPr>
              <w:ind w:left="180"/>
              <w:spacing w:after="0" w:line="207" w:lineRule="exact"/>
              <w:rPr>
                <w:sz w:val="20"/>
                <w:szCs w:val="20"/>
                <w:color w:val="auto"/>
              </w:rPr>
            </w:pPr>
            <w:r>
              <w:rPr>
                <w:rFonts w:ascii="Times New Roman" w:cs="Times New Roman" w:eastAsia="Times New Roman" w:hAnsi="Times New Roman"/>
                <w:sz w:val="20"/>
                <w:szCs w:val="20"/>
                <w:color w:val="auto"/>
              </w:rPr>
              <w:t>/$ParticipantName$/</w:t>
            </w:r>
          </w:p>
        </w:tc>
      </w:tr>
      <w:tr>
        <w:trPr>
          <w:trHeight w:val="203"/>
        </w:trPr>
        <w:tc>
          <w:tcPr>
            <w:tcW w:w="3000" w:type="dxa"/>
            <w:vAlign w:val="bottom"/>
            <w:tcBorders>
              <w:left w:val="single" w:sz="8" w:color="auto"/>
            </w:tcBorders>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rPr>
              <w:t>Grant Type:</w:t>
            </w:r>
          </w:p>
        </w:tc>
        <w:tc>
          <w:tcPr>
            <w:tcW w:w="8260" w:type="dxa"/>
            <w:vAlign w:val="bottom"/>
            <w:tcBorders>
              <w:right w:val="single" w:sz="8" w:color="auto"/>
            </w:tcBorders>
            <w:gridSpan w:val="3"/>
          </w:tcPr>
          <w:p>
            <w:pPr>
              <w:ind w:left="180"/>
              <w:spacing w:after="0" w:line="203" w:lineRule="exact"/>
              <w:rPr>
                <w:sz w:val="20"/>
                <w:szCs w:val="20"/>
                <w:color w:val="auto"/>
              </w:rPr>
            </w:pPr>
            <w:r>
              <w:rPr>
                <w:rFonts w:ascii="Times New Roman" w:cs="Times New Roman" w:eastAsia="Times New Roman" w:hAnsi="Times New Roman"/>
                <w:sz w:val="20"/>
                <w:szCs w:val="20"/>
                <w:color w:val="auto"/>
              </w:rPr>
              <w:t>/$GrantType$/</w:t>
            </w:r>
          </w:p>
        </w:tc>
      </w:tr>
      <w:tr>
        <w:trPr>
          <w:trHeight w:val="198"/>
        </w:trPr>
        <w:tc>
          <w:tcPr>
            <w:tcW w:w="3000" w:type="dxa"/>
            <w:vAlign w:val="bottom"/>
            <w:tcBorders>
              <w:left w:val="single" w:sz="8" w:color="auto"/>
            </w:tcBorders>
          </w:tcPr>
          <w:p>
            <w:pPr>
              <w:jc w:val="right"/>
              <w:ind w:right="81"/>
              <w:spacing w:after="0" w:line="198" w:lineRule="exact"/>
              <w:rPr>
                <w:sz w:val="20"/>
                <w:szCs w:val="20"/>
                <w:color w:val="auto"/>
              </w:rPr>
            </w:pPr>
            <w:r>
              <w:rPr>
                <w:rFonts w:ascii="Times New Roman" w:cs="Times New Roman" w:eastAsia="Times New Roman" w:hAnsi="Times New Roman"/>
                <w:sz w:val="20"/>
                <w:szCs w:val="20"/>
                <w:color w:val="auto"/>
              </w:rPr>
              <w:t>Grant ID:</w:t>
            </w:r>
          </w:p>
        </w:tc>
        <w:tc>
          <w:tcPr>
            <w:tcW w:w="8260" w:type="dxa"/>
            <w:vAlign w:val="bottom"/>
            <w:tcBorders>
              <w:right w:val="single" w:sz="8" w:color="auto"/>
            </w:tcBorders>
            <w:gridSpan w:val="3"/>
          </w:tcPr>
          <w:p>
            <w:pPr>
              <w:ind w:left="180"/>
              <w:spacing w:after="0" w:line="198" w:lineRule="exact"/>
              <w:rPr>
                <w:sz w:val="20"/>
                <w:szCs w:val="20"/>
                <w:color w:val="auto"/>
              </w:rPr>
            </w:pPr>
            <w:r>
              <w:rPr>
                <w:rFonts w:ascii="Times New Roman" w:cs="Times New Roman" w:eastAsia="Times New Roman" w:hAnsi="Times New Roman"/>
                <w:sz w:val="20"/>
                <w:szCs w:val="20"/>
                <w:color w:val="auto"/>
              </w:rPr>
              <w:t>/$GrantID$/</w:t>
            </w:r>
          </w:p>
        </w:tc>
      </w:tr>
      <w:tr>
        <w:trPr>
          <w:trHeight w:val="193"/>
        </w:trPr>
        <w:tc>
          <w:tcPr>
            <w:tcW w:w="3000" w:type="dxa"/>
            <w:vAlign w:val="bottom"/>
            <w:tcBorders>
              <w:left w:val="single" w:sz="8" w:color="auto"/>
            </w:tcBorders>
          </w:tcPr>
          <w:p>
            <w:pPr>
              <w:jc w:val="right"/>
              <w:ind w:right="81"/>
              <w:spacing w:after="0" w:line="193" w:lineRule="exact"/>
              <w:rPr>
                <w:sz w:val="20"/>
                <w:szCs w:val="20"/>
                <w:color w:val="auto"/>
              </w:rPr>
            </w:pPr>
            <w:r>
              <w:rPr>
                <w:rFonts w:ascii="Times New Roman" w:cs="Times New Roman" w:eastAsia="Times New Roman" w:hAnsi="Times New Roman"/>
                <w:sz w:val="20"/>
                <w:szCs w:val="20"/>
                <w:color w:val="auto"/>
              </w:rPr>
              <w:t>Grant Date:</w:t>
            </w:r>
          </w:p>
        </w:tc>
        <w:tc>
          <w:tcPr>
            <w:tcW w:w="8260" w:type="dxa"/>
            <w:vAlign w:val="bottom"/>
            <w:tcBorders>
              <w:right w:val="single" w:sz="8" w:color="auto"/>
            </w:tcBorders>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rPr>
              <w:t>/$GrantDate$/</w:t>
            </w:r>
          </w:p>
        </w:tc>
      </w:tr>
      <w:tr>
        <w:trPr>
          <w:trHeight w:val="203"/>
        </w:trPr>
        <w:tc>
          <w:tcPr>
            <w:tcW w:w="3000" w:type="dxa"/>
            <w:vAlign w:val="bottom"/>
            <w:tcBorders>
              <w:left w:val="single" w:sz="8" w:color="auto"/>
            </w:tcBorders>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rPr>
              <w:t>Target Award Amount:</w:t>
            </w:r>
          </w:p>
        </w:tc>
        <w:tc>
          <w:tcPr>
            <w:tcW w:w="8260" w:type="dxa"/>
            <w:vAlign w:val="bottom"/>
            <w:tcBorders>
              <w:right w:val="single" w:sz="8" w:color="auto"/>
            </w:tcBorders>
            <w:gridSpan w:val="3"/>
          </w:tcPr>
          <w:p>
            <w:pPr>
              <w:ind w:left="180"/>
              <w:spacing w:after="0" w:line="203" w:lineRule="exact"/>
              <w:rPr>
                <w:sz w:val="20"/>
                <w:szCs w:val="20"/>
                <w:color w:val="auto"/>
              </w:rPr>
            </w:pPr>
            <w:r>
              <w:rPr>
                <w:rFonts w:ascii="Times New Roman" w:cs="Times New Roman" w:eastAsia="Times New Roman" w:hAnsi="Times New Roman"/>
                <w:sz w:val="20"/>
                <w:szCs w:val="20"/>
                <w:color w:val="auto"/>
              </w:rPr>
              <w:t>/$AwardsGranted$/</w:t>
            </w:r>
          </w:p>
        </w:tc>
      </w:tr>
      <w:tr>
        <w:trPr>
          <w:trHeight w:val="198"/>
        </w:trPr>
        <w:tc>
          <w:tcPr>
            <w:tcW w:w="3000" w:type="dxa"/>
            <w:vAlign w:val="bottom"/>
            <w:tcBorders>
              <w:left w:val="single" w:sz="8" w:color="auto"/>
            </w:tcBorders>
          </w:tcPr>
          <w:p>
            <w:pPr>
              <w:jc w:val="right"/>
              <w:ind w:right="661"/>
              <w:spacing w:after="0" w:line="198" w:lineRule="exact"/>
              <w:rPr>
                <w:sz w:val="20"/>
                <w:szCs w:val="20"/>
                <w:color w:val="auto"/>
              </w:rPr>
            </w:pPr>
            <w:r>
              <w:rPr>
                <w:rFonts w:ascii="Times New Roman" w:cs="Times New Roman" w:eastAsia="Times New Roman" w:hAnsi="Times New Roman"/>
                <w:sz w:val="20"/>
                <w:szCs w:val="20"/>
                <w:color w:val="auto"/>
              </w:rPr>
              <w:t>Maximum Award Amount:</w:t>
            </w:r>
          </w:p>
        </w:tc>
        <w:tc>
          <w:tcPr>
            <w:tcW w:w="8260" w:type="dxa"/>
            <w:vAlign w:val="bottom"/>
            <w:tcBorders>
              <w:right w:val="single" w:sz="8" w:color="auto"/>
            </w:tcBorders>
            <w:gridSpan w:val="3"/>
          </w:tcPr>
          <w:p>
            <w:pPr>
              <w:ind w:left="180"/>
              <w:spacing w:after="0" w:line="198" w:lineRule="exact"/>
              <w:rPr>
                <w:sz w:val="20"/>
                <w:szCs w:val="20"/>
                <w:color w:val="auto"/>
              </w:rPr>
            </w:pPr>
            <w:r>
              <w:rPr>
                <w:rFonts w:ascii="Times New Roman" w:cs="Times New Roman" w:eastAsia="Times New Roman" w:hAnsi="Times New Roman"/>
                <w:sz w:val="20"/>
                <w:szCs w:val="20"/>
                <w:color w:val="auto"/>
              </w:rPr>
              <w:t>Up to 200% of the Target Award Amount</w:t>
            </w:r>
          </w:p>
        </w:tc>
      </w:tr>
      <w:tr>
        <w:trPr>
          <w:trHeight w:val="193"/>
        </w:trPr>
        <w:tc>
          <w:tcPr>
            <w:tcW w:w="3000" w:type="dxa"/>
            <w:vAlign w:val="bottom"/>
            <w:tcBorders>
              <w:left w:val="single" w:sz="8" w:color="auto"/>
            </w:tcBorders>
          </w:tcPr>
          <w:p>
            <w:pPr>
              <w:jc w:val="right"/>
              <w:ind w:right="81"/>
              <w:spacing w:after="0" w:line="193" w:lineRule="exact"/>
              <w:rPr>
                <w:sz w:val="20"/>
                <w:szCs w:val="20"/>
                <w:color w:val="auto"/>
              </w:rPr>
            </w:pPr>
            <w:r>
              <w:rPr>
                <w:rFonts w:ascii="Times New Roman" w:cs="Times New Roman" w:eastAsia="Times New Roman" w:hAnsi="Times New Roman"/>
                <w:sz w:val="20"/>
                <w:szCs w:val="20"/>
                <w:color w:val="auto"/>
              </w:rPr>
              <w:t>Performance Period</w:t>
            </w:r>
          </w:p>
        </w:tc>
        <w:tc>
          <w:tcPr>
            <w:tcW w:w="8260" w:type="dxa"/>
            <w:vAlign w:val="bottom"/>
            <w:tcBorders>
              <w:right w:val="single" w:sz="8" w:color="auto"/>
            </w:tcBorders>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rPr>
              <w:t>Three-Year Period Comprised of Fiscal Years 2023, 2024, and 2025</w:t>
            </w:r>
          </w:p>
        </w:tc>
      </w:tr>
      <w:tr>
        <w:trPr>
          <w:trHeight w:val="203"/>
        </w:trPr>
        <w:tc>
          <w:tcPr>
            <w:tcW w:w="3000" w:type="dxa"/>
            <w:vAlign w:val="bottom"/>
            <w:tcBorders>
              <w:left w:val="single" w:sz="8" w:color="auto"/>
            </w:tcBorders>
          </w:tcPr>
          <w:p>
            <w:pPr>
              <w:jc w:val="right"/>
              <w:ind w:right="81"/>
              <w:spacing w:after="0" w:line="203" w:lineRule="exact"/>
              <w:rPr>
                <w:sz w:val="20"/>
                <w:szCs w:val="20"/>
                <w:color w:val="auto"/>
              </w:rPr>
            </w:pPr>
            <w:r>
              <w:rPr>
                <w:rFonts w:ascii="Times New Roman" w:cs="Times New Roman" w:eastAsia="Times New Roman" w:hAnsi="Times New Roman"/>
                <w:sz w:val="20"/>
                <w:szCs w:val="20"/>
                <w:color w:val="auto"/>
              </w:rPr>
              <w:t>Service Period:</w:t>
            </w:r>
          </w:p>
        </w:tc>
        <w:tc>
          <w:tcPr>
            <w:tcW w:w="8260" w:type="dxa"/>
            <w:vAlign w:val="bottom"/>
            <w:tcBorders>
              <w:right w:val="single" w:sz="8" w:color="auto"/>
            </w:tcBorders>
            <w:gridSpan w:val="3"/>
          </w:tcPr>
          <w:p>
            <w:pPr>
              <w:ind w:left="180"/>
              <w:spacing w:after="0" w:line="203" w:lineRule="exact"/>
              <w:rPr>
                <w:sz w:val="20"/>
                <w:szCs w:val="20"/>
                <w:color w:val="auto"/>
              </w:rPr>
            </w:pPr>
            <w:r>
              <w:rPr>
                <w:rFonts w:ascii="Times New Roman" w:cs="Times New Roman" w:eastAsia="Times New Roman" w:hAnsi="Times New Roman"/>
                <w:sz w:val="20"/>
                <w:szCs w:val="20"/>
                <w:color w:val="auto"/>
              </w:rPr>
              <w:t>Three-Year Cliff Vest on October 24, 2025</w:t>
            </w:r>
          </w:p>
        </w:tc>
      </w:tr>
      <w:tr>
        <w:trPr>
          <w:trHeight w:val="205"/>
        </w:trPr>
        <w:tc>
          <w:tcPr>
            <w:tcW w:w="3000" w:type="dxa"/>
            <w:vAlign w:val="bottom"/>
            <w:tcBorders>
              <w:left w:val="single" w:sz="8" w:color="auto"/>
            </w:tcBorders>
          </w:tcPr>
          <w:p>
            <w:pPr>
              <w:jc w:val="right"/>
              <w:ind w:right="81"/>
              <w:spacing w:after="0" w:line="198" w:lineRule="exact"/>
              <w:rPr>
                <w:sz w:val="20"/>
                <w:szCs w:val="20"/>
                <w:color w:val="auto"/>
              </w:rPr>
            </w:pPr>
            <w:r>
              <w:rPr>
                <w:rFonts w:ascii="Times New Roman" w:cs="Times New Roman" w:eastAsia="Times New Roman" w:hAnsi="Times New Roman"/>
                <w:sz w:val="20"/>
                <w:szCs w:val="20"/>
                <w:color w:val="auto"/>
              </w:rPr>
              <w:t>Grantee Level:</w:t>
            </w:r>
          </w:p>
        </w:tc>
        <w:tc>
          <w:tcPr>
            <w:tcW w:w="8260" w:type="dxa"/>
            <w:vAlign w:val="bottom"/>
            <w:tcBorders>
              <w:right w:val="single" w:sz="8" w:color="auto"/>
            </w:tcBorders>
            <w:gridSpan w:val="3"/>
          </w:tcPr>
          <w:p>
            <w:pPr>
              <w:ind w:left="180"/>
              <w:spacing w:after="0" w:line="198" w:lineRule="exact"/>
              <w:rPr>
                <w:sz w:val="20"/>
                <w:szCs w:val="20"/>
                <w:color w:val="auto"/>
              </w:rPr>
            </w:pPr>
            <w:r>
              <w:rPr>
                <w:rFonts w:ascii="Times New Roman" w:cs="Times New Roman" w:eastAsia="Times New Roman" w:hAnsi="Times New Roman"/>
                <w:sz w:val="20"/>
                <w:szCs w:val="20"/>
                <w:color w:val="auto"/>
              </w:rPr>
              <w:t>/$UserCode2$/ for Stock Ownership Guidelines (Exhibit A)</w:t>
            </w:r>
          </w:p>
        </w:tc>
      </w:tr>
      <w:tr>
        <w:trPr>
          <w:trHeight w:val="230"/>
        </w:trPr>
        <w:tc>
          <w:tcPr>
            <w:tcW w:w="3000" w:type="dxa"/>
            <w:vAlign w:val="bottom"/>
            <w:tcBorders>
              <w:left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Accept by Date:</w:t>
            </w:r>
          </w:p>
        </w:tc>
        <w:tc>
          <w:tcPr>
            <w:tcW w:w="4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/$AcceptByDate$/</w:t>
            </w:r>
          </w:p>
        </w:tc>
        <w:tc>
          <w:tcPr>
            <w:tcW w:w="780" w:type="dxa"/>
            <w:vAlign w:val="bottom"/>
            <w:tcBorders>
              <w:top w:val="single" w:sz="8" w:color="auto"/>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Acuity Brands, Inc. (the “Company”) maintains the Amended and Restated Acuity Brands, Inc. 2012 Omnibus Stock</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Incentive Compensation Plan (the “Plan”) under which the Compensation Committee of the Company’s Board of Directors (the “Committee”) has authority to grant Performance Units; and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has determined that it is in the best interest of the Company and its stockholders to grant this Performance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Unit Award to the Grantee identified above, subject to the terms and conditions set forth in the Plan and this Global Performance Unit Notification and Award Agreement, together with its exhibits (the “Agreement”).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hereinafter set forth, the parties agree as follows:</w:t>
      </w:r>
    </w:p>
    <w:p>
      <w:pPr>
        <w:spacing w:after="0" w:line="189" w:lineRule="exact"/>
        <w:rPr>
          <w:sz w:val="20"/>
          <w:szCs w:val="20"/>
          <w:color w:val="auto"/>
        </w:rPr>
      </w:pPr>
    </w:p>
    <w:p>
      <w:pPr>
        <w:jc w:val="both"/>
        <w:ind w:right="20" w:firstLine="656"/>
        <w:spacing w:after="0" w:line="217" w:lineRule="auto"/>
        <w:tabs>
          <w:tab w:leader="none" w:pos="129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Incorporation of the Plan</w:t>
      </w:r>
      <w:r>
        <w:rPr>
          <w:rFonts w:ascii="Times New Roman" w:cs="Times New Roman" w:eastAsia="Times New Roman" w:hAnsi="Times New Roman"/>
          <w:sz w:val="20"/>
          <w:szCs w:val="20"/>
          <w:color w:val="auto"/>
        </w:rPr>
        <w:t>. The provisions of the Plan are hereby incorporated by reference. Except as otherwise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this Agreement shall be construed in accordance with the provisions of the Plan and any capitalized terms not otherwise defined in this Agreement shall have the definitions set forth in the Plan. In the event of any conflict between the terms of the Plan and the terms of this Agreement, the terms of the Plan shall prevail. The Committee has final authority to interpret and construe the Plan and this Agreement and to make any and all determinations under them, and its decision shall be binding and conclusive upon Grantee and Grantee’s legal representative with respect to any questions arising under the Plan or this Agreement.</w:t>
      </w:r>
    </w:p>
    <w:p>
      <w:pPr>
        <w:spacing w:after="0" w:line="156" w:lineRule="exact"/>
        <w:rPr>
          <w:rFonts w:ascii="Times New Roman" w:cs="Times New Roman" w:eastAsia="Times New Roman" w:hAnsi="Times New Roman"/>
          <w:sz w:val="20"/>
          <w:szCs w:val="20"/>
          <w:b w:val="1"/>
          <w:bCs w:val="1"/>
          <w:color w:val="auto"/>
        </w:rPr>
      </w:pPr>
    </w:p>
    <w:p>
      <w:pPr>
        <w:jc w:val="both"/>
        <w:ind w:right="20" w:firstLine="656"/>
        <w:spacing w:after="0" w:line="217" w:lineRule="auto"/>
        <w:tabs>
          <w:tab w:leader="none" w:pos="129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Performance Unit Award</w:t>
      </w:r>
      <w:r>
        <w:rPr>
          <w:rFonts w:ascii="Times New Roman" w:cs="Times New Roman" w:eastAsia="Times New Roman" w:hAnsi="Times New Roman"/>
          <w:sz w:val="20"/>
          <w:szCs w:val="20"/>
          <w:color w:val="auto"/>
        </w:rPr>
        <w:t>. The Committee, on behalf of the Company, hereby grants to Grantee, effective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Grant Date, Performance Units equal to the Target Award Amount set forth above, on the terms and conditions set forth in this Agreement, including the specific vesting requirements set forth above and the performance goal requirements (the “Performance Goals”)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and as otherwise provided in the Plan. The actual number of Performance Units earned pursuant to the Award will be determined based on the achievement of the Performance Goals during the Performance Period, as further set forth in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42" w:lineRule="exact"/>
        <w:rPr>
          <w:rFonts w:ascii="Times New Roman" w:cs="Times New Roman" w:eastAsia="Times New Roman" w:hAnsi="Times New Roman"/>
          <w:sz w:val="20"/>
          <w:szCs w:val="20"/>
          <w:b w:val="1"/>
          <w:bCs w:val="1"/>
          <w:color w:val="auto"/>
        </w:rPr>
      </w:pPr>
    </w:p>
    <w:p>
      <w:pPr>
        <w:jc w:val="both"/>
        <w:ind w:right="20" w:firstLine="656"/>
        <w:spacing w:after="0" w:line="223" w:lineRule="auto"/>
        <w:tabs>
          <w:tab w:leader="none" w:pos="129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Acceptance of Performance Unit Award</w:t>
      </w:r>
      <w:r>
        <w:rPr>
          <w:rFonts w:ascii="Times New Roman" w:cs="Times New Roman" w:eastAsia="Times New Roman" w:hAnsi="Times New Roman"/>
          <w:sz w:val="20"/>
          <w:szCs w:val="20"/>
          <w:color w:val="auto"/>
        </w:rPr>
        <w:t>. This award of Performance Units is conditioned upon Grantee’s acceptance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of this Agreement, as evidenced by Grantee’s execution of this Agreement or by Grantee’s electronic acceptance of this Agreement in a manner and during the time period allowed by the Company. If the terms of this Agreement are not timely accepted by execution or by such electronic means, the award of Performance Units may be cancelled.</w:t>
      </w:r>
    </w:p>
    <w:p>
      <w:pPr>
        <w:spacing w:after="0" w:line="157" w:lineRule="exact"/>
        <w:rPr>
          <w:rFonts w:ascii="Times New Roman" w:cs="Times New Roman" w:eastAsia="Times New Roman" w:hAnsi="Times New Roman"/>
          <w:sz w:val="20"/>
          <w:szCs w:val="20"/>
          <w:b w:val="1"/>
          <w:bCs w:val="1"/>
          <w:color w:val="auto"/>
        </w:rPr>
      </w:pPr>
    </w:p>
    <w:p>
      <w:pPr>
        <w:ind w:right="40" w:firstLine="656"/>
        <w:spacing w:after="0" w:line="245" w:lineRule="auto"/>
        <w:tabs>
          <w:tab w:leader="none" w:pos="129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Goals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sets forth the Performance Goals that must be satisfied in order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Units to be eligible to vest, subject to Grantee’s satisfaction of the Service</w:t>
      </w:r>
    </w:p>
    <w:p>
      <w:pPr>
        <w:sectPr>
          <w:pgSz w:w="11900" w:h="16838" w:orient="portrait"/>
          <w:cols w:equalWidth="0" w:num="1">
            <w:col w:w="11260"/>
          </w:cols>
          <w:pgMar w:left="320" w:top="107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60"/>
          </w:cols>
          <w:pgMar w:left="320" w:top="1075" w:right="319" w:bottom="1440" w:gutter="0" w:footer="0" w:header="0"/>
          <w:type w:val="continuous"/>
        </w:sectPr>
      </w:pPr>
    </w:p>
    <w:bookmarkStart w:id="30" w:name="page31"/>
    <w:bookmarkEnd w:id="30"/>
    <w:p>
      <w:pPr>
        <w:ind w:right="20"/>
        <w:spacing w:after="0" w:line="227" w:lineRule="auto"/>
        <w:rPr>
          <w:sz w:val="20"/>
          <w:szCs w:val="20"/>
          <w:color w:val="auto"/>
        </w:rPr>
      </w:pPr>
      <w:r>
        <w:rPr>
          <w:rFonts w:ascii="Times New Roman" w:cs="Times New Roman" w:eastAsia="Times New Roman" w:hAnsi="Times New Roman"/>
          <w:sz w:val="19"/>
          <w:szCs w:val="19"/>
          <w:color w:val="auto"/>
        </w:rPr>
        <w:t>Period, except as otherwise set forth in Section 5. The Committee shall certify the extent to which the Performance Goals have been achieved with such certification occurring as soon as practicable following the end of the Performance Period and in any event no later than ninety</w:t>
      </w:r>
    </w:p>
    <w:p>
      <w:pPr>
        <w:jc w:val="both"/>
        <w:ind w:firstLine="8"/>
        <w:spacing w:after="0" w:line="215" w:lineRule="auto"/>
        <w:tabs>
          <w:tab w:leader="none" w:pos="40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end of such Performance Period (such certification occurring on the “Certification Date”). Except as set forth in Section 5, any Performance Units for which the Performance Goals have not been achieved shall be automatically forfeited, terminated and cancelled effective as of the applicable Certification Date, without the payment of any consideration by the Company, and Grantee, or Grantee’s beneficiary or personal representative, as the case may be, shall have no further rights with respect to such forfeited Performance Units under the Agreement.</w:t>
      </w:r>
    </w:p>
    <w:p>
      <w:pPr>
        <w:spacing w:after="0" w:line="15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Performance Unit Award</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jc w:val="both"/>
        <w:ind w:firstLine="980"/>
        <w:spacing w:after="0" w:line="222" w:lineRule="auto"/>
        <w:tabs>
          <w:tab w:leader="none" w:pos="1288"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Provided that Grantee remains continuously employed by the Company, a Subsidiary or Affiliate through the last day of the Service Period (the “Vesting Date”), this Performance Unit Award shall vest to the extent that the Performance Goals have been achieved, as determined by the Committee on the Certification Date. For purposes of this Agreement, providing active services as an Employee or as a member of the Board shall be considered as employment.</w:t>
      </w:r>
    </w:p>
    <w:p>
      <w:pPr>
        <w:spacing w:after="0" w:line="161" w:lineRule="exact"/>
        <w:rPr>
          <w:rFonts w:ascii="Times New Roman" w:cs="Times New Roman" w:eastAsia="Times New Roman" w:hAnsi="Times New Roman"/>
          <w:sz w:val="20"/>
          <w:szCs w:val="20"/>
          <w:color w:val="auto"/>
        </w:rPr>
      </w:pPr>
    </w:p>
    <w:p>
      <w:pPr>
        <w:jc w:val="both"/>
        <w:ind w:firstLine="980"/>
        <w:spacing w:after="0" w:line="227" w:lineRule="auto"/>
        <w:tabs>
          <w:tab w:leader="none" w:pos="1285" w:val="left"/>
        </w:tabs>
        <w:numPr>
          <w:ilvl w:val="2"/>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Acceleration Following Termination due to Death or Disability</w:t>
      </w:r>
      <w:r>
        <w:rPr>
          <w:rFonts w:ascii="Times New Roman" w:cs="Times New Roman" w:eastAsia="Times New Roman" w:hAnsi="Times New Roman"/>
          <w:sz w:val="19"/>
          <w:szCs w:val="19"/>
          <w:color w:val="auto"/>
        </w:rPr>
        <w:t>. Notwithstanding Section 5(a) above, if prior to the Vesting Date, (i) Grantee dies while actively employed by the Company or a Subsidiary or Affiliate, or (ii) Grantee’s employment terminates by reason of Grantee’s Disability, any Performance Units shall become fully vested and non-forfeitable as of the date of Grantee’s death or Disability in an amount equal to the Target Award Amount; provided, however, that if Grantee’s Termination due to Grantee’s death or Disability occurs after the end of the Performance Period, the Performance Units shall become fully vested and non-forfeitable in an amount equal to the number of Performance Units actually earned, as determined by the Committee on the Certification Date.</w:t>
      </w:r>
    </w:p>
    <w:p>
      <w:pPr>
        <w:spacing w:after="0" w:line="164" w:lineRule="exact"/>
        <w:rPr>
          <w:rFonts w:ascii="Times New Roman" w:cs="Times New Roman" w:eastAsia="Times New Roman" w:hAnsi="Times New Roman"/>
          <w:sz w:val="19"/>
          <w:szCs w:val="19"/>
          <w:color w:val="auto"/>
        </w:rPr>
      </w:pPr>
    </w:p>
    <w:p>
      <w:pPr>
        <w:jc w:val="both"/>
        <w:ind w:firstLine="980"/>
        <w:spacing w:after="0" w:line="211" w:lineRule="auto"/>
        <w:tabs>
          <w:tab w:leader="none" w:pos="1288"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Following Termination with Tenure</w:t>
      </w:r>
      <w:r>
        <w:rPr>
          <w:rFonts w:ascii="Times New Roman" w:cs="Times New Roman" w:eastAsia="Times New Roman" w:hAnsi="Times New Roman"/>
          <w:sz w:val="20"/>
          <w:szCs w:val="20"/>
          <w:color w:val="auto"/>
        </w:rPr>
        <w:t xml:space="preserve">. Notwithstanding Section 5(a) above, if Grantee’s employment terminates for a reason other than Cause on or after the date on which the number of completed years of Grantee’s continuous service to the Company or a Subsidiary or Affiliate is at least five (5) (“Tenure”), the Performance Units will remain outstanding and will remain available to vest on a pro rata basis (as described below) at the end of the Service Period set forth above and subject to the terms set forth in this Agreement, including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as though Grantee had remained employed, and once vested, will be settled in accordance with Section 7 below; provided, however, that any unvested Performance Units will be forfeited immediately, automatically and without consideration upon Grantee’s breach of the confidentiality, inventions, non-solicitation and non-competition provisions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(as determined by the Committee). The pro-rata portion of the Performance Units that will remain outstanding and available to vest following Grantee’s termination with Tenure will be calculated based on the ratio of (x) each full year worked by Grantee from the Grant Date to Grantee’s Date of Termination (as defined below), to (y) the total number of years in the Service Period. The Company, in its sole discretion, will determine whether Grantee has completed five (5) years of continuous service, including the effect of any break-in-service.</w:t>
      </w:r>
    </w:p>
    <w:p>
      <w:pPr>
        <w:spacing w:after="0" w:line="165" w:lineRule="exact"/>
        <w:rPr>
          <w:rFonts w:ascii="Times New Roman" w:cs="Times New Roman" w:eastAsia="Times New Roman" w:hAnsi="Times New Roman"/>
          <w:sz w:val="20"/>
          <w:szCs w:val="20"/>
          <w:color w:val="auto"/>
        </w:rPr>
      </w:pPr>
    </w:p>
    <w:p>
      <w:pPr>
        <w:jc w:val="both"/>
        <w:ind w:firstLine="980"/>
        <w:spacing w:after="0" w:line="222" w:lineRule="auto"/>
        <w:tabs>
          <w:tab w:leader="none" w:pos="1285" w:val="left"/>
        </w:tabs>
        <w:numPr>
          <w:ilvl w:val="2"/>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Service for Any Other Reason</w:t>
      </w:r>
      <w:r>
        <w:rPr>
          <w:rFonts w:ascii="Times New Roman" w:cs="Times New Roman" w:eastAsia="Times New Roman" w:hAnsi="Times New Roman"/>
          <w:sz w:val="19"/>
          <w:szCs w:val="19"/>
          <w:color w:val="auto"/>
        </w:rPr>
        <w:t>. Except for death, Termination due to Disability or Termination with Tenure, as provided in Sections 5(b) and (c) above, or except as otherwise provided in a duly approved severance agreement with Grantee, if Grantee terminates his or her employment or if the Company or if different, the Subsidiary or Affiliate employing Grantee (the “Employer”) terminates Grantee’s employment prior to the Vesting Date (even in the case of unfair dismissal and whether or not later to be found invalid or in breach of employment laws in the jurisdiction where Grantee is employed or the terms of Grantee’s employment agreement, if any) Grantee expressly acknowledges that the Performance Units shall cease to vest further and that the Performance Units shall be immediately forfeited as of the Date of Termination. “Date of Termination” means the last day of Grantee’s active employment with the Employer. For greater certainty, Grantee’s Date of Termination shall be deemed to be the date on which the notice of termination of employment provided is stated to be effective (and in the case of alleged constructive dismissal, the date on which the alleged constructive dismissal is alleged to have occurred), and not during or as of the end of any notice or other period following such date during which Grantee is in receipt of, or eligible to receive, statutory, contractual or common law notice of termination or any compensation in lieu of such notice or severance pay. The Board or the Committee shall have the exclusive discretion to determine when Grantee is no longer actively providing services for purposes of the Performance Unit grant (including whether Grantee may still be considered to be providing services while on a leave of absence).</w:t>
      </w:r>
    </w:p>
    <w:p>
      <w:pPr>
        <w:spacing w:after="0" w:line="167" w:lineRule="exact"/>
        <w:rPr>
          <w:rFonts w:ascii="Times New Roman" w:cs="Times New Roman" w:eastAsia="Times New Roman" w:hAnsi="Times New Roman"/>
          <w:sz w:val="19"/>
          <w:szCs w:val="19"/>
          <w:color w:val="auto"/>
        </w:rPr>
      </w:pPr>
    </w:p>
    <w:p>
      <w:pPr>
        <w:ind w:firstLine="980"/>
        <w:spacing w:after="0" w:line="233" w:lineRule="auto"/>
        <w:tabs>
          <w:tab w:leader="none" w:pos="1288"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 Upon a Change in Control</w:t>
      </w:r>
      <w:r>
        <w:rPr>
          <w:rFonts w:ascii="Times New Roman" w:cs="Times New Roman" w:eastAsia="Times New Roman" w:hAnsi="Times New Roman"/>
          <w:sz w:val="20"/>
          <w:szCs w:val="20"/>
          <w:color w:val="auto"/>
        </w:rPr>
        <w:t>. Notwithstanding the other provisions of this Agreement, in the event of a Change in Control prior to the Vesting Date, all Performance Units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color w:val="auto"/>
        </w:rPr>
        <w:t>fully vested and non-forfeitable as of the date of the Change in Control in an amount equal to the Target Award Amount; provided, however,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if the Change in Control occurs after the end of the Performance Period, the Performance Units shall become fully vested and non-forfeitable in an amount equal to the number of Performance Units actually earned, as determined by the Committee on the Certification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63" w:lineRule="exact"/>
        <w:rPr>
          <w:sz w:val="20"/>
          <w:szCs w:val="20"/>
          <w:color w:val="auto"/>
        </w:rPr>
      </w:pPr>
    </w:p>
    <w:p>
      <w:pPr>
        <w:jc w:val="both"/>
        <w:ind w:firstLine="656"/>
        <w:spacing w:after="0" w:line="213" w:lineRule="auto"/>
        <w:tabs>
          <w:tab w:leader="none" w:pos="129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During the period that Grantee holds Performance Units granted pursuant to this Agreement, on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that the Company pays a cash dividend to holders on its Common Stock, the Company shall credit to a non-interest bearing account on its books for Grantee an unvested amount equal to the United States (“U.S.”) Dollar amount paid per share of the Company’s Common Stock for each Performance Unit initially granted pursuant to this Agreement (the “Dividend Equivalents”). The Dividend Equivalents credited to Grantee’s non-interest bearing account shall vest only to the extent that the Performance Units vest and, except as otherwise provided in Section 5, only with respect to the number of Performance Units actually earned, based on achievement of the Performance Goals. Any such vested Dividend Equivalents shall be paid in accordance with Section 7 below. The Dividend Equivalents shall be forfeited in the event that the Performance Units are forfeited.</w:t>
      </w:r>
    </w:p>
    <w:p>
      <w:pPr>
        <w:spacing w:after="0" w:line="162" w:lineRule="exact"/>
        <w:rPr>
          <w:rFonts w:ascii="Times New Roman" w:cs="Times New Roman" w:eastAsia="Times New Roman" w:hAnsi="Times New Roman"/>
          <w:sz w:val="20"/>
          <w:szCs w:val="20"/>
          <w:b w:val="1"/>
          <w:bCs w:val="1"/>
          <w:color w:val="auto"/>
        </w:rPr>
      </w:pPr>
    </w:p>
    <w:p>
      <w:pPr>
        <w:jc w:val="both"/>
        <w:ind w:firstLine="656"/>
        <w:spacing w:after="0" w:line="211" w:lineRule="auto"/>
        <w:tabs>
          <w:tab w:leader="none" w:pos="129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Issuance of Shares upon Vesting</w:t>
      </w:r>
      <w:r>
        <w:rPr>
          <w:rFonts w:ascii="Times New Roman" w:cs="Times New Roman" w:eastAsia="Times New Roman" w:hAnsi="Times New Roman"/>
          <w:sz w:val="20"/>
          <w:szCs w:val="20"/>
          <w:color w:val="auto"/>
        </w:rPr>
        <w:t>. No Shares shall be issued to Grantee prior to the date that the Performance Units vest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this Agreement. As soon as practical and in any event within sixty (60) days after the Vesting Date (or within such longer period as may be permitted under Section 409A upon Grantee’s death), and subject to the Company’s Incentive-Based Compensation Recoupment Policy (described in Section 11 below) and the applicable terms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the Company will cause Shares to be issued to an unrestricted account in Grantee’s name in payment of such vested Performance Units and will cause any Dividend Equivalents attributed to such vested Performance Units to be paid in cash to Grantee or, in the event of death, to Grantee’s heirs, subject to the applicable laws of descent and distribution. Notwithstanding the foregoing, (a) in the event of vesting of the Performance Units upon a Change in Control, the Performance Units and any Dividend Equivalents shall be paid in accordance with Section 15.2 of the Plan, and (b) to the extent that (i) the Performance Units constitute “nonqualified deferred compensation” subject to Section 409A, (ii) Grantee is subject to U.S. federal taxation and (iii) the aforementioned sixty (60) day period spans two calendar years, the Performance Units and any Dividend Equivalents will be paid in the second of such calendar years.</w:t>
      </w:r>
    </w:p>
    <w:p>
      <w:pPr>
        <w:spacing w:after="0" w:line="165" w:lineRule="exact"/>
        <w:rPr>
          <w:rFonts w:ascii="Times New Roman" w:cs="Times New Roman" w:eastAsia="Times New Roman" w:hAnsi="Times New Roman"/>
          <w:sz w:val="20"/>
          <w:szCs w:val="20"/>
          <w:b w:val="1"/>
          <w:bCs w:val="1"/>
          <w:color w:val="auto"/>
        </w:rPr>
      </w:pPr>
    </w:p>
    <w:p>
      <w:pPr>
        <w:jc w:val="both"/>
        <w:ind w:firstLine="656"/>
        <w:spacing w:after="0" w:line="227" w:lineRule="auto"/>
        <w:tabs>
          <w:tab w:leader="none" w:pos="129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 Restrictions</w:t>
      </w:r>
      <w:r>
        <w:rPr>
          <w:rFonts w:ascii="Times New Roman" w:cs="Times New Roman" w:eastAsia="Times New Roman" w:hAnsi="Times New Roman"/>
          <w:sz w:val="20"/>
          <w:szCs w:val="20"/>
          <w:color w:val="auto"/>
        </w:rPr>
        <w:t>. The Performance Units may not be sold, assigned, transferred, pledged, or otherwise encumbered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manner other than by will or the laws of descent and distribution, unless and until the shares of Common Stock underlying the vested Performance Units have been issued.</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27" w:lineRule="auto"/>
        <w:tabs>
          <w:tab w:leader="none" w:pos="129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 Rights</w:t>
      </w:r>
      <w:r>
        <w:rPr>
          <w:rFonts w:ascii="Times New Roman" w:cs="Times New Roman" w:eastAsia="Times New Roman" w:hAnsi="Times New Roman"/>
          <w:sz w:val="20"/>
          <w:szCs w:val="20"/>
          <w:color w:val="auto"/>
        </w:rPr>
        <w:t>. The Performance Units granted pursuant to this Agreement do not and shall not entitle Grantee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of a stockholder of the Company’s Common Stock. Grantee’s rights with respect to the Performance Units shall remain forfeitable at all times prior to the Vesting Date or such other date on which the Performance Units vest pursuant to Section 5.</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7"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 Upon Specified Events</w:t>
      </w:r>
      <w:r>
        <w:rPr>
          <w:rFonts w:ascii="Times New Roman" w:cs="Times New Roman" w:eastAsia="Times New Roman" w:hAnsi="Times New Roman"/>
          <w:sz w:val="20"/>
          <w:szCs w:val="20"/>
          <w:color w:val="auto"/>
        </w:rPr>
        <w:t>. In the event of a Share Change (as defined in the Plan), the number and class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or other securities that Grantee shall be entitled to, and shall hold, pursuant to this Agreement shall be appropriately adjusted or changed to reflect the Share Change, provided that any such additional Shares or additional or different Shares or securities shall remain subject to the restrictions in this Agreement.</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35" w:lineRule="auto"/>
        <w:tabs>
          <w:tab w:leader="none" w:pos="1276" w:val="left"/>
        </w:tabs>
        <w:numPr>
          <w:ilvl w:val="0"/>
          <w:numId w:val="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Recoupment</w:t>
      </w:r>
      <w:r>
        <w:rPr>
          <w:rFonts w:ascii="Times New Roman" w:cs="Times New Roman" w:eastAsia="Times New Roman" w:hAnsi="Times New Roman"/>
          <w:sz w:val="19"/>
          <w:szCs w:val="19"/>
          <w:color w:val="auto"/>
        </w:rPr>
        <w:t>. All Awards of Performance Units, whether unvested or vested, shall be subject to the Company’s Incentive-Based Compensation Recoupment Policy (the “Recoupment Policy”), such that any Award that was made to a Grantee who is deemed a “Covered Employee” under the Recoupment Policy within the three (3) year period preceding the date on which the Company announces that it will prepare an accounting restatement under the Recoupment Policy shall be subject to deduction, clawback or forfeiture, as applicable.</w:t>
      </w:r>
    </w:p>
    <w:p>
      <w:pPr>
        <w:spacing w:after="0" w:line="143" w:lineRule="exact"/>
        <w:rPr>
          <w:rFonts w:ascii="Times New Roman" w:cs="Times New Roman" w:eastAsia="Times New Roman" w:hAnsi="Times New Roman"/>
          <w:sz w:val="19"/>
          <w:szCs w:val="19"/>
          <w:b w:val="1"/>
          <w:bCs w:val="1"/>
          <w:color w:val="auto"/>
        </w:rPr>
      </w:pPr>
    </w:p>
    <w:p>
      <w:pPr>
        <w:jc w:val="both"/>
        <w:ind w:firstLine="656"/>
        <w:spacing w:after="0" w:line="215" w:lineRule="auto"/>
        <w:tabs>
          <w:tab w:leader="none" w:pos="1287"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Section 409A of the Code for U.S. Taxpayers</w:t>
      </w:r>
      <w:r>
        <w:rPr>
          <w:rFonts w:ascii="Times New Roman" w:cs="Times New Roman" w:eastAsia="Times New Roman" w:hAnsi="Times New Roman"/>
          <w:sz w:val="20"/>
          <w:szCs w:val="20"/>
          <w:color w:val="auto"/>
        </w:rPr>
        <w:t>. The parties intend that this Agreement and the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hereunder be exempt from the requirements of Section 409A of the Code (together with any Department of Treasury regulations and other interpretive guidance issued thereunder, including without limitation any such regulations or other guidance that may be issued after the date hereof, “Section 409A”) to the maximum extent possible, whether pursuant to the short-term deferral exception described in Treasury Regulation Section 1.409A-1(b)(4) or otherwise. However, to the extent that the Performance Units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 Notwithstanding any other provision of the Plan or this Agreement, the Committee shall have the right in its sole discretion (without any obligation to do so or to indemnify Grantee or any other person for failure to do so)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0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adopt such amendments to the Plan or this Agreement, or adopt other policies and procedures (including amendments, policies and</w:t>
      </w:r>
    </w:p>
    <w:p>
      <w:pPr>
        <w:spacing w:after="0" w:line="204" w:lineRule="auto"/>
        <w:rPr>
          <w:sz w:val="20"/>
          <w:szCs w:val="20"/>
          <w:color w:val="auto"/>
        </w:rPr>
      </w:pPr>
      <w:r>
        <w:rPr>
          <w:rFonts w:ascii="Times New Roman" w:cs="Times New Roman" w:eastAsia="Times New Roman" w:hAnsi="Times New Roman"/>
          <w:sz w:val="20"/>
          <w:szCs w:val="20"/>
          <w:color w:val="auto"/>
        </w:rPr>
        <w:t>procedures with retroactive effect), or take any other actions, as the Committee determines are necessary or appropriate either for the Performance Units to be exempt from the application of Section 409A or to comply with the requirements of Section 409A. Nothing in this</w:t>
      </w:r>
    </w:p>
    <w:p>
      <w:pPr>
        <w:spacing w:after="0" w:line="223" w:lineRule="auto"/>
        <w:rPr>
          <w:sz w:val="20"/>
          <w:szCs w:val="20"/>
          <w:color w:val="auto"/>
        </w:rPr>
      </w:pPr>
      <w:r>
        <w:rPr>
          <w:rFonts w:ascii="Times New Roman" w:cs="Times New Roman" w:eastAsia="Times New Roman" w:hAnsi="Times New Roman"/>
          <w:sz w:val="19"/>
          <w:szCs w:val="19"/>
          <w:color w:val="auto"/>
        </w:rPr>
        <w:t>Agreement or the Plan shall provide a basis for any person to take action against the Company or any Subsidiary based on matters covered by</w:t>
      </w:r>
    </w:p>
    <w:p>
      <w:pPr>
        <w:spacing w:after="0" w:line="215" w:lineRule="auto"/>
        <w:rPr>
          <w:sz w:val="20"/>
          <w:szCs w:val="20"/>
          <w:color w:val="auto"/>
        </w:rPr>
      </w:pPr>
      <w:r>
        <w:rPr>
          <w:rFonts w:ascii="Times New Roman" w:cs="Times New Roman" w:eastAsia="Times New Roman" w:hAnsi="Times New Roman"/>
          <w:sz w:val="19"/>
          <w:szCs w:val="19"/>
          <w:color w:val="auto"/>
        </w:rPr>
        <w:t>Section 409A of the Code, including the tax treatment of any amount paid or Performance Units granted under this Agreement, and neither the Company nor any of its Subsidiaries shall under any circumstances have any liability to Grantee or his or her estate or any other party for</w:t>
      </w:r>
    </w:p>
    <w:p>
      <w:pPr>
        <w:ind w:right="20"/>
        <w:spacing w:after="0" w:line="228" w:lineRule="auto"/>
        <w:rPr>
          <w:sz w:val="20"/>
          <w:szCs w:val="20"/>
          <w:color w:val="auto"/>
        </w:rPr>
      </w:pPr>
      <w:r>
        <w:rPr>
          <w:rFonts w:ascii="Times New Roman" w:cs="Times New Roman" w:eastAsia="Times New Roman" w:hAnsi="Times New Roman"/>
          <w:sz w:val="20"/>
          <w:szCs w:val="20"/>
          <w:color w:val="auto"/>
        </w:rPr>
        <w:t>any taxes, penalties or interest due on amounts paid or payable under this Agreement, including taxes, penalties or interest imposed under Section 409A.</w:t>
      </w:r>
    </w:p>
    <w:p>
      <w:pPr>
        <w:spacing w:after="0" w:line="145" w:lineRule="exact"/>
        <w:rPr>
          <w:sz w:val="20"/>
          <w:szCs w:val="20"/>
          <w:color w:val="auto"/>
        </w:rPr>
      </w:pPr>
    </w:p>
    <w:p>
      <w:pPr>
        <w:jc w:val="both"/>
        <w:ind w:firstLine="656"/>
        <w:spacing w:after="0" w:line="213" w:lineRule="auto"/>
        <w:tabs>
          <w:tab w:leader="none" w:pos="1287"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 Law and other Legal Compliance</w:t>
      </w:r>
      <w:r>
        <w:rPr>
          <w:rFonts w:ascii="Times New Roman" w:cs="Times New Roman" w:eastAsia="Times New Roman" w:hAnsi="Times New Roman"/>
          <w:sz w:val="20"/>
          <w:szCs w:val="20"/>
          <w:color w:val="auto"/>
        </w:rPr>
        <w:t>. Notwithstanding any other provision of the Plan or this Agreement,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is an available exemption from any registration, qualification or other legal requirement applicable to the Common Stock, the Company shall not be required to deliver any Common Stock issuable upon settlement of the Performance Units prior to the completion of any registration or qualification of the Common Stock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Grantee understands that the Company is under no obligation to register or qualify the Common Stock with the SEC or any state, provincial or foreign securities commission or to seek approval or clearance from any governmental authority for the issuance or sale of Common Stock. Further, Grantee agrees that the Company shall have unilateral authority to amend the Plan and this Agreement without Grantee’s consent to the extent necessary to comply with securities or other laws applicable to the issuance of Common Stock.</w:t>
      </w:r>
    </w:p>
    <w:p>
      <w:pPr>
        <w:spacing w:after="0" w:line="144" w:lineRule="exact"/>
        <w:rPr>
          <w:rFonts w:ascii="Times New Roman" w:cs="Times New Roman" w:eastAsia="Times New Roman" w:hAnsi="Times New Roman"/>
          <w:sz w:val="20"/>
          <w:szCs w:val="20"/>
          <w:b w:val="1"/>
          <w:bCs w:val="1"/>
          <w:color w:val="auto"/>
        </w:rPr>
      </w:pPr>
    </w:p>
    <w:p>
      <w:pPr>
        <w:ind w:firstLine="656"/>
        <w:spacing w:after="0" w:line="245" w:lineRule="auto"/>
        <w:tabs>
          <w:tab w:leader="none" w:pos="1287"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Grantee’s Representation</w:t>
      </w:r>
      <w:r>
        <w:rPr>
          <w:rFonts w:ascii="Times New Roman" w:cs="Times New Roman" w:eastAsia="Times New Roman" w:hAnsi="Times New Roman"/>
          <w:sz w:val="20"/>
          <w:szCs w:val="20"/>
          <w:color w:val="auto"/>
        </w:rPr>
        <w:t>. Grantee represents and warrants that he or she is acquiring the Performance Units for investment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only, and not with a view to distribution thereof.</w:t>
      </w:r>
    </w:p>
    <w:p>
      <w:pPr>
        <w:spacing w:after="0" w:line="151" w:lineRule="exact"/>
        <w:rPr>
          <w:rFonts w:ascii="Times New Roman" w:cs="Times New Roman" w:eastAsia="Times New Roman" w:hAnsi="Times New Roman"/>
          <w:sz w:val="20"/>
          <w:szCs w:val="20"/>
          <w:b w:val="1"/>
          <w:bCs w:val="1"/>
          <w:color w:val="auto"/>
        </w:rPr>
      </w:pPr>
    </w:p>
    <w:p>
      <w:pPr>
        <w:jc w:val="both"/>
        <w:ind w:firstLine="656"/>
        <w:spacing w:after="0" w:line="218" w:lineRule="auto"/>
        <w:tabs>
          <w:tab w:leader="none" w:pos="1287"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 Stock Ownership Guidelines</w:t>
      </w:r>
      <w:r>
        <w:rPr>
          <w:rFonts w:ascii="Times New Roman" w:cs="Times New Roman" w:eastAsia="Times New Roman" w:hAnsi="Times New Roman"/>
          <w:sz w:val="20"/>
          <w:szCs w:val="20"/>
          <w:color w:val="auto"/>
        </w:rPr>
        <w:t>. In exchange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receipt of consideration in the form of the Performance Unit award pursuant to this Agreement and other good and valuable consideration, Grantee agrees that he/she shall comply with the confidentiality, inventions, non-solicitation and non-competition provisions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Grantee acknowledges its obligations, if and as applicable to Grantee’s position, described in the Company’s Stock Ownership Guidelines in effect from time to time, as summarized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Grant</w:t>
      </w:r>
      <w:r>
        <w:rPr>
          <w:rFonts w:ascii="Times New Roman" w:cs="Times New Roman" w:eastAsia="Times New Roman" w:hAnsi="Times New Roman"/>
          <w:sz w:val="20"/>
          <w:szCs w:val="20"/>
          <w:color w:val="auto"/>
        </w:rPr>
        <w:t>. In accepting the grant, Grantee acknowledges, understands and agrees that:</w:t>
      </w:r>
    </w:p>
    <w:p>
      <w:pPr>
        <w:spacing w:after="0" w:line="192" w:lineRule="exact"/>
        <w:rPr>
          <w:rFonts w:ascii="Times New Roman" w:cs="Times New Roman" w:eastAsia="Times New Roman" w:hAnsi="Times New Roman"/>
          <w:sz w:val="20"/>
          <w:szCs w:val="20"/>
          <w:b w:val="1"/>
          <w:bCs w:val="1"/>
          <w:color w:val="auto"/>
        </w:rPr>
      </w:pPr>
    </w:p>
    <w:p>
      <w:pPr>
        <w:ind w:firstLine="980"/>
        <w:spacing w:after="0" w:line="233" w:lineRule="auto"/>
        <w:tabs>
          <w:tab w:leader="none" w:pos="1288"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60" w:lineRule="exact"/>
        <w:rPr>
          <w:rFonts w:ascii="Times New Roman" w:cs="Times New Roman" w:eastAsia="Times New Roman" w:hAnsi="Times New Roman"/>
          <w:sz w:val="20"/>
          <w:szCs w:val="20"/>
          <w:color w:val="auto"/>
        </w:rPr>
      </w:pPr>
    </w:p>
    <w:p>
      <w:pPr>
        <w:ind w:right="20" w:firstLine="980"/>
        <w:spacing w:after="0"/>
        <w:tabs>
          <w:tab w:leader="none" w:pos="128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Performance Units is exceptional, voluntary and occasional and does not create any contractual or other right to receive future grants of performance units, or benefits in lieu of performance units, even if performance units have been granted in the past;</w:t>
      </w:r>
    </w:p>
    <w:p>
      <w:pPr>
        <w:spacing w:after="0" w:line="14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Performance Units or other grants, if any, will be at the sole discretion of the Company;</w:t>
      </w:r>
    </w:p>
    <w:p>
      <w:pPr>
        <w:spacing w:after="0" w:line="188" w:lineRule="exact"/>
        <w:rPr>
          <w:rFonts w:ascii="Times New Roman" w:cs="Times New Roman" w:eastAsia="Times New Roman" w:hAnsi="Times New Roman"/>
          <w:sz w:val="20"/>
          <w:szCs w:val="20"/>
          <w:color w:val="auto"/>
        </w:rPr>
      </w:pPr>
    </w:p>
    <w:p>
      <w:pPr>
        <w:jc w:val="both"/>
        <w:ind w:firstLine="980"/>
        <w:spacing w:after="0" w:line="226" w:lineRule="auto"/>
        <w:tabs>
          <w:tab w:leader="none" w:pos="128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 grant and Grantee’s participation in the Plan shall not create a right to employment or be interpreted as forming or amending an employment or services contract with the Company and shall not interfere with the ability of the Employer to terminate Grantee’s employment or service relationship (if any);</w:t>
      </w:r>
    </w:p>
    <w:p>
      <w:pPr>
        <w:spacing w:after="0" w:line="16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is voluntarily participating in the Plan;</w:t>
      </w:r>
    </w:p>
    <w:p>
      <w:pPr>
        <w:spacing w:after="0" w:line="188" w:lineRule="exact"/>
        <w:rPr>
          <w:rFonts w:ascii="Times New Roman" w:cs="Times New Roman" w:eastAsia="Times New Roman" w:hAnsi="Times New Roman"/>
          <w:sz w:val="20"/>
          <w:szCs w:val="20"/>
          <w:color w:val="auto"/>
        </w:rPr>
      </w:pPr>
    </w:p>
    <w:p>
      <w:pPr>
        <w:ind w:right="20" w:firstLine="980"/>
        <w:spacing w:after="0" w:line="233" w:lineRule="auto"/>
        <w:tabs>
          <w:tab w:leader="none" w:pos="129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Units and the Shares subject to the Performance Units, and any related income and value, are not intended to replace any pension rights or compensation;</w:t>
      </w:r>
    </w:p>
    <w:p>
      <w:pPr>
        <w:spacing w:after="0" w:line="160" w:lineRule="exact"/>
        <w:rPr>
          <w:rFonts w:ascii="Times New Roman" w:cs="Times New Roman" w:eastAsia="Times New Roman" w:hAnsi="Times New Roman"/>
          <w:sz w:val="20"/>
          <w:szCs w:val="20"/>
          <w:color w:val="auto"/>
        </w:rPr>
      </w:pPr>
    </w:p>
    <w:p>
      <w:pPr>
        <w:jc w:val="both"/>
        <w:ind w:firstLine="980"/>
        <w:spacing w:after="0" w:line="222" w:lineRule="auto"/>
        <w:tabs>
          <w:tab w:leader="none" w:pos="128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Units and the Shares subject to the Performance Units, and any related income and value, are not part of normal or expected compensation for any purposes including, but not limited to, calculating any severance, resignation, termination, payment in lieu of notice, redundancy, dismissal, end-of-service payments, holiday pay, bonuses, long-service awards, leave-related payments, pension, retirement, welfare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070" w:right="339" w:bottom="1440" w:gutter="0" w:footer="0" w:header="0"/>
        </w:sectPr>
      </w:pPr>
    </w:p>
    <w:bookmarkStart w:id="33" w:name="page34"/>
    <w:bookmarkEnd w:id="33"/>
    <w:p>
      <w:pPr>
        <w:ind w:left="1300" w:hanging="320"/>
        <w:spacing w:after="0"/>
        <w:tabs>
          <w:tab w:leader="none" w:pos="130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 with certainty;</w:t>
      </w:r>
    </w:p>
    <w:p>
      <w:pPr>
        <w:spacing w:after="0" w:line="188" w:lineRule="exact"/>
        <w:rPr>
          <w:rFonts w:ascii="Times New Roman" w:cs="Times New Roman" w:eastAsia="Times New Roman" w:hAnsi="Times New Roman"/>
          <w:sz w:val="20"/>
          <w:szCs w:val="20"/>
          <w:color w:val="auto"/>
        </w:rPr>
      </w:pPr>
    </w:p>
    <w:p>
      <w:pPr>
        <w:jc w:val="both"/>
        <w:ind w:firstLine="980"/>
        <w:spacing w:after="0" w:line="222" w:lineRule="auto"/>
        <w:tabs>
          <w:tab w:leader="none" w:pos="1295"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any loss of any right or benefit, or prospective right or benefit, including the forfeiture of Performance Units resulting from the termination of Grantee’s employment or other service relationship (for any reason whatsoever whether or not later found to be invalid or in breach of employment laws in the jurisdiction where Grantee is employed or the terms of Grantee’s employment agreement, if any);</w:t>
      </w:r>
    </w:p>
    <w:p>
      <w:pPr>
        <w:spacing w:after="0" w:line="148" w:lineRule="exact"/>
        <w:rPr>
          <w:rFonts w:ascii="Times New Roman" w:cs="Times New Roman" w:eastAsia="Times New Roman" w:hAnsi="Times New Roman"/>
          <w:sz w:val="20"/>
          <w:szCs w:val="20"/>
          <w:color w:val="auto"/>
        </w:rPr>
      </w:pPr>
    </w:p>
    <w:p>
      <w:pPr>
        <w:jc w:val="both"/>
        <w:ind w:firstLine="980"/>
        <w:spacing w:after="0" w:line="230" w:lineRule="auto"/>
        <w:tabs>
          <w:tab w:leader="none" w:pos="1295"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Performance Units and Shares subject to the Performance Units, and any related income and value, are not granted as consideration for, or in connection with, the service Grantee may provide as a director of a Subsidiary; and</w:t>
      </w:r>
    </w:p>
    <w:p>
      <w:pPr>
        <w:spacing w:after="0" w:line="148" w:lineRule="exact"/>
        <w:rPr>
          <w:rFonts w:ascii="Times New Roman" w:cs="Times New Roman" w:eastAsia="Times New Roman" w:hAnsi="Times New Roman"/>
          <w:sz w:val="20"/>
          <w:szCs w:val="20"/>
          <w:color w:val="auto"/>
        </w:rPr>
      </w:pPr>
    </w:p>
    <w:p>
      <w:pPr>
        <w:jc w:val="both"/>
        <w:ind w:firstLine="980"/>
        <w:spacing w:after="0" w:line="230" w:lineRule="auto"/>
        <w:tabs>
          <w:tab w:leader="none" w:pos="1285"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for any foreign exchange rate fluctuation between Grantee’s local currency and the U.S. Dollar that may affect the value of the Performance Units or of any amounts due to Grantee pursuant to the settlement of the Performance Units or the subsequent sale of any Shares acquired upon settlement.</w:t>
      </w:r>
    </w:p>
    <w:p>
      <w:pPr>
        <w:spacing w:after="0" w:line="14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Responsibility for Taxes</w:t>
      </w:r>
    </w:p>
    <w:p>
      <w:pPr>
        <w:spacing w:after="0" w:line="192" w:lineRule="exact"/>
        <w:rPr>
          <w:rFonts w:ascii="Times New Roman" w:cs="Times New Roman" w:eastAsia="Times New Roman" w:hAnsi="Times New Roman"/>
          <w:sz w:val="20"/>
          <w:szCs w:val="20"/>
          <w:b w:val="1"/>
          <w:bCs w:val="1"/>
          <w:color w:val="auto"/>
        </w:rPr>
      </w:pPr>
    </w:p>
    <w:p>
      <w:pPr>
        <w:jc w:val="both"/>
        <w:ind w:firstLine="980"/>
        <w:spacing w:after="0" w:line="211" w:lineRule="auto"/>
        <w:tabs>
          <w:tab w:leader="none" w:pos="1288"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that, regardless of any action taken by the Company or the Employer, the ultimate liability for all income tax, social insurance, payroll tax, fringe benefits tax, payment on account or other tax-related items related to Grantee’s participation in the Plan and legally applicable to Grantee (“Tax-Related Items”), is and remains Grantee’s responsibility and may exceed the amount actually withheld by the Company or the Employer. Grantee further acknowledges that the Company and/or the Employer (1) make no representations or undertakings regarding the treatment of any Tax-Related Items in connection with any aspect of the Performance Units or the Dividend Equivalents, including, but not limited to, the grant, vesting or settlement of the Performance Units, the subsequent sale of Shares acquired pursuant to such settlement and the receipt or payment of any dividends or any Dividend Equivalents and (2) do not commit to and are under no obligation to structure the terms of the grant or any aspect of the Performance Units or the Dividend Equivalents to reduce or eliminate Grantee’s liability for Tax-Related Items or achieve any particular tax result. 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65" w:lineRule="exact"/>
        <w:rPr>
          <w:rFonts w:ascii="Times New Roman" w:cs="Times New Roman" w:eastAsia="Times New Roman" w:hAnsi="Times New Roman"/>
          <w:sz w:val="20"/>
          <w:szCs w:val="20"/>
          <w:color w:val="auto"/>
        </w:rPr>
      </w:pPr>
    </w:p>
    <w:p>
      <w:pPr>
        <w:jc w:val="both"/>
        <w:ind w:firstLine="980"/>
        <w:spacing w:after="0" w:line="222" w:lineRule="auto"/>
        <w:tabs>
          <w:tab w:leader="none" w:pos="1285"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relevant taxable or tax withholding event, as applicable, Grantee agrees to make adequate arrangements satisfactory to the Company and/or the Employer to satisfy all Tax-Related Items. In this regard, Grantee authorizes the Company and/or the Employer, or their respective agents, at their discretion, to satisfy any applicable withholding obligations, if any, with regard to all Tax-Related Items by one or a combination of the following:</w:t>
      </w:r>
    </w:p>
    <w:p>
      <w:pPr>
        <w:spacing w:after="0" w:line="161" w:lineRule="exact"/>
        <w:rPr>
          <w:rFonts w:ascii="Times New Roman" w:cs="Times New Roman" w:eastAsia="Times New Roman" w:hAnsi="Times New Roman"/>
          <w:sz w:val="20"/>
          <w:szCs w:val="20"/>
          <w:color w:val="auto"/>
        </w:rPr>
      </w:pPr>
    </w:p>
    <w:p>
      <w:pPr>
        <w:ind w:left="1620" w:hanging="397"/>
        <w:spacing w:after="0" w:line="233" w:lineRule="auto"/>
        <w:tabs>
          <w:tab w:leader="none" w:pos="1618" w:val="left"/>
        </w:tabs>
        <w:numPr>
          <w:ilvl w:val="3"/>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Grantee’s wages or other cash compensation payable to Grantee by the Company and/or the Employer; or</w:t>
      </w:r>
    </w:p>
    <w:p>
      <w:pPr>
        <w:spacing w:after="0" w:line="160" w:lineRule="exact"/>
        <w:rPr>
          <w:rFonts w:ascii="Times New Roman" w:cs="Times New Roman" w:eastAsia="Times New Roman" w:hAnsi="Times New Roman"/>
          <w:sz w:val="20"/>
          <w:szCs w:val="20"/>
          <w:color w:val="auto"/>
        </w:rPr>
      </w:pPr>
    </w:p>
    <w:p>
      <w:pPr>
        <w:jc w:val="both"/>
        <w:ind w:left="1620" w:hanging="397"/>
        <w:spacing w:after="0" w:line="226" w:lineRule="auto"/>
        <w:tabs>
          <w:tab w:leader="none" w:pos="1619" w:val="left"/>
        </w:tabs>
        <w:numPr>
          <w:ilvl w:val="3"/>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acquired upon vesting/settlement of the Performance Unit either through a voluntary sale or through a mandatory sale arranged by the Company (on Grantee’s behalf pursuant to this authorization); or</w:t>
      </w:r>
    </w:p>
    <w:p>
      <w:pPr>
        <w:spacing w:after="0" w:line="160" w:lineRule="exact"/>
        <w:rPr>
          <w:rFonts w:ascii="Times New Roman" w:cs="Times New Roman" w:eastAsia="Times New Roman" w:hAnsi="Times New Roman"/>
          <w:sz w:val="20"/>
          <w:szCs w:val="20"/>
          <w:color w:val="auto"/>
        </w:rPr>
      </w:pPr>
    </w:p>
    <w:p>
      <w:pPr>
        <w:ind w:left="1620" w:hanging="397"/>
        <w:spacing w:after="0"/>
        <w:tabs>
          <w:tab w:leader="none" w:pos="1620" w:val="left"/>
        </w:tabs>
        <w:numPr>
          <w:ilvl w:val="3"/>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in Shares to be issued pursuant to the Performance Units.</w:t>
      </w:r>
    </w:p>
    <w:p>
      <w:pPr>
        <w:spacing w:after="0" w:line="188" w:lineRule="exact"/>
        <w:rPr>
          <w:rFonts w:ascii="Times New Roman" w:cs="Times New Roman" w:eastAsia="Times New Roman" w:hAnsi="Times New Roman"/>
          <w:sz w:val="20"/>
          <w:szCs w:val="20"/>
          <w:color w:val="auto"/>
        </w:rPr>
      </w:pPr>
    </w:p>
    <w:p>
      <w:pPr>
        <w:jc w:val="both"/>
        <w:ind w:firstLine="980"/>
        <w:spacing w:after="0" w:line="210" w:lineRule="auto"/>
        <w:tabs>
          <w:tab w:leader="none" w:pos="1288"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17(b) above or Section 17(g) below, if Grantee is subject to the reporting requirements of Section 16(a) of the Exchange Act, then any applicable withholding obligations will be satisfied by withholding in Shares to be issued pursuant to the Performance Units, unless such withholding is not feasible under applicable tax or securities law or has materially adverse accounting consequences, in which case, the Company may satisfy any withholding obligations for Tax-Related Items in accordance with Section 17(b)</w:t>
      </w:r>
    </w:p>
    <w:p>
      <w:pPr>
        <w:ind w:left="240" w:hanging="232"/>
        <w:spacing w:after="0"/>
        <w:tabs>
          <w:tab w:leader="none" w:pos="2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(ii).</w:t>
      </w:r>
    </w:p>
    <w:p>
      <w:pPr>
        <w:spacing w:after="0" w:line="166" w:lineRule="exact"/>
        <w:rPr>
          <w:rFonts w:ascii="Times New Roman" w:cs="Times New Roman" w:eastAsia="Times New Roman" w:hAnsi="Times New Roman"/>
          <w:sz w:val="20"/>
          <w:szCs w:val="20"/>
          <w:color w:val="auto"/>
        </w:rPr>
      </w:pPr>
    </w:p>
    <w:p>
      <w:pPr>
        <w:jc w:val="both"/>
        <w:ind w:firstLine="980"/>
        <w:spacing w:after="0" w:line="222" w:lineRule="auto"/>
        <w:tabs>
          <w:tab w:leader="none" w:pos="1285"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17.2 of the Plan, the Company may withhold or account for the Tax-Related Items by considering statutory withholding amounts or other applicable withholding rates in Grantee’s jurisdiction(s), including (i) maximum applicable rates, in which case Grantee may receive a refund of any over-withheld amount in cash (whether from applicable tax authorities or the Company) and will have no entitlement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075" w:right="339" w:bottom="1440" w:gutter="0" w:footer="0" w:header="0"/>
        </w:sectPr>
      </w:pPr>
    </w:p>
    <w:bookmarkStart w:id="34" w:name="page35"/>
    <w:bookmarkEnd w:id="34"/>
    <w:p>
      <w:pPr>
        <w:ind w:right="20"/>
        <w:spacing w:after="0"/>
        <w:rPr>
          <w:sz w:val="20"/>
          <w:szCs w:val="20"/>
          <w:color w:val="auto"/>
        </w:rPr>
      </w:pPr>
      <w:r>
        <w:rPr>
          <w:rFonts w:ascii="Times New Roman" w:cs="Times New Roman" w:eastAsia="Times New Roman" w:hAnsi="Times New Roman"/>
          <w:sz w:val="20"/>
          <w:szCs w:val="20"/>
          <w:color w:val="auto"/>
        </w:rPr>
        <w:t>the Common Stock equivalent or (ii) minimum rates or such other applicable rates, in which case Grantee may be solely responsible for paying any additional Tax-Related Items to the applicable tax authorities.</w:t>
      </w:r>
    </w:p>
    <w:p>
      <w:pPr>
        <w:spacing w:after="0" w:line="148" w:lineRule="exact"/>
        <w:rPr>
          <w:sz w:val="20"/>
          <w:szCs w:val="20"/>
          <w:color w:val="auto"/>
        </w:rPr>
      </w:pPr>
    </w:p>
    <w:p>
      <w:pPr>
        <w:jc w:val="both"/>
        <w:ind w:firstLine="980"/>
        <w:spacing w:after="0" w:line="230" w:lineRule="auto"/>
        <w:tabs>
          <w:tab w:leader="none" w:pos="1288"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obligation for Tax-Related Items is satisfied by withholding in Shares, for tax purposes, Grantee is deemed to have been issued the full number of Shares subject to the vested Performance Units, notwithstanding that a number of the Shares is held back solely for the purpose of paying the Tax-Related Items.</w:t>
      </w:r>
    </w:p>
    <w:p>
      <w:pPr>
        <w:spacing w:after="0" w:line="148" w:lineRule="exact"/>
        <w:rPr>
          <w:rFonts w:ascii="Times New Roman" w:cs="Times New Roman" w:eastAsia="Times New Roman" w:hAnsi="Times New Roman"/>
          <w:sz w:val="20"/>
          <w:szCs w:val="20"/>
          <w:color w:val="auto"/>
        </w:rPr>
      </w:pPr>
    </w:p>
    <w:p>
      <w:pPr>
        <w:ind w:firstLine="980"/>
        <w:spacing w:after="0"/>
        <w:tabs>
          <w:tab w:leader="none" w:pos="1293"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refuse to issue or deliver the Shares or the proceeds of the sale of Shares, if Grantee fails to comply with Grantee’s obligations in connection with the Tax-Related Items.</w:t>
      </w:r>
    </w:p>
    <w:p>
      <w:pPr>
        <w:spacing w:after="0" w:line="161" w:lineRule="exact"/>
        <w:rPr>
          <w:rFonts w:ascii="Times New Roman" w:cs="Times New Roman" w:eastAsia="Times New Roman" w:hAnsi="Times New Roman"/>
          <w:sz w:val="20"/>
          <w:szCs w:val="20"/>
          <w:color w:val="auto"/>
        </w:rPr>
      </w:pPr>
    </w:p>
    <w:p>
      <w:pPr>
        <w:jc w:val="both"/>
        <w:ind w:firstLine="980"/>
        <w:spacing w:after="0" w:line="213" w:lineRule="auto"/>
        <w:tabs>
          <w:tab w:leader="none" w:pos="1285"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 withholding obligation for Tax-Related Items arises prior to the Vesting Date or such other vesting event hereunder, the Company may accelerate the vesting of Performance Units to the extent necessary to satisfy such Tax-Related Items in the manner set forth in Section 17(b)(ii) or (iii). However, notwithstanding anything in this Section 17 to the contrary, to the extent that the Performance Units constitute “nonqualified deferred compensation” subject to Section 409A and Grantee is subject to U.S. federal taxation, the number of Shares withheld (or sold on Grantee’s behalf) shall not exceed the number of Shares that equals the liability for Tax-Related Items. For avoidance of doubt, any vesting and settlement of Performance Units effected to cover Tax-Related Items pursuant to this Section 17(g) shall apply only to the applicable number of Performance Units and not to any associated Dividend Equivalents thereon, which shall remain subject to vesting on the dates or events set forth in Section 5 and payable pursuant to Section 7 of this Agreement.</w:t>
      </w:r>
    </w:p>
    <w:p>
      <w:pPr>
        <w:spacing w:after="0" w:line="158"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7"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Privacy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Grantee hereby explicitly and unambiguously consents to the collection, use and transfer, in electronic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other form, of Grantee’s personal data as described in this Agreement and any other Performance Unit grant materials (“Data”) by and among, as applicable, the Company and its other Subsidiaries and Affiliates for the exclusive purpose of implementing, administering and managing Grantee’s participation in the Plan.</w:t>
      </w:r>
    </w:p>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the Company may hold certain personal information about Grantee, including, but not limited to, Grantee’s name, home address, email address, telephone number, date of birth, social insurance number, passport or other identification number,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salary, nationality, job title, any Shares of stock or directorships held in the Company, details of all Performance Units or any other entitlement to Shares awarded, canceled, exercised, vested, unvested or outstanding in Grantee’s favor, for the exclusive purpose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implementing, administering and managing the Plan.</w:t>
      </w:r>
    </w:p>
    <w:p>
      <w:pPr>
        <w:spacing w:after="0" w:line="16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b w:val="1"/>
          <w:bCs w:val="1"/>
          <w:i w:val="1"/>
          <w:iCs w:val="1"/>
          <w:color w:val="auto"/>
        </w:rPr>
        <w:t>Grantee understands that Data will be transferred to Bank of America Merrill Lynch (“Merrill Lynch”), or such other stock plan service provider as may be selected by the Company in the future, which is assisting the Company with the implementation, administration and</w:t>
      </w:r>
    </w:p>
    <w:p>
      <w:pPr>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management of the Plan. Grantee understands that the recipients of the Data may be located in the U.S. or elsewhere, and that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recipients’ country (e.g., the U.S.) may have different data privacy laws and protections than Grantee’s country. Grantee understands that he or she may request a list with the names and addresses of any potential recipients of the Data by contacting his or her local human</w:t>
      </w:r>
    </w:p>
    <w:p>
      <w:pPr>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resources representative. Grantee authorizes the Company, Merrill Lynch and any other possible recipients which may assist the</w:t>
      </w:r>
    </w:p>
    <w:p>
      <w:pPr>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Company (presently or in the future) with implementing, administering and managing the Plan to receive, possess, use, retain and transfer the Data, in electronic or other form, for the sole purpose of implementing, administering and managing his or her participation</w:t>
      </w:r>
    </w:p>
    <w:p>
      <w:pPr>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in the Plan. Grantee understands that Data will be held only as long as is necessary to implement, administer and manage Grantee’s</w:t>
      </w: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participation in the Plan. Grantee understands he or she may, at any time, view Data, request information about the storage and processing of Data, require any necessary amendments to Data or refuse or withdraw the consents herein, in any case without cost, by</w:t>
      </w:r>
    </w:p>
    <w:p>
      <w:pPr>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contacting in writing his or her local human resources representative. Further, Grantee understands that he or she is providing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consents herein on a purely voluntary basis. If Grantee does not consent, or if Grantee later seeks to revoke his or her consent, his or her employment status will not be adversely affected; the only consequence of refusing or withdrawing Grantee’s consent is that the Company</w:t>
      </w:r>
    </w:p>
    <w:p>
      <w:pPr>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would not be able to grant Performance Units or other equity awards to Grantee or administer or maintain such awards. Therefore,</w:t>
      </w: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Grantee understands that refusing or withdrawing his or her consent may affect Grantee’s ability to participate in the Plan. For more information on the consequences of Grantee’s refusal to consent or withdrawal of consent, Grantee understands that he or she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contact his or her local human resources representative.</w:t>
      </w:r>
    </w:p>
    <w:p>
      <w:pPr>
        <w:spacing w:after="0" w:line="163" w:lineRule="exact"/>
        <w:rPr>
          <w:sz w:val="20"/>
          <w:szCs w:val="20"/>
          <w:color w:val="auto"/>
        </w:rPr>
      </w:pPr>
    </w:p>
    <w:p>
      <w:pPr>
        <w:jc w:val="both"/>
        <w:ind w:firstLine="656"/>
        <w:spacing w:after="0" w:line="223" w:lineRule="auto"/>
        <w:tabs>
          <w:tab w:leader="none" w:pos="1287"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recommendations regarding Grantee’s participation in the Plan, or Grantee’s acquisition or sale of the underlying Shares. Grantee should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075" w:right="339" w:bottom="1440" w:gutter="0" w:footer="0" w:header="0"/>
        </w:sectPr>
      </w:pPr>
    </w:p>
    <w:bookmarkStart w:id="35" w:name="page36"/>
    <w:bookmarkEnd w:id="35"/>
    <w:p>
      <w:pPr>
        <w:jc w:val="both"/>
        <w:ind w:firstLine="656"/>
        <w:spacing w:after="0" w:line="216" w:lineRule="auto"/>
        <w:tabs>
          <w:tab w:leader="none" w:pos="1287"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Trading/Market Abuse Restrictions</w:t>
      </w:r>
      <w:r>
        <w:rPr>
          <w:rFonts w:ascii="Times New Roman" w:cs="Times New Roman" w:eastAsia="Times New Roman" w:hAnsi="Times New Roman"/>
          <w:sz w:val="20"/>
          <w:szCs w:val="20"/>
          <w:color w:val="auto"/>
        </w:rPr>
        <w:t>. Grantee may be subject to insider trading restriction and/or market abuse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in applicable jurisdictions including, but not limited to, the U.S. and Grantee’s country of residence, which may affect Grantee’s ability to accept, acquire sell or otherwise dispose of Shares or rights to Shares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Performance Units) or rights linked to the value of Shares during such times as Grantee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Grantee is responsible for ensuring Grantee’s own compliance with any applicable restrictions and is advised to speak with his or her personal legal advisor on this matter.</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27" w:lineRule="auto"/>
        <w:tabs>
          <w:tab w:leader="none" w:pos="1287"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Foreign Asset / Account or Tax Reporting; Exchange Control</w:t>
      </w:r>
      <w:r>
        <w:rPr>
          <w:rFonts w:ascii="Times New Roman" w:cs="Times New Roman" w:eastAsia="Times New Roman" w:hAnsi="Times New Roman"/>
          <w:sz w:val="19"/>
          <w:szCs w:val="19"/>
          <w:color w:val="auto"/>
        </w:rPr>
        <w:t>. Grantee acknowledges that there may be certain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control, foreign asset/account, or tax reporting requirements which may affect Grantee’s ability to acquire or hold Shares acquired under the Plan or cash received from participating in the Plan (including from any dividends or Dividend Equivalents) in a brokerage or bank account outside Grantee’s country. Grantee may be required to report such accounts, assets or transactions to the tax or other authorities in his or her country. Grantee also may be required to repatriate sale proceeds or other funds received as a result of Grantee’s participation in the Plan to his or her country through a designated bank or broker within a certain time after receipt. Grantee acknowledges that it is Grantee’s responsibility to be compliant with such regulations, and Grantee should consult his or her personal legal advisor for any details.</w:t>
      </w:r>
    </w:p>
    <w:p>
      <w:pPr>
        <w:spacing w:after="0" w:line="146" w:lineRule="exact"/>
        <w:rPr>
          <w:rFonts w:ascii="Times New Roman" w:cs="Times New Roman" w:eastAsia="Times New Roman" w:hAnsi="Times New Roman"/>
          <w:sz w:val="19"/>
          <w:szCs w:val="19"/>
          <w:b w:val="1"/>
          <w:bCs w:val="1"/>
          <w:color w:val="auto"/>
        </w:rPr>
      </w:pPr>
    </w:p>
    <w:p>
      <w:pPr>
        <w:jc w:val="both"/>
        <w:ind w:firstLine="656"/>
        <w:spacing w:after="0" w:line="217" w:lineRule="auto"/>
        <w:tabs>
          <w:tab w:leader="none" w:pos="1287"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future participation in the Plan by electronic means. Grantee hereby consents to receive such documents by electronic delivery and agrees to participate in the Plan through an on-line or electronic system established and maintained by the Company or any third party designated by the Company. By Grantee’s execution of this Agreement or acceptance by electronic means and the electronic signature of the Company’s representative, Grantee and the Company agree that this Performance Units is granted under and governed by the terms and conditions of the Plan and this Agreement.</w:t>
      </w:r>
    </w:p>
    <w:p>
      <w:pPr>
        <w:spacing w:after="0" w:line="156" w:lineRule="exact"/>
        <w:rPr>
          <w:rFonts w:ascii="Times New Roman" w:cs="Times New Roman" w:eastAsia="Times New Roman" w:hAnsi="Times New Roman"/>
          <w:sz w:val="20"/>
          <w:szCs w:val="20"/>
          <w:b w:val="1"/>
          <w:bCs w:val="1"/>
          <w:color w:val="auto"/>
        </w:rPr>
      </w:pPr>
    </w:p>
    <w:p>
      <w:pPr>
        <w:jc w:val="both"/>
        <w:ind w:firstLine="656"/>
        <w:spacing w:after="0" w:line="220" w:lineRule="auto"/>
        <w:tabs>
          <w:tab w:leader="none" w:pos="1287"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Country-Specific Terms and Conditions</w:t>
      </w:r>
      <w:r>
        <w:rPr>
          <w:rFonts w:ascii="Times New Roman" w:cs="Times New Roman" w:eastAsia="Times New Roman" w:hAnsi="Times New Roman"/>
          <w:sz w:val="20"/>
          <w:szCs w:val="20"/>
          <w:color w:val="auto"/>
        </w:rPr>
        <w:t>. Notwithstanding any provisions in this Agreement, the Performance Unit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subject to any additional terms and conditions set forth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to this Agreement for Grantee’s country. Moreover, if Grantee relocates to one of the countries included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the additional terms and conditions for such country will apply to Grantee, to the extent the Company determines that the application of such terms and conditions is necessary or advisable for legal or administrative reasons.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constitutes part of this Agreement.</w:t>
      </w:r>
    </w:p>
    <w:p>
      <w:pPr>
        <w:spacing w:after="0" w:line="147"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7"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Grantee acknowledges that he or she is sufficiently proficient in English, or has consulted with an advisor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sufficiently proficient in English, so as to allow Grantee to understand the terms of this Agreement. Furthermore, if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1287"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Imposition of Other Requirements</w:t>
      </w:r>
      <w:r>
        <w:rPr>
          <w:rFonts w:ascii="Times New Roman" w:cs="Times New Roman" w:eastAsia="Times New Roman" w:hAnsi="Times New Roman"/>
          <w:sz w:val="20"/>
          <w:szCs w:val="20"/>
          <w:color w:val="auto"/>
        </w:rPr>
        <w:t>. The Company reserves the right to impose other requirements on Grantee’s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Performance Units and on any Shares acquired under the Plan, to the extent the Company determines it is necessary or advisable for legal or administrative reasons, and to require Grantee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b w:val="1"/>
          <w:bCs w:val="1"/>
          <w:color w:val="auto"/>
        </w:rPr>
      </w:pPr>
    </w:p>
    <w:p>
      <w:pPr>
        <w:jc w:val="both"/>
        <w:ind w:firstLine="656"/>
        <w:spacing w:after="0" w:line="213" w:lineRule="auto"/>
        <w:tabs>
          <w:tab w:leader="none" w:pos="1287"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Venue</w:t>
      </w:r>
      <w:r>
        <w:rPr>
          <w:rFonts w:ascii="Times New Roman" w:cs="Times New Roman" w:eastAsia="Times New Roman" w:hAnsi="Times New Roman"/>
          <w:sz w:val="20"/>
          <w:szCs w:val="20"/>
          <w:color w:val="auto"/>
        </w:rPr>
        <w:t>. Except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Performance Unit grant and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validity, interpretation, construction and performance of same shall be governed by, and subject to, the laws of the State of Delaware, without regard to its conflict of law provisions. Any and all disputes relating to, concerning or arising from this Agreement, or relating to, concerning or arising from the relationship between the parties evidenced by the Performance Units or this Agreement,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071" w:right="339" w:bottom="1440" w:gutter="0" w:footer="0" w:header="0"/>
        </w:sectPr>
      </w:pPr>
    </w:p>
    <w:bookmarkStart w:id="36" w:name="page37"/>
    <w:bookmarkEnd w:id="36"/>
    <w:p>
      <w:pPr>
        <w:ind w:firstLine="656"/>
        <w:spacing w:after="0" w:line="245" w:lineRule="auto"/>
        <w:tabs>
          <w:tab w:leader="none" w:pos="1287"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unenforceable, in whole or in part, the remaining provisions shall nevertheless be binding and enforceable.</w:t>
      </w:r>
    </w:p>
    <w:p>
      <w:pPr>
        <w:spacing w:after="0" w:line="137" w:lineRule="exact"/>
        <w:rPr>
          <w:rFonts w:ascii="Times New Roman" w:cs="Times New Roman" w:eastAsia="Times New Roman" w:hAnsi="Times New Roman"/>
          <w:sz w:val="20"/>
          <w:szCs w:val="20"/>
          <w:b w:val="1"/>
          <w:bCs w:val="1"/>
          <w:color w:val="auto"/>
        </w:rPr>
      </w:pPr>
    </w:p>
    <w:p>
      <w:pPr>
        <w:jc w:val="both"/>
        <w:ind w:firstLine="656"/>
        <w:spacing w:after="0" w:line="232" w:lineRule="auto"/>
        <w:tabs>
          <w:tab w:leader="none" w:pos="1287"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Grantee acknowledges that a waiver by the Company of any provision, or breach thereof, of this Agreement 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occasion shall not operate or be construed as a waiver of such provision on any other occasion or as a waiver of any other provision of this Agreement, or of any subsequent breach by Grantee or any other Plan participant.</w:t>
      </w:r>
    </w:p>
    <w:p>
      <w:pPr>
        <w:spacing w:after="0" w:line="143" w:lineRule="exact"/>
        <w:rPr>
          <w:rFonts w:ascii="Times New Roman" w:cs="Times New Roman" w:eastAsia="Times New Roman" w:hAnsi="Times New Roman"/>
          <w:sz w:val="20"/>
          <w:szCs w:val="20"/>
          <w:b w:val="1"/>
          <w:bCs w:val="1"/>
          <w:color w:val="auto"/>
        </w:rPr>
      </w:pPr>
    </w:p>
    <w:p>
      <w:pPr>
        <w:ind w:firstLine="656"/>
        <w:spacing w:after="0" w:line="270" w:lineRule="auto"/>
        <w:tabs>
          <w:tab w:leader="none" w:pos="1287"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Pronouns; Including</w:t>
      </w:r>
      <w:r>
        <w:rPr>
          <w:rFonts w:ascii="Times New Roman" w:cs="Times New Roman" w:eastAsia="Times New Roman" w:hAnsi="Times New Roman"/>
          <w:sz w:val="19"/>
          <w:szCs w:val="19"/>
          <w:color w:val="auto"/>
        </w:rPr>
        <w:t>. Wherever appropriate in this Agreement, personal pronouns shall be deemed to include the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genders and the singular to include the plural. Wherever used in this Agreement, the term “including” means “including, without limitation.”</w:t>
      </w:r>
    </w:p>
    <w:p>
      <w:pPr>
        <w:spacing w:after="0" w:line="129" w:lineRule="exact"/>
        <w:rPr>
          <w:rFonts w:ascii="Times New Roman" w:cs="Times New Roman" w:eastAsia="Times New Roman" w:hAnsi="Times New Roman"/>
          <w:sz w:val="19"/>
          <w:szCs w:val="19"/>
          <w:b w:val="1"/>
          <w:bCs w:val="1"/>
          <w:color w:val="auto"/>
        </w:rPr>
      </w:pPr>
    </w:p>
    <w:p>
      <w:pPr>
        <w:jc w:val="both"/>
        <w:ind w:firstLine="656"/>
        <w:spacing w:after="0" w:line="223" w:lineRule="auto"/>
        <w:tabs>
          <w:tab w:leader="none" w:pos="1287"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 in Interest</w:t>
      </w:r>
      <w:r>
        <w:rPr>
          <w:rFonts w:ascii="Times New Roman" w:cs="Times New Roman" w:eastAsia="Times New Roman" w:hAnsi="Times New Roman"/>
          <w:sz w:val="20"/>
          <w:szCs w:val="20"/>
          <w:color w:val="auto"/>
        </w:rPr>
        <w:t>. This Agreement shall inure to the benefit of, and be binding upon, the Company and its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and successors.</w:t>
      </w:r>
    </w:p>
    <w:p>
      <w:pPr>
        <w:spacing w:after="0" w:line="144" w:lineRule="exact"/>
        <w:rPr>
          <w:rFonts w:ascii="Times New Roman" w:cs="Times New Roman" w:eastAsia="Times New Roman" w:hAnsi="Times New Roman"/>
          <w:sz w:val="20"/>
          <w:szCs w:val="20"/>
          <w:b w:val="1"/>
          <w:bCs w:val="1"/>
          <w:color w:val="auto"/>
        </w:rPr>
      </w:pPr>
    </w:p>
    <w:p>
      <w:pPr>
        <w:jc w:val="both"/>
        <w:ind w:firstLine="656"/>
        <w:spacing w:after="0" w:line="220" w:lineRule="auto"/>
        <w:tabs>
          <w:tab w:leader="none" w:pos="1287"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Integration</w:t>
      </w:r>
      <w:r>
        <w:rPr>
          <w:rFonts w:ascii="Times New Roman" w:cs="Times New Roman" w:eastAsia="Times New Roman" w:hAnsi="Times New Roman"/>
          <w:sz w:val="20"/>
          <w:szCs w:val="20"/>
          <w:color w:val="auto"/>
        </w:rPr>
        <w:t>. This Agreement, along with any Exhibit hereto, encompasses the entire agreement of the parties related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subject matter of this Agreement, and supersedes all previous understandings and agreements between them, whether oral or written, except as otherwise described specifically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160" w:lineRule="exact"/>
        <w:rPr>
          <w:rFonts w:ascii="Times New Roman" w:cs="Times New Roman" w:eastAsia="Times New Roman" w:hAnsi="Times New Roman"/>
          <w:sz w:val="20"/>
          <w:szCs w:val="20"/>
          <w:b w:val="1"/>
          <w:bCs w:val="1"/>
          <w:color w:val="auto"/>
        </w:rPr>
      </w:pPr>
    </w:p>
    <w:p>
      <w:pPr>
        <w:jc w:val="both"/>
        <w:ind w:firstLine="656"/>
        <w:spacing w:after="0" w:line="227" w:lineRule="auto"/>
        <w:tabs>
          <w:tab w:leader="none" w:pos="1287"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Committee shall have the sole and absolute authority to interpret, construe and apply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and this Agreement and to make any and all determinations under them. Any determination or decision by the Committee shall be final, binding and conclusive upon Grantee, Grantee’s legal representative and the Company for all purposes.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193"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color w:val="auto"/>
        </w:rPr>
        <w:t>By completing the online acceptance process, Grantee accepts the grant of Performance Units and agrees to all the terms and conditions described in this Agreement and in the Plan.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PLEASE RETAIN THIS AGREEMENT AND ALL EXHIBITS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07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OWNERSHIP GUIDELINES AND RETENTION REQUIREMENT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35"/>
        <w:spacing w:after="0" w:line="230" w:lineRule="auto"/>
        <w:rPr>
          <w:sz w:val="20"/>
          <w:szCs w:val="20"/>
          <w:color w:val="auto"/>
        </w:rPr>
      </w:pPr>
      <w:r>
        <w:rPr>
          <w:rFonts w:ascii="Times New Roman" w:cs="Times New Roman" w:eastAsia="Times New Roman" w:hAnsi="Times New Roman"/>
          <w:sz w:val="20"/>
          <w:szCs w:val="20"/>
          <w:color w:val="auto"/>
        </w:rPr>
        <w:t>It is the Company’s belief and expectation that executives should own a reasonable amount of Common Stock to further align their interests with those of our stockholders. Accordingly, you acknowledge that you have read the Company’s Stock Ownership Guidelines (“Guidelines”), as posted on the Company’s website, and that you are expected to adhere to those Guidelines.</w:t>
      </w:r>
    </w:p>
    <w:p>
      <w:pPr>
        <w:spacing w:after="0" w:line="149" w:lineRule="exact"/>
        <w:rPr>
          <w:sz w:val="20"/>
          <w:szCs w:val="20"/>
          <w:color w:val="auto"/>
        </w:rPr>
      </w:pPr>
    </w:p>
    <w:p>
      <w:pPr>
        <w:jc w:val="both"/>
        <w:ind w:right="20" w:firstLine="635"/>
        <w:spacing w:after="0"/>
        <w:rPr>
          <w:sz w:val="20"/>
          <w:szCs w:val="20"/>
          <w:color w:val="auto"/>
        </w:rPr>
      </w:pPr>
      <w:r>
        <w:rPr>
          <w:rFonts w:ascii="Times New Roman" w:cs="Times New Roman" w:eastAsia="Times New Roman" w:hAnsi="Times New Roman"/>
          <w:sz w:val="20"/>
          <w:szCs w:val="20"/>
          <w:color w:val="auto"/>
        </w:rPr>
        <w:t>Your stock ownership level and retention requirements are set forth below based on the Grantee Level stated on the first page of this Agreement.</w:t>
      </w:r>
    </w:p>
    <w:p>
      <w:pPr>
        <w:spacing w:after="0" w:line="18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Grantee Level / Title</w:t>
            </w:r>
          </w:p>
        </w:tc>
        <w:tc>
          <w:tcPr>
            <w:tcW w:w="272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9"/>
              </w:rPr>
              <w:t>Ownership Multiple of</w:t>
            </w:r>
          </w:p>
        </w:tc>
        <w:tc>
          <w:tcPr>
            <w:tcW w:w="2320" w:type="dxa"/>
            <w:vAlign w:val="bottom"/>
            <w:gridSpan w:val="3"/>
          </w:tcPr>
          <w:p>
            <w:pPr>
              <w:jc w:val="center"/>
              <w:ind w:left="382"/>
              <w:spacing w:after="0"/>
              <w:rPr>
                <w:sz w:val="20"/>
                <w:szCs w:val="20"/>
                <w:color w:val="auto"/>
              </w:rPr>
            </w:pPr>
            <w:r>
              <w:rPr>
                <w:rFonts w:ascii="Times New Roman" w:cs="Times New Roman" w:eastAsia="Times New Roman" w:hAnsi="Times New Roman"/>
                <w:sz w:val="20"/>
                <w:szCs w:val="20"/>
                <w:color w:val="auto"/>
                <w:w w:val="98"/>
              </w:rPr>
              <w:t>Retention Requirement</w:t>
            </w:r>
          </w:p>
        </w:tc>
        <w:tc>
          <w:tcPr>
            <w:tcW w:w="0" w:type="dxa"/>
            <w:vAlign w:val="bottom"/>
          </w:tcPr>
          <w:p>
            <w:pPr>
              <w:spacing w:after="0"/>
              <w:rPr>
                <w:sz w:val="1"/>
                <w:szCs w:val="1"/>
                <w:color w:val="auto"/>
              </w:rPr>
            </w:pPr>
          </w:p>
        </w:tc>
      </w:tr>
      <w:tr>
        <w:trPr>
          <w:trHeight w:val="196"/>
        </w:trPr>
        <w:tc>
          <w:tcPr>
            <w:tcW w:w="402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jc w:val="center"/>
              <w:spacing w:after="0" w:line="169" w:lineRule="exact"/>
              <w:rPr>
                <w:sz w:val="20"/>
                <w:szCs w:val="20"/>
                <w:color w:val="auto"/>
              </w:rPr>
            </w:pPr>
            <w:r>
              <w:rPr>
                <w:rFonts w:ascii="Times New Roman" w:cs="Times New Roman" w:eastAsia="Times New Roman" w:hAnsi="Times New Roman"/>
                <w:sz w:val="19"/>
                <w:szCs w:val="19"/>
                <w:color w:val="auto"/>
              </w:rPr>
              <w:t>Annual Base Salary</w:t>
            </w:r>
          </w:p>
        </w:tc>
        <w:tc>
          <w:tcPr>
            <w:tcW w:w="600" w:type="dxa"/>
            <w:vAlign w:val="bottom"/>
          </w:tcPr>
          <w:p>
            <w:pPr>
              <w:spacing w:after="0"/>
              <w:rPr>
                <w:sz w:val="17"/>
                <w:szCs w:val="17"/>
                <w:color w:val="auto"/>
              </w:rPr>
            </w:pPr>
          </w:p>
        </w:tc>
        <w:tc>
          <w:tcPr>
            <w:tcW w:w="2320" w:type="dxa"/>
            <w:vAlign w:val="bottom"/>
            <w:gridSpan w:val="3"/>
          </w:tcPr>
          <w:p>
            <w:pPr>
              <w:jc w:val="center"/>
              <w:ind w:left="402"/>
              <w:spacing w:after="0" w:line="169" w:lineRule="exact"/>
              <w:rPr>
                <w:sz w:val="20"/>
                <w:szCs w:val="20"/>
                <w:color w:val="auto"/>
              </w:rPr>
            </w:pPr>
            <w:r>
              <w:rPr>
                <w:rFonts w:ascii="Times New Roman" w:cs="Times New Roman" w:eastAsia="Times New Roman" w:hAnsi="Times New Roman"/>
                <w:sz w:val="19"/>
                <w:szCs w:val="19"/>
                <w:color w:val="auto"/>
              </w:rPr>
              <w:t>Percentage</w:t>
            </w:r>
          </w:p>
        </w:tc>
        <w:tc>
          <w:tcPr>
            <w:tcW w:w="0" w:type="dxa"/>
            <w:vAlign w:val="bottom"/>
          </w:tcPr>
          <w:p>
            <w:pPr>
              <w:spacing w:after="0"/>
              <w:rPr>
                <w:sz w:val="1"/>
                <w:szCs w:val="1"/>
                <w:color w:val="auto"/>
              </w:rPr>
            </w:pPr>
          </w:p>
        </w:tc>
      </w:tr>
      <w:tr>
        <w:trPr>
          <w:trHeight w:val="303"/>
        </w:trPr>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0</w:t>
            </w:r>
          </w:p>
        </w:tc>
        <w:tc>
          <w:tcPr>
            <w:tcW w:w="39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 CEO</w:t>
            </w:r>
          </w:p>
        </w:tc>
        <w:tc>
          <w:tcPr>
            <w:tcW w:w="54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1</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Other Named Executive Officers (NEOs)</w:t>
            </w:r>
          </w:p>
        </w:tc>
        <w:tc>
          <w:tcPr>
            <w:tcW w:w="212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9"/>
              </w:rPr>
              <w:t>3</w:t>
            </w:r>
          </w:p>
        </w:tc>
        <w:tc>
          <w:tcPr>
            <w:tcW w:w="600" w:type="dxa"/>
            <w:vAlign w:val="bottom"/>
          </w:tcPr>
          <w:p>
            <w:pPr>
              <w:spacing w:after="0"/>
              <w:rPr>
                <w:sz w:val="24"/>
                <w:szCs w:val="24"/>
                <w:color w:val="auto"/>
              </w:rPr>
            </w:pPr>
          </w:p>
        </w:tc>
        <w:tc>
          <w:tcPr>
            <w:tcW w:w="1840" w:type="dxa"/>
            <w:vAlign w:val="bottom"/>
            <w:gridSpan w:val="2"/>
          </w:tcPr>
          <w:p>
            <w:pPr>
              <w:jc w:val="center"/>
              <w:ind w:left="862"/>
              <w:spacing w:after="0"/>
              <w:rPr>
                <w:sz w:val="20"/>
                <w:szCs w:val="20"/>
                <w:color w:val="auto"/>
              </w:rPr>
            </w:pPr>
            <w:r>
              <w:rPr>
                <w:rFonts w:ascii="Times New Roman" w:cs="Times New Roman" w:eastAsia="Times New Roman" w:hAnsi="Times New Roman"/>
                <w:sz w:val="20"/>
                <w:szCs w:val="20"/>
                <w:color w:val="auto"/>
                <w:w w:val="98"/>
              </w:rPr>
              <w:t>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2</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Senior Vice Presidents (other than NEOs)</w:t>
            </w:r>
          </w:p>
        </w:tc>
        <w:tc>
          <w:tcPr>
            <w:tcW w:w="212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9"/>
              </w:rPr>
              <w:t>2</w:t>
            </w:r>
          </w:p>
        </w:tc>
        <w:tc>
          <w:tcPr>
            <w:tcW w:w="600" w:type="dxa"/>
            <w:vAlign w:val="bottom"/>
          </w:tcPr>
          <w:p>
            <w:pPr>
              <w:spacing w:after="0"/>
              <w:rPr>
                <w:sz w:val="24"/>
                <w:szCs w:val="24"/>
                <w:color w:val="auto"/>
              </w:rPr>
            </w:pPr>
          </w:p>
        </w:tc>
        <w:tc>
          <w:tcPr>
            <w:tcW w:w="1840" w:type="dxa"/>
            <w:vAlign w:val="bottom"/>
            <w:gridSpan w:val="2"/>
          </w:tcPr>
          <w:p>
            <w:pPr>
              <w:jc w:val="center"/>
              <w:ind w:left="862"/>
              <w:spacing w:after="0"/>
              <w:rPr>
                <w:sz w:val="20"/>
                <w:szCs w:val="20"/>
                <w:color w:val="auto"/>
              </w:rPr>
            </w:pPr>
            <w:r>
              <w:rPr>
                <w:rFonts w:ascii="Times New Roman" w:cs="Times New Roman" w:eastAsia="Times New Roman" w:hAnsi="Times New Roman"/>
                <w:sz w:val="20"/>
                <w:szCs w:val="20"/>
                <w:color w:val="auto"/>
                <w:w w:val="98"/>
              </w:rPr>
              <w:t>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3</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All Other Associates/Participants</w:t>
            </w:r>
          </w:p>
        </w:tc>
        <w:tc>
          <w:tcPr>
            <w:tcW w:w="2120" w:type="dxa"/>
            <w:vAlign w:val="bottom"/>
            <w:gridSpan w:val="2"/>
          </w:tcPr>
          <w:p>
            <w:pPr>
              <w:jc w:val="center"/>
              <w:ind w:left="441"/>
              <w:spacing w:after="0"/>
              <w:rPr>
                <w:sz w:val="20"/>
                <w:szCs w:val="20"/>
                <w:color w:val="auto"/>
              </w:rPr>
            </w:pPr>
            <w:r>
              <w:rPr>
                <w:rFonts w:ascii="Times New Roman" w:cs="Times New Roman" w:eastAsia="Times New Roman" w:hAnsi="Times New Roman"/>
                <w:sz w:val="20"/>
                <w:szCs w:val="20"/>
                <w:color w:val="auto"/>
                <w:w w:val="99"/>
              </w:rPr>
              <w:t>0</w:t>
            </w:r>
          </w:p>
        </w:tc>
        <w:tc>
          <w:tcPr>
            <w:tcW w:w="600" w:type="dxa"/>
            <w:vAlign w:val="bottom"/>
          </w:tcPr>
          <w:p>
            <w:pPr>
              <w:spacing w:after="0"/>
              <w:rPr>
                <w:sz w:val="24"/>
                <w:szCs w:val="24"/>
                <w:color w:val="auto"/>
              </w:rPr>
            </w:pPr>
          </w:p>
        </w:tc>
        <w:tc>
          <w:tcPr>
            <w:tcW w:w="1840" w:type="dxa"/>
            <w:vAlign w:val="bottom"/>
            <w:gridSpan w:val="2"/>
          </w:tcPr>
          <w:p>
            <w:pPr>
              <w:jc w:val="center"/>
              <w:ind w:left="882"/>
              <w:spacing w:after="0"/>
              <w:rPr>
                <w:sz w:val="20"/>
                <w:szCs w:val="20"/>
                <w:color w:val="auto"/>
              </w:rPr>
            </w:pPr>
            <w:r>
              <w:rPr>
                <w:rFonts w:ascii="Times New Roman" w:cs="Times New Roman" w:eastAsia="Times New Roman" w:hAnsi="Times New Roman"/>
                <w:sz w:val="20"/>
                <w:szCs w:val="20"/>
                <w:color w:val="auto"/>
                <w:w w:val="97"/>
              </w:rPr>
              <w:t>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071" w:right="339" w:bottom="1440" w:gutter="0" w:footer="0" w:header="0"/>
        </w:sectPr>
      </w:pPr>
    </w:p>
    <w:bookmarkStart w:id="38" w:name="page39"/>
    <w:bookmarkEnd w:id="38"/>
    <w:p>
      <w:pPr>
        <w:ind w:left="512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7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PERFORMANCE GOAL FOR</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rTSR PERFORMANCE UNIT AWARD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20"/>
        <w:spacing w:after="0"/>
        <w:rPr>
          <w:sz w:val="20"/>
          <w:szCs w:val="20"/>
          <w:color w:val="auto"/>
        </w:rPr>
      </w:pPr>
      <w:r>
        <w:rPr>
          <w:rFonts w:ascii="Times New Roman" w:cs="Times New Roman" w:eastAsia="Times New Roman" w:hAnsi="Times New Roman"/>
          <w:sz w:val="20"/>
          <w:szCs w:val="20"/>
          <w:b w:val="1"/>
          <w:bCs w:val="1"/>
          <w:color w:val="auto"/>
        </w:rPr>
        <w:t xml:space="preserve">Grant ID:  </w:t>
      </w:r>
      <w:r>
        <w:rPr>
          <w:rFonts w:ascii="Times New Roman" w:cs="Times New Roman" w:eastAsia="Times New Roman" w:hAnsi="Times New Roman"/>
          <w:sz w:val="20"/>
          <w:szCs w:val="20"/>
          <w:color w:val="auto"/>
        </w:rPr>
        <w:t>/$GrantID$/</w:t>
      </w:r>
    </w:p>
    <w:p>
      <w:pPr>
        <w:spacing w:after="0" w:line="5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b w:val="1"/>
          <w:bCs w:val="1"/>
          <w:color w:val="auto"/>
        </w:rPr>
        <w:t xml:space="preserve">Grant Date:  </w:t>
      </w:r>
      <w:r>
        <w:rPr>
          <w:rFonts w:ascii="Times New Roman" w:cs="Times New Roman" w:eastAsia="Times New Roman" w:hAnsi="Times New Roman"/>
          <w:sz w:val="20"/>
          <w:szCs w:val="20"/>
          <w:color w:val="auto"/>
        </w:rPr>
        <w:t>/$GrantDate$/</w:t>
      </w:r>
    </w:p>
    <w:p>
      <w:pPr>
        <w:spacing w:after="0" w:line="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Target Share Units: </w:t>
      </w:r>
      <w:r>
        <w:rPr>
          <w:rFonts w:ascii="Times New Roman" w:cs="Times New Roman" w:eastAsia="Times New Roman" w:hAnsi="Times New Roman"/>
          <w:sz w:val="20"/>
          <w:szCs w:val="20"/>
          <w:color w:val="auto"/>
        </w:rPr>
        <w:t>/$AwardsGranted$/</w:t>
      </w:r>
    </w:p>
    <w:p>
      <w:pPr>
        <w:spacing w:after="0" w:line="54" w:lineRule="exact"/>
        <w:rPr>
          <w:sz w:val="20"/>
          <w:szCs w:val="20"/>
          <w:color w:val="auto"/>
        </w:rPr>
      </w:pPr>
    </w:p>
    <w:p>
      <w:pPr>
        <w:ind w:left="2680" w:right="980" w:hanging="1909"/>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Performance Period: </w:t>
      </w:r>
      <w:r>
        <w:rPr>
          <w:rFonts w:ascii="Times New Roman" w:cs="Times New Roman" w:eastAsia="Times New Roman" w:hAnsi="Times New Roman"/>
          <w:sz w:val="20"/>
          <w:szCs w:val="20"/>
          <w:color w:val="auto"/>
        </w:rPr>
        <w:t>Three-Year Period Comprised of Fiscal Years 2023, 2024 and 2025 (September 1, 2022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August 31, 2025)</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Measurement Date:  </w:t>
      </w:r>
      <w:r>
        <w:rPr>
          <w:rFonts w:ascii="Times New Roman" w:cs="Times New Roman" w:eastAsia="Times New Roman" w:hAnsi="Times New Roman"/>
          <w:sz w:val="20"/>
          <w:szCs w:val="20"/>
          <w:color w:val="auto"/>
        </w:rPr>
        <w:t>August 31, 2025 (end of third fiscal year)</w:t>
      </w:r>
    </w:p>
    <w:p>
      <w:pPr>
        <w:spacing w:after="0" w:line="54" w:lineRule="exact"/>
        <w:rPr>
          <w:sz w:val="20"/>
          <w:szCs w:val="20"/>
          <w:color w:val="auto"/>
        </w:rPr>
      </w:pPr>
    </w:p>
    <w:p>
      <w:pPr>
        <w:ind w:left="2680" w:right="960" w:hanging="1265"/>
        <w:spacing w:after="0" w:line="281" w:lineRule="auto"/>
        <w:rPr>
          <w:sz w:val="20"/>
          <w:szCs w:val="20"/>
          <w:color w:val="auto"/>
        </w:rPr>
      </w:pPr>
      <w:r>
        <w:rPr>
          <w:rFonts w:ascii="Times New Roman" w:cs="Times New Roman" w:eastAsia="Times New Roman" w:hAnsi="Times New Roman"/>
          <w:sz w:val="19"/>
          <w:szCs w:val="19"/>
          <w:b w:val="1"/>
          <w:bCs w:val="1"/>
          <w:color w:val="auto"/>
        </w:rPr>
        <w:t xml:space="preserve">Vesting Date: </w:t>
      </w:r>
      <w:r>
        <w:rPr>
          <w:rFonts w:ascii="Times New Roman" w:cs="Times New Roman" w:eastAsia="Times New Roman" w:hAnsi="Times New Roman"/>
          <w:sz w:val="19"/>
          <w:szCs w:val="19"/>
          <w:color w:val="auto"/>
        </w:rPr>
        <w:t>The later of the date on which the Committee certifies the achievement level of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Goal after the Measurement Date, or the third anniversary of the Grant Date, October 24, 2025</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 xml:space="preserve">Benchmark Group:  </w:t>
      </w:r>
      <w:r>
        <w:rPr>
          <w:rFonts w:ascii="Times New Roman" w:cs="Times New Roman" w:eastAsia="Times New Roman" w:hAnsi="Times New Roman"/>
          <w:sz w:val="20"/>
          <w:szCs w:val="20"/>
          <w:color w:val="auto"/>
        </w:rPr>
        <w:t>S&amp;P 400 Capital Goods Index (see below for list of companies in this Index)</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Goal: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achievement of a level of the relative Total Shareholder Return Performance Measure (as defined below) between the Threshold and</w:t>
      </w:r>
    </w:p>
    <w:p>
      <w:pPr>
        <w:ind w:right="320"/>
        <w:spacing w:after="0" w:line="215" w:lineRule="auto"/>
        <w:rPr>
          <w:sz w:val="20"/>
          <w:szCs w:val="20"/>
          <w:color w:val="auto"/>
        </w:rPr>
      </w:pPr>
      <w:r>
        <w:rPr>
          <w:rFonts w:ascii="Times New Roman" w:cs="Times New Roman" w:eastAsia="Times New Roman" w:hAnsi="Times New Roman"/>
          <w:sz w:val="19"/>
          <w:szCs w:val="19"/>
          <w:color w:val="auto"/>
        </w:rPr>
        <w:t>Maximum as shown in the table below (the “Achievement Level”). Final performance will be measured against the payout curve as of the Measurement Date. The number of shares you will receive will be calculated by multiplying your Target Share Units by the Payout %</w:t>
      </w:r>
    </w:p>
    <w:p>
      <w:pPr>
        <w:ind w:right="320"/>
        <w:spacing w:after="0" w:line="242" w:lineRule="auto"/>
        <w:rPr>
          <w:sz w:val="20"/>
          <w:szCs w:val="20"/>
          <w:color w:val="auto"/>
        </w:rPr>
      </w:pPr>
      <w:r>
        <w:rPr>
          <w:rFonts w:ascii="Times New Roman" w:cs="Times New Roman" w:eastAsia="Times New Roman" w:hAnsi="Times New Roman"/>
          <w:sz w:val="19"/>
          <w:szCs w:val="19"/>
          <w:color w:val="auto"/>
        </w:rPr>
        <w:t xml:space="preserve">between 0% and 200%. The exact Payout % will be determined by linear interpolation of the Achievement Level of the Performance Measure between the bend points illustrated below. </w:t>
      </w:r>
      <w:r>
        <w:rPr>
          <w:rFonts w:ascii="Times New Roman" w:cs="Times New Roman" w:eastAsia="Times New Roman" w:hAnsi="Times New Roman"/>
          <w:sz w:val="19"/>
          <w:szCs w:val="19"/>
          <w:b w:val="1"/>
          <w:bCs w:val="1"/>
          <w:color w:val="auto"/>
        </w:rPr>
        <w:t>If the Performance Measure is at or below Threshold, no payout will be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Achievement Levels.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2360" w:type="dxa"/>
            <w:vAlign w:val="bottom"/>
            <w:tcBorders>
              <w:top w:val="single" w:sz="8" w:color="auto"/>
              <w:left w:val="single" w:sz="8" w:color="auto"/>
              <w:bottom w:val="single" w:sz="8" w:color="DFDFDF"/>
              <w:right w:val="single" w:sz="8" w:color="auto"/>
            </w:tcBorders>
            <w:shd w:val="clear" w:color="auto" w:fill="DFDFDF"/>
          </w:tcPr>
          <w:p>
            <w:pPr>
              <w:spacing w:after="0"/>
              <w:rPr>
                <w:sz w:val="24"/>
                <w:szCs w:val="24"/>
                <w:color w:val="auto"/>
              </w:rPr>
            </w:pPr>
          </w:p>
        </w:tc>
        <w:tc>
          <w:tcPr>
            <w:tcW w:w="254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Threshold Payout</w:t>
            </w:r>
          </w:p>
        </w:tc>
        <w:tc>
          <w:tcPr>
            <w:tcW w:w="290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Target Payout</w:t>
            </w:r>
          </w:p>
        </w:tc>
        <w:tc>
          <w:tcPr>
            <w:tcW w:w="3460" w:type="dxa"/>
            <w:vAlign w:val="bottom"/>
            <w:tcBorders>
              <w:top w:val="single" w:sz="8" w:color="auto"/>
              <w:bottom w:val="single" w:sz="8" w:color="DFDFDF"/>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 Payout</w:t>
            </w:r>
          </w:p>
        </w:tc>
        <w:tc>
          <w:tcPr>
            <w:tcW w:w="0" w:type="dxa"/>
            <w:vAlign w:val="bottom"/>
          </w:tcPr>
          <w:p>
            <w:pPr>
              <w:spacing w:after="0"/>
              <w:rPr>
                <w:sz w:val="1"/>
                <w:szCs w:val="1"/>
                <w:color w:val="auto"/>
              </w:rPr>
            </w:pPr>
          </w:p>
        </w:tc>
      </w:tr>
      <w:tr>
        <w:trPr>
          <w:trHeight w:val="183"/>
        </w:trPr>
        <w:tc>
          <w:tcPr>
            <w:tcW w:w="2360" w:type="dxa"/>
            <w:vAlign w:val="bottom"/>
            <w:tcBorders>
              <w:top w:val="single" w:sz="8" w:color="auto"/>
              <w:left w:val="single" w:sz="8" w:color="auto"/>
              <w:right w:val="single" w:sz="8" w:color="auto"/>
            </w:tcBorders>
            <w:shd w:val="clear" w:color="auto" w:fill="DFDFDF"/>
          </w:tcPr>
          <w:p>
            <w:pPr>
              <w:spacing w:after="0"/>
              <w:rPr>
                <w:sz w:val="15"/>
                <w:szCs w:val="15"/>
                <w:color w:val="auto"/>
              </w:rPr>
            </w:pPr>
          </w:p>
        </w:tc>
        <w:tc>
          <w:tcPr>
            <w:tcW w:w="254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Percentile Rank and</w:t>
            </w:r>
          </w:p>
        </w:tc>
        <w:tc>
          <w:tcPr>
            <w:tcW w:w="2900" w:type="dxa"/>
            <w:vAlign w:val="bottom"/>
            <w:tcBorders>
              <w:top w:val="single" w:sz="8" w:color="auto"/>
              <w:right w:val="single" w:sz="8" w:color="auto"/>
            </w:tcBorders>
          </w:tcPr>
          <w:p>
            <w:pPr>
              <w:spacing w:after="0"/>
              <w:rPr>
                <w:sz w:val="15"/>
                <w:szCs w:val="15"/>
                <w:color w:val="auto"/>
              </w:rPr>
            </w:pPr>
          </w:p>
        </w:tc>
        <w:tc>
          <w:tcPr>
            <w:tcW w:w="3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75th and above Percentile Rank of</w:t>
            </w: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vMerge w:val="restart"/>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Performance Measure</w:t>
            </w:r>
          </w:p>
        </w:tc>
        <w:tc>
          <w:tcPr>
            <w:tcW w:w="25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Below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Rank</w:t>
            </w:r>
          </w:p>
        </w:tc>
        <w:tc>
          <w:tcPr>
            <w:tcW w:w="29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60" w:type="dxa"/>
            <w:vAlign w:val="bottom"/>
            <w:tcBorders>
              <w:left w:val="single" w:sz="8" w:color="auto"/>
              <w:right w:val="single" w:sz="8" w:color="auto"/>
            </w:tcBorders>
            <w:vMerge w:val="continue"/>
            <w:shd w:val="clear" w:color="auto" w:fill="DFDFDF"/>
          </w:tcPr>
          <w:p>
            <w:pPr>
              <w:spacing w:after="0"/>
              <w:rPr>
                <w:sz w:val="13"/>
                <w:szCs w:val="13"/>
                <w:color w:val="auto"/>
              </w:rPr>
            </w:pPr>
          </w:p>
        </w:tc>
        <w:tc>
          <w:tcPr>
            <w:tcW w:w="2540" w:type="dxa"/>
            <w:vAlign w:val="bottom"/>
            <w:tcBorders>
              <w:right w:val="single" w:sz="8" w:color="auto"/>
            </w:tcBorders>
            <w:vMerge w:val="restart"/>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compared to Benchmark</w:t>
            </w:r>
          </w:p>
        </w:tc>
        <w:tc>
          <w:tcPr>
            <w:tcW w:w="2900" w:type="dxa"/>
            <w:vAlign w:val="bottom"/>
            <w:tcBorders>
              <w:right w:val="single" w:sz="8" w:color="auto"/>
            </w:tcBorders>
            <w:vMerge w:val="restart"/>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50th Percentile Rank of Company</w:t>
            </w:r>
          </w:p>
        </w:tc>
        <w:tc>
          <w:tcPr>
            <w:tcW w:w="3460" w:type="dxa"/>
            <w:vAlign w:val="bottom"/>
            <w:tcBorders>
              <w:right w:val="single" w:sz="8" w:color="auto"/>
            </w:tcBorders>
            <w:vMerge w:val="restart"/>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Company compared to Benchmark Group</w:t>
            </w:r>
          </w:p>
        </w:tc>
        <w:tc>
          <w:tcPr>
            <w:tcW w:w="0" w:type="dxa"/>
            <w:vAlign w:val="bottom"/>
          </w:tcPr>
          <w:p>
            <w:pPr>
              <w:spacing w:after="0"/>
              <w:rPr>
                <w:sz w:val="1"/>
                <w:szCs w:val="1"/>
                <w:color w:val="auto"/>
              </w:rPr>
            </w:pPr>
          </w:p>
        </w:tc>
      </w:tr>
      <w:tr>
        <w:trPr>
          <w:trHeight w:val="48"/>
        </w:trPr>
        <w:tc>
          <w:tcPr>
            <w:tcW w:w="2360" w:type="dxa"/>
            <w:vAlign w:val="bottom"/>
            <w:tcBorders>
              <w:left w:val="single" w:sz="8" w:color="auto"/>
              <w:right w:val="single" w:sz="8" w:color="auto"/>
            </w:tcBorders>
            <w:shd w:val="clear" w:color="auto" w:fill="DFDFDF"/>
          </w:tcPr>
          <w:p>
            <w:pPr>
              <w:spacing w:after="0"/>
              <w:rPr>
                <w:sz w:val="4"/>
                <w:szCs w:val="4"/>
                <w:color w:val="auto"/>
              </w:rPr>
            </w:pPr>
          </w:p>
        </w:tc>
        <w:tc>
          <w:tcPr>
            <w:tcW w:w="2540" w:type="dxa"/>
            <w:vAlign w:val="bottom"/>
            <w:tcBorders>
              <w:right w:val="single" w:sz="8" w:color="auto"/>
            </w:tcBorders>
            <w:vMerge w:val="continue"/>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34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tcBorders>
              <w:left w:val="single" w:sz="8" w:color="auto"/>
              <w:bottom w:val="single" w:sz="8" w:color="auto"/>
              <w:right w:val="single" w:sz="8" w:color="auto"/>
            </w:tcBorders>
            <w:shd w:val="clear" w:color="auto" w:fill="DFDFDF"/>
          </w:tcPr>
          <w:p>
            <w:pPr>
              <w:spacing w:after="0"/>
              <w:rPr>
                <w:sz w:val="22"/>
                <w:szCs w:val="22"/>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Group</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compared to Benchmark Group</w:t>
            </w:r>
          </w:p>
        </w:tc>
        <w:tc>
          <w:tcPr>
            <w:tcW w:w="3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60" w:type="dxa"/>
            <w:vAlign w:val="bottom"/>
            <w:tcBorders>
              <w:left w:val="single" w:sz="8" w:color="auto"/>
              <w:bottom w:val="single" w:sz="8" w:color="DFDFDF"/>
              <w:right w:val="single" w:sz="8" w:color="auto"/>
            </w:tcBorders>
            <w:shd w:val="clear" w:color="auto" w:fill="DFDFDF"/>
          </w:tcPr>
          <w:p>
            <w:pPr>
              <w:ind w:left="80"/>
              <w:spacing w:after="0"/>
              <w:rPr>
                <w:sz w:val="20"/>
                <w:szCs w:val="20"/>
                <w:color w:val="auto"/>
              </w:rPr>
            </w:pPr>
            <w:r>
              <w:rPr>
                <w:rFonts w:ascii="Times New Roman" w:cs="Times New Roman" w:eastAsia="Times New Roman" w:hAnsi="Times New Roman"/>
                <w:sz w:val="20"/>
                <w:szCs w:val="20"/>
                <w:b w:val="1"/>
                <w:bCs w:val="1"/>
                <w:color w:val="auto"/>
              </w:rPr>
              <w:t>Achievement Level</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20"/>
        </w:trPr>
        <w:tc>
          <w:tcPr>
            <w:tcW w:w="2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40" w:type="dxa"/>
            <w:vAlign w:val="bottom"/>
            <w:tcBorders>
              <w:right w:val="single" w:sz="8" w:color="auto"/>
            </w:tcBorders>
            <w:shd w:val="clear" w:color="auto" w:fill="000000"/>
          </w:tcPr>
          <w:p>
            <w:pPr>
              <w:spacing w:after="0" w:line="20" w:lineRule="exact"/>
              <w:rPr>
                <w:sz w:val="1"/>
                <w:szCs w:val="1"/>
                <w:color w:val="auto"/>
              </w:rPr>
            </w:pPr>
          </w:p>
        </w:tc>
        <w:tc>
          <w:tcPr>
            <w:tcW w:w="2900" w:type="dxa"/>
            <w:vAlign w:val="bottom"/>
            <w:tcBorders>
              <w:right w:val="single" w:sz="8" w:color="auto"/>
            </w:tcBorders>
            <w:shd w:val="clear" w:color="auto" w:fill="000000"/>
          </w:tcPr>
          <w:p>
            <w:pPr>
              <w:spacing w:after="0" w:line="20" w:lineRule="exact"/>
              <w:rPr>
                <w:sz w:val="1"/>
                <w:szCs w:val="1"/>
                <w:color w:val="auto"/>
              </w:rPr>
            </w:pPr>
          </w:p>
        </w:tc>
        <w:tc>
          <w:tcPr>
            <w:tcW w:w="34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Shareholder Return (“TSR”) means the stock price appreciation from the beginning to end of the Performance Period, plus dividends</w:t>
      </w:r>
    </w:p>
    <w:p>
      <w:pPr>
        <w:jc w:val="both"/>
        <w:ind w:right="100"/>
        <w:spacing w:after="0" w:line="215" w:lineRule="auto"/>
        <w:rPr>
          <w:sz w:val="20"/>
          <w:szCs w:val="20"/>
          <w:color w:val="auto"/>
        </w:rPr>
      </w:pPr>
      <w:r>
        <w:rPr>
          <w:rFonts w:ascii="Times New Roman" w:cs="Times New Roman" w:eastAsia="Times New Roman" w:hAnsi="Times New Roman"/>
          <w:sz w:val="19"/>
          <w:szCs w:val="19"/>
          <w:color w:val="auto"/>
        </w:rPr>
        <w:t>and distributions made or declared during the Performance Period (it shall be assumed that such dividends or distributions are reinvested as of the ex-dividend date), expressed as a percentage return. Relative total shareholder return (“rTSR”) is the percentile rank of the Company’s</w:t>
      </w:r>
    </w:p>
    <w:p>
      <w:pPr>
        <w:spacing w:after="0"/>
        <w:rPr>
          <w:sz w:val="20"/>
          <w:szCs w:val="20"/>
          <w:color w:val="auto"/>
        </w:rPr>
      </w:pPr>
      <w:r>
        <w:rPr>
          <w:rFonts w:ascii="Times New Roman" w:cs="Times New Roman" w:eastAsia="Times New Roman" w:hAnsi="Times New Roman"/>
          <w:sz w:val="20"/>
          <w:szCs w:val="20"/>
          <w:color w:val="auto"/>
        </w:rPr>
        <w:t>TSR over the Performance Period as compared to the TSR of each company in the Benchmark Group (the “Performance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Calculation of Relative Total Shareholder Return (rTSR):</w:t>
      </w:r>
    </w:p>
    <w:p>
      <w:pPr>
        <w:sectPr>
          <w:pgSz w:w="11900" w:h="16838" w:orient="portrait"/>
          <w:cols w:equalWidth="0" w:num="1">
            <w:col w:w="11260"/>
          </w:cols>
          <w:pgMar w:left="320" w:top="10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60"/>
          </w:cols>
          <w:pgMar w:left="320" w:top="1071" w:right="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TSR for Acuity and each peer company will be calculated using the equation shown below:</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58"/>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TSR =</w:t>
            </w:r>
          </w:p>
        </w:tc>
        <w:tc>
          <w:tcPr>
            <w:tcW w:w="4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(Ending Stock Price - Beginning Stock Price)</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w w:val="92"/>
              </w:rPr>
              <w:t>X 100</w:t>
            </w:r>
          </w:p>
        </w:tc>
        <w:tc>
          <w:tcPr>
            <w:tcW w:w="0" w:type="dxa"/>
            <w:vAlign w:val="bottom"/>
          </w:tcPr>
          <w:p>
            <w:pPr>
              <w:spacing w:after="0"/>
              <w:rPr>
                <w:sz w:val="1"/>
                <w:szCs w:val="1"/>
                <w:color w:val="auto"/>
              </w:rPr>
            </w:pPr>
          </w:p>
        </w:tc>
      </w:tr>
      <w:tr>
        <w:trPr>
          <w:trHeight w:val="21"/>
        </w:trPr>
        <w:tc>
          <w:tcPr>
            <w:tcW w:w="720" w:type="dxa"/>
            <w:vAlign w:val="bottom"/>
            <w:vMerge w:val="continue"/>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4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Beginning Stock Price</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The Beginning Stock Price equals the average closing stock price during the 20-trading day period preceding the start of the Performance Period. The Ending Stock Price will equal the average closing price over the 20-trading day period ending on the last day of the Performance</w:t>
      </w:r>
    </w:p>
    <w:p>
      <w:pPr>
        <w:spacing w:after="0" w:line="1" w:lineRule="exact"/>
        <w:rPr>
          <w:sz w:val="20"/>
          <w:szCs w:val="20"/>
          <w:color w:val="auto"/>
        </w:rPr>
      </w:pPr>
    </w:p>
    <w:p>
      <w:pPr>
        <w:ind w:right="380"/>
        <w:spacing w:after="0" w:line="204" w:lineRule="auto"/>
        <w:rPr>
          <w:sz w:val="20"/>
          <w:szCs w:val="20"/>
          <w:color w:val="auto"/>
        </w:rPr>
      </w:pPr>
      <w:r>
        <w:rPr>
          <w:rFonts w:ascii="Times New Roman" w:cs="Times New Roman" w:eastAsia="Times New Roman" w:hAnsi="Times New Roman"/>
          <w:sz w:val="20"/>
          <w:szCs w:val="20"/>
          <w:color w:val="auto"/>
        </w:rPr>
        <w:t>Period, assuming dividends distributed during the Performance Period are reinvested on the ex-dividend date for additional shares of the issuing company’s stock.</w:t>
      </w:r>
    </w:p>
    <w:p>
      <w:pPr>
        <w:spacing w:after="0" w:line="223" w:lineRule="auto"/>
        <w:rPr>
          <w:sz w:val="20"/>
          <w:szCs w:val="20"/>
          <w:color w:val="auto"/>
        </w:rPr>
      </w:pPr>
      <w:r>
        <w:rPr>
          <w:rFonts w:ascii="Times New Roman" w:cs="Times New Roman" w:eastAsia="Times New Roman" w:hAnsi="Times New Roman"/>
          <w:sz w:val="19"/>
          <w:szCs w:val="19"/>
          <w:color w:val="auto"/>
        </w:rPr>
        <w:t>At the end of the Performance Period the TSR of each company in the peer group (excluding Acuity) will be ranked from highest to lowest,</w:t>
      </w:r>
    </w:p>
    <w:p>
      <w:pPr>
        <w:ind w:right="180"/>
        <w:spacing w:after="0" w:line="215" w:lineRule="auto"/>
        <w:rPr>
          <w:sz w:val="20"/>
          <w:szCs w:val="20"/>
          <w:color w:val="auto"/>
        </w:rPr>
      </w:pPr>
      <w:r>
        <w:rPr>
          <w:rFonts w:ascii="Times New Roman" w:cs="Times New Roman" w:eastAsia="Times New Roman" w:hAnsi="Times New Roman"/>
          <w:sz w:val="19"/>
          <w:szCs w:val="19"/>
          <w:color w:val="auto"/>
        </w:rPr>
        <w:t>with the company with the highest TSR being assigned a rank of 1. Acuity’s percentile rank within the Peer Group will be calculated using the formula below, where N is the total companies in the Peer Group excluding Acuity and R is Acuity’s ranking within the Peer Group. N</w:t>
      </w:r>
    </w:p>
    <w:p>
      <w:pPr>
        <w:spacing w:after="0"/>
        <w:rPr>
          <w:sz w:val="20"/>
          <w:szCs w:val="20"/>
          <w:color w:val="auto"/>
        </w:rPr>
      </w:pPr>
      <w:r>
        <w:rPr>
          <w:rFonts w:ascii="Times New Roman" w:cs="Times New Roman" w:eastAsia="Times New Roman" w:hAnsi="Times New Roman"/>
          <w:sz w:val="20"/>
          <w:szCs w:val="20"/>
          <w:color w:val="auto"/>
        </w:rPr>
        <w:t>equals 45 as of the 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-7620</wp:posOffset>
            </wp:positionV>
            <wp:extent cx="1645920"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6459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spacing w:after="0" w:line="199" w:lineRule="auto"/>
        <w:rPr>
          <w:sz w:val="20"/>
          <w:szCs w:val="20"/>
          <w:color w:val="auto"/>
        </w:rPr>
      </w:pPr>
      <w:r>
        <w:rPr>
          <w:rFonts w:ascii="Times New Roman" w:cs="Times New Roman" w:eastAsia="Times New Roman" w:hAnsi="Times New Roman"/>
          <w:sz w:val="20"/>
          <w:szCs w:val="20"/>
          <w:color w:val="auto"/>
        </w:rPr>
        <w:t>The percentile rank of Acuity’s TSR within the peer group will be calculated using the equation below, where PR</w:t>
      </w:r>
      <w:r>
        <w:rPr>
          <w:rFonts w:ascii="Times New Roman" w:cs="Times New Roman" w:eastAsia="Times New Roman" w:hAnsi="Times New Roman"/>
          <w:sz w:val="28"/>
          <w:szCs w:val="28"/>
          <w:color w:val="auto"/>
          <w:vertAlign w:val="subscript"/>
        </w:rPr>
        <w:t>Acuity</w:t>
      </w:r>
      <w:r>
        <w:rPr>
          <w:rFonts w:ascii="Times New Roman" w:cs="Times New Roman" w:eastAsia="Times New Roman" w:hAnsi="Times New Roman"/>
          <w:sz w:val="20"/>
          <w:szCs w:val="20"/>
          <w:color w:val="auto"/>
        </w:rPr>
        <w:t xml:space="preserve"> and TSR</w:t>
      </w:r>
      <w:r>
        <w:rPr>
          <w:rFonts w:ascii="Times New Roman" w:cs="Times New Roman" w:eastAsia="Times New Roman" w:hAnsi="Times New Roman"/>
          <w:sz w:val="28"/>
          <w:szCs w:val="28"/>
          <w:color w:val="auto"/>
          <w:vertAlign w:val="subscript"/>
        </w:rPr>
        <w:t>Acuity</w:t>
      </w:r>
      <w:r>
        <w:rPr>
          <w:rFonts w:ascii="Times New Roman" w:cs="Times New Roman" w:eastAsia="Times New Roman" w:hAnsi="Times New Roman"/>
          <w:sz w:val="20"/>
          <w:szCs w:val="20"/>
          <w:color w:val="auto"/>
        </w:rPr>
        <w:t xml:space="preserve"> equal Acuity’s percentile rank and TSR, PR</w:t>
      </w:r>
      <w:r>
        <w:rPr>
          <w:rFonts w:ascii="Times New Roman" w:cs="Times New Roman" w:eastAsia="Times New Roman" w:hAnsi="Times New Roman"/>
          <w:sz w:val="28"/>
          <w:szCs w:val="28"/>
          <w:color w:val="auto"/>
          <w:vertAlign w:val="subscript"/>
        </w:rPr>
        <w:t>above</w:t>
      </w:r>
      <w:r>
        <w:rPr>
          <w:rFonts w:ascii="Times New Roman" w:cs="Times New Roman" w:eastAsia="Times New Roman" w:hAnsi="Times New Roman"/>
          <w:sz w:val="20"/>
          <w:szCs w:val="20"/>
          <w:color w:val="auto"/>
        </w:rPr>
        <w:t xml:space="preserve"> and TSR</w:t>
      </w:r>
      <w:r>
        <w:rPr>
          <w:rFonts w:ascii="Times New Roman" w:cs="Times New Roman" w:eastAsia="Times New Roman" w:hAnsi="Times New Roman"/>
          <w:sz w:val="28"/>
          <w:szCs w:val="28"/>
          <w:color w:val="auto"/>
          <w:vertAlign w:val="subscript"/>
        </w:rPr>
        <w:t>above</w:t>
      </w:r>
      <w:r>
        <w:rPr>
          <w:rFonts w:ascii="Times New Roman" w:cs="Times New Roman" w:eastAsia="Times New Roman" w:hAnsi="Times New Roman"/>
          <w:sz w:val="20"/>
          <w:szCs w:val="20"/>
          <w:color w:val="auto"/>
        </w:rPr>
        <w:t xml:space="preserve"> equal the percentile rank and TSR of the peer company performing just above Acuity, and PR</w:t>
      </w:r>
      <w:r>
        <w:rPr>
          <w:rFonts w:ascii="Times New Roman" w:cs="Times New Roman" w:eastAsia="Times New Roman" w:hAnsi="Times New Roman"/>
          <w:sz w:val="28"/>
          <w:szCs w:val="28"/>
          <w:color w:val="auto"/>
          <w:vertAlign w:val="subscript"/>
        </w:rPr>
        <w:t>below</w:t>
      </w:r>
      <w:r>
        <w:rPr>
          <w:rFonts w:ascii="Times New Roman" w:cs="Times New Roman" w:eastAsia="Times New Roman" w:hAnsi="Times New Roman"/>
          <w:sz w:val="20"/>
          <w:szCs w:val="20"/>
          <w:color w:val="auto"/>
        </w:rPr>
        <w:t xml:space="preserve"> and TSR</w:t>
      </w:r>
      <w:r>
        <w:rPr>
          <w:rFonts w:ascii="Times New Roman" w:cs="Times New Roman" w:eastAsia="Times New Roman" w:hAnsi="Times New Roman"/>
          <w:sz w:val="28"/>
          <w:szCs w:val="28"/>
          <w:color w:val="auto"/>
          <w:vertAlign w:val="subscript"/>
        </w:rPr>
        <w:t>below</w:t>
      </w:r>
      <w:r>
        <w:rPr>
          <w:rFonts w:ascii="Times New Roman" w:cs="Times New Roman" w:eastAsia="Times New Roman" w:hAnsi="Times New Roman"/>
          <w:sz w:val="20"/>
          <w:szCs w:val="20"/>
          <w:color w:val="auto"/>
        </w:rPr>
        <w:t xml:space="preserve"> equal the percentile rank and TSR of the peer company performing just below Acuity.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u w:val="single" w:color="auto"/>
          <w:color w:val="auto"/>
        </w:rPr>
        <w:t>(TSRabove − TSRAcuity)</w:t>
      </w:r>
    </w:p>
    <w:p>
      <w:pPr>
        <w:spacing w:after="0" w:line="81" w:lineRule="exact"/>
        <w:rPr>
          <w:sz w:val="20"/>
          <w:szCs w:val="20"/>
          <w:color w:val="auto"/>
        </w:rPr>
      </w:pPr>
    </w:p>
    <w:p>
      <w:pPr>
        <w:ind w:left="1560"/>
        <w:spacing w:after="0"/>
        <w:tabs>
          <w:tab w:leader="none" w:pos="6200" w:val="left"/>
        </w:tabs>
        <w:rPr>
          <w:sz w:val="20"/>
          <w:szCs w:val="20"/>
          <w:color w:val="auto"/>
        </w:rPr>
      </w:pPr>
      <w:r>
        <w:rPr>
          <w:rFonts w:ascii="Times New Roman" w:cs="Times New Roman" w:eastAsia="Times New Roman" w:hAnsi="Times New Roman"/>
          <w:sz w:val="20"/>
          <w:szCs w:val="20"/>
          <w:color w:val="auto"/>
        </w:rPr>
        <w:t>PRAcuity = PRabove + (PRbelow − PRabove) X</w:t>
      </w:r>
      <w:r>
        <w:rPr>
          <w:sz w:val="20"/>
          <w:szCs w:val="20"/>
          <w:color w:val="auto"/>
        </w:rPr>
        <w:tab/>
      </w:r>
      <w:r>
        <w:rPr>
          <w:rFonts w:ascii="Times New Roman" w:cs="Times New Roman" w:eastAsia="Times New Roman" w:hAnsi="Times New Roman"/>
          <w:sz w:val="19"/>
          <w:szCs w:val="19"/>
          <w:color w:val="auto"/>
        </w:rPr>
        <w:t>(TSRabove − TSRbelow)</w:t>
      </w:r>
    </w:p>
    <w:p>
      <w:pPr>
        <w:spacing w:after="0" w:line="378" w:lineRule="exact"/>
        <w:rPr>
          <w:sz w:val="20"/>
          <w:szCs w:val="20"/>
          <w:color w:val="auto"/>
        </w:rPr>
      </w:pPr>
    </w:p>
    <w:p>
      <w:pPr>
        <w:ind w:left="40" w:right="560"/>
        <w:spacing w:after="0" w:line="283" w:lineRule="auto"/>
        <w:rPr>
          <w:sz w:val="20"/>
          <w:szCs w:val="20"/>
          <w:color w:val="auto"/>
        </w:rPr>
      </w:pPr>
      <w:r>
        <w:rPr>
          <w:rFonts w:ascii="Times New Roman" w:cs="Times New Roman" w:eastAsia="Times New Roman" w:hAnsi="Times New Roman"/>
          <w:sz w:val="20"/>
          <w:szCs w:val="20"/>
          <w:color w:val="auto"/>
        </w:rPr>
        <w:t>If Acuity’s TSR is greater than the highest TSR of the peer companies, its TSR will be positioned at the 100th percentile. Similarly, if Acuity’s TSR is less than the lowest TSR of the peer companies, its TSR will be positioned at the 0th percentile.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80"/>
          </w:cols>
          <w:pgMar w:left="320" w:top="1075"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Payout Example: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payout example assuming an award of 100 Target Share Units would be as follows:</w:t>
      </w:r>
    </w:p>
    <w:p>
      <w:pPr>
        <w:spacing w:after="0" w:line="21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Determine Acuity Brands TSR. The Beginning Stock Price for Acuity Brands was $25.01 per share and the Ending Stock Price was $41.45 per share, then the TSR for Acuity Brands would be 65.73%. The calculation is as follows:</w:t>
      </w:r>
    </w:p>
    <w:p>
      <w:pPr>
        <w:spacing w:after="0" w:line="18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($41.45 - $25.01)</w:t>
      </w:r>
    </w:p>
    <w:p>
      <w:pPr>
        <w:ind w:left="1620"/>
        <w:spacing w:after="0" w:line="193" w:lineRule="auto"/>
        <w:tabs>
          <w:tab w:leader="none" w:pos="5760" w:val="left"/>
        </w:tabs>
        <w:rPr>
          <w:sz w:val="20"/>
          <w:szCs w:val="20"/>
          <w:color w:val="auto"/>
        </w:rPr>
      </w:pPr>
      <w:r>
        <w:rPr>
          <w:rFonts w:ascii="Times New Roman" w:cs="Times New Roman" w:eastAsia="Times New Roman" w:hAnsi="Times New Roman"/>
          <w:sz w:val="16"/>
          <w:szCs w:val="16"/>
          <w:color w:val="auto"/>
        </w:rPr>
        <w:t>Acuity Brands TSR =</w:t>
      </w:r>
      <w:r>
        <w:rPr>
          <w:sz w:val="20"/>
          <w:szCs w:val="20"/>
          <w:color w:val="auto"/>
        </w:rPr>
        <w:tab/>
      </w:r>
      <w:r>
        <w:rPr>
          <w:rFonts w:ascii="Times New Roman" w:cs="Times New Roman" w:eastAsia="Times New Roman" w:hAnsi="Times New Roman"/>
          <w:sz w:val="16"/>
          <w:szCs w:val="16"/>
          <w:color w:val="auto"/>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-24130</wp:posOffset>
            </wp:positionV>
            <wp:extent cx="1208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4360"/>
        <w:spacing w:after="0"/>
        <w:tabs>
          <w:tab w:leader="none" w:pos="6440" w:val="left"/>
        </w:tabs>
        <w:rPr>
          <w:sz w:val="20"/>
          <w:szCs w:val="20"/>
          <w:color w:val="auto"/>
        </w:rPr>
      </w:pPr>
      <w:r>
        <w:rPr>
          <w:rFonts w:ascii="Times New Roman" w:cs="Times New Roman" w:eastAsia="Times New Roman" w:hAnsi="Times New Roman"/>
          <w:sz w:val="20"/>
          <w:szCs w:val="20"/>
          <w:color w:val="auto"/>
        </w:rPr>
        <w:t>$25.01</w:t>
      </w:r>
      <w:r>
        <w:rPr>
          <w:sz w:val="20"/>
          <w:szCs w:val="20"/>
          <w:color w:val="auto"/>
        </w:rPr>
        <w:tab/>
      </w:r>
      <w:r>
        <w:rPr>
          <w:rFonts w:ascii="Times New Roman" w:cs="Times New Roman" w:eastAsia="Times New Roman" w:hAnsi="Times New Roman"/>
          <w:sz w:val="20"/>
          <w:szCs w:val="20"/>
          <w:color w:val="auto"/>
        </w:rPr>
        <w:t>0.6573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 Benchmark Group rank and percentile rank.</w:t>
      </w:r>
    </w:p>
    <w:p>
      <w:pPr>
        <w:spacing w:after="0" w:line="259" w:lineRule="exact"/>
        <w:rPr>
          <w:sz w:val="20"/>
          <w:szCs w:val="20"/>
          <w:color w:val="auto"/>
        </w:rPr>
      </w:pPr>
    </w:p>
    <w:tbl>
      <w:tblPr>
        <w:tblLayout w:type="fixed"/>
        <w:tblInd w:w="2970" w:type="dxa"/>
        <w:tblCellMar>
          <w:top w:w="0" w:type="dxa"/>
          <w:left w:w="0" w:type="dxa"/>
          <w:bottom w:w="0" w:type="dxa"/>
          <w:right w:w="0" w:type="dxa"/>
        </w:tblCellMar>
      </w:tblPr>
      <w:tr>
        <w:trPr>
          <w:trHeight w:val="302"/>
        </w:trPr>
        <w:tc>
          <w:tcPr>
            <w:tcW w:w="2160" w:type="dxa"/>
            <w:vAlign w:val="bottom"/>
            <w:tcBorders>
              <w:top w:val="single" w:sz="8" w:color="auto"/>
              <w:left w:val="single" w:sz="8" w:color="auto"/>
              <w:bottom w:val="single" w:sz="8" w:color="DBDBDB"/>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1000" w:type="dxa"/>
            <w:vAlign w:val="bottom"/>
            <w:tcBorders>
              <w:top w:val="single" w:sz="8" w:color="auto"/>
              <w:bottom w:val="single" w:sz="8" w:color="DBDBDB"/>
              <w:right w:val="single" w:sz="8" w:color="auto"/>
            </w:tcBorders>
            <w:shd w:val="clear" w:color="auto" w:fill="DBDBDB"/>
          </w:tcPr>
          <w:p>
            <w:pPr>
              <w:ind w:left="280"/>
              <w:spacing w:after="0"/>
              <w:rPr>
                <w:sz w:val="20"/>
                <w:szCs w:val="20"/>
                <w:color w:val="auto"/>
              </w:rPr>
            </w:pPr>
            <w:r>
              <w:rPr>
                <w:rFonts w:ascii="Times New Roman" w:cs="Times New Roman" w:eastAsia="Times New Roman" w:hAnsi="Times New Roman"/>
                <w:sz w:val="20"/>
                <w:szCs w:val="20"/>
                <w:b w:val="1"/>
                <w:bCs w:val="1"/>
                <w:color w:val="auto"/>
              </w:rPr>
              <w:t>TSR</w:t>
            </w:r>
          </w:p>
        </w:tc>
        <w:tc>
          <w:tcPr>
            <w:tcW w:w="1000" w:type="dxa"/>
            <w:vAlign w:val="bottom"/>
            <w:tcBorders>
              <w:top w:val="single" w:sz="8" w:color="auto"/>
              <w:bottom w:val="single" w:sz="8" w:color="DBDBDB"/>
              <w:right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20"/>
                <w:szCs w:val="20"/>
                <w:b w:val="1"/>
                <w:bCs w:val="1"/>
                <w:color w:val="auto"/>
              </w:rPr>
              <w:t>Rank</w:t>
            </w:r>
          </w:p>
        </w:tc>
        <w:tc>
          <w:tcPr>
            <w:tcW w:w="1000" w:type="dxa"/>
            <w:vAlign w:val="bottom"/>
            <w:tcBorders>
              <w:top w:val="single" w:sz="8" w:color="auto"/>
              <w:bottom w:val="single" w:sz="8" w:color="DBDBDB"/>
              <w:right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20"/>
                <w:szCs w:val="20"/>
                <w:b w:val="1"/>
                <w:bCs w:val="1"/>
                <w:color w:val="auto"/>
              </w:rPr>
              <w:t>Percentile</w:t>
            </w:r>
          </w:p>
        </w:tc>
      </w:tr>
      <w:tr>
        <w:trPr>
          <w:trHeight w:val="256"/>
        </w:trPr>
        <w:tc>
          <w:tcPr>
            <w:tcW w:w="21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A</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95.54%</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100.00%</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B</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92.53%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92.30%</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C</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91.19%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84.61%</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71.00%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76.92%</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65.87%</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69.23%</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F</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62.56%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61.53%</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G</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46.59%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53.84%</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H</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46.29%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46.15%</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I</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45.02%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38.46%</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J</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37.92%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30.76%</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K</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24.70%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23.07%</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9.62%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15.38%</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M</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7.46%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7.69%</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Company N</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0.95%</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0.00%</w:t>
            </w:r>
          </w:p>
        </w:tc>
      </w:tr>
      <w:tr>
        <w:trPr>
          <w:trHeight w:val="21"/>
        </w:trPr>
        <w:tc>
          <w:tcPr>
            <w:tcW w:w="2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99"/>
        </w:trPr>
        <w:tc>
          <w:tcPr>
            <w:tcW w:w="21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Acuity Brands, Inc.</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65.73%</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 the relative percentile rank of Acuity Brands’ TSR within the Benchmark Group.</w:t>
      </w:r>
    </w:p>
    <w:p>
      <w:pPr>
        <w:spacing w:after="0" w:line="265"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(65.</w:t>
            </w:r>
            <w:r>
              <w:rPr>
                <w:rFonts w:ascii="Times New Roman" w:cs="Times New Roman" w:eastAsia="Times New Roman" w:hAnsi="Times New Roman"/>
                <w:sz w:val="20"/>
                <w:szCs w:val="20"/>
                <w:u w:val="single" w:color="auto"/>
                <w:color w:val="auto"/>
                <w:w w:val="97"/>
              </w:rPr>
              <w:t>87%</w:t>
            </w:r>
            <w:r>
              <w:rPr>
                <w:rFonts w:ascii="Times New Roman" w:cs="Times New Roman" w:eastAsia="Times New Roman" w:hAnsi="Times New Roman"/>
                <w:sz w:val="20"/>
                <w:szCs w:val="20"/>
                <w:color w:val="auto"/>
                <w:w w:val="97"/>
              </w:rPr>
              <w:t xml:space="preserve"> − 65.73%)</w:t>
            </w:r>
          </w:p>
        </w:tc>
      </w:tr>
      <w:tr>
        <w:trPr>
          <w:trHeight w:val="35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PRAcuity = 69.23% + (61.53% − 69.23%) X</w:t>
            </w:r>
          </w:p>
        </w:tc>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(65.87% − 62.56%)</w:t>
            </w:r>
          </w:p>
        </w:tc>
      </w:tr>
    </w:tbl>
    <w:p>
      <w:pPr>
        <w:spacing w:after="0" w:line="3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PRAcuity = </w:t>
      </w:r>
      <w:r>
        <w:rPr>
          <w:rFonts w:ascii="Times New Roman" w:cs="Times New Roman" w:eastAsia="Times New Roman" w:hAnsi="Times New Roman"/>
          <w:sz w:val="20"/>
          <w:szCs w:val="20"/>
          <w:b w:val="1"/>
          <w:bCs w:val="1"/>
          <w:color w:val="auto"/>
        </w:rPr>
        <w:t>68.90%</w:t>
      </w:r>
    </w:p>
    <w:p>
      <w:pPr>
        <w:spacing w:after="0" w:line="20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9"/>
          <w:szCs w:val="19"/>
          <w:color w:val="auto"/>
        </w:rPr>
        <w:t>A 68.90% percentile rank results in an achievement level of between Target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Maximum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and above). The payout percentage would be interpolated between 100% and 200% to be 176%. The number of shares earned as a result are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xml:space="preserve">100 Target Shares x 176% payout percentage = </w:t>
      </w:r>
      <w:r>
        <w:rPr>
          <w:rFonts w:ascii="Times New Roman" w:cs="Times New Roman" w:eastAsia="Times New Roman" w:hAnsi="Times New Roman"/>
          <w:sz w:val="20"/>
          <w:szCs w:val="20"/>
          <w:b w:val="1"/>
          <w:bCs w:val="1"/>
          <w:color w:val="auto"/>
        </w:rPr>
        <w:t>176 shares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080"/>
          </w:cols>
          <w:pgMar w:left="320" w:top="1274" w:right="499" w:bottom="1440" w:gutter="0" w:footer="0" w:header="0"/>
        </w:sectPr>
      </w:pPr>
    </w:p>
    <w:bookmarkStart w:id="41" w:name="page42"/>
    <w:bookmarkEnd w:id="41"/>
    <w:p>
      <w:pPr>
        <w:ind w:left="80"/>
        <w:spacing w:after="0"/>
        <w:rPr>
          <w:sz w:val="20"/>
          <w:szCs w:val="20"/>
          <w:color w:val="auto"/>
        </w:rPr>
      </w:pPr>
      <w:r>
        <w:rPr>
          <w:rFonts w:ascii="Times New Roman" w:cs="Times New Roman" w:eastAsia="Times New Roman" w:hAnsi="Times New Roman"/>
          <w:sz w:val="20"/>
          <w:szCs w:val="20"/>
          <w:b w:val="1"/>
          <w:bCs w:val="1"/>
          <w:color w:val="auto"/>
        </w:rPr>
        <w:t>S&amp;P 400 Capital Goods Index - 45 Companies</w:t>
      </w:r>
    </w:p>
    <w:p>
      <w:pPr>
        <w:spacing w:after="0" w:line="22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S&amp;P 400 Capital Goods Index (the “Benchmark Group”) will be considered “closed” as of September 1, 2022, with no new companies being added subsequent to the establishment of the Benchmark Group.</w:t>
      </w:r>
    </w:p>
    <w:p>
      <w:pPr>
        <w:sectPr>
          <w:pgSz w:w="11900" w:h="16838" w:orient="portrait"/>
          <w:cols w:equalWidth="0" w:num="1">
            <w:col w:w="11060"/>
          </w:cols>
          <w:pgMar w:left="320" w:top="1314" w:right="51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AECOM</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Axon Enterprise,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Builders FirstSource,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Carlisle Companies Incorporated</w:t>
      </w:r>
    </w:p>
    <w:p>
      <w:pPr>
        <w:spacing w:after="0" w:line="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Chart Industries,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Crane Holdings Incorporated</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Curtiss-Wright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Donaldson Company,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Dycom Industries,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EMCOR Group,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EnerSys</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ESAB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Flowserve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Fluor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GATX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Graco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Hexcel Corporation</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Hubbell Incorporated</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ITT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Kennametal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Lennox International Inc.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Lincoln Electric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MasTec,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MDU Resources Group,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Mercury Systems,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MSC Industrial Direct Co.,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nVent Electric plc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Oshkosh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Owens Corning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Regal Rexnord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Simpson Manufacturing Co.,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SunPower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Sunrun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Terex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Middleby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Timken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Toro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Trex Company,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Univar Solutions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Valmont Industries,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Vicor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Watsco,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Watts Water Technologies, Inc.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Woodward, Inc.</w:t>
      </w:r>
    </w:p>
    <w:p>
      <w:pPr>
        <w:spacing w:after="0" w:line="483" w:lineRule="exact"/>
        <w:rPr>
          <w:sz w:val="20"/>
          <w:szCs w:val="20"/>
          <w:color w:val="auto"/>
        </w:rPr>
      </w:pPr>
    </w:p>
    <w:p>
      <w:pPr>
        <w:sectPr>
          <w:pgSz w:w="11900" w:h="16838" w:orient="portrait"/>
          <w:cols w:equalWidth="0" w:num="2">
            <w:col w:w="3960" w:space="720"/>
            <w:col w:w="6380"/>
          </w:cols>
          <w:pgMar w:left="320" w:top="131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060"/>
          </w:cols>
          <w:pgMar w:left="320" w:top="1314" w:right="51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TERMS AND CONDITIONS FOR GRANTEES OUTSIDE THE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includes additional terms and conditions that govern the Performance Units granted to Grantee under the Plan if Grantee</w:t>
      </w:r>
    </w:p>
    <w:p>
      <w:pPr>
        <w:jc w:val="both"/>
        <w:spacing w:after="0" w:line="204" w:lineRule="auto"/>
        <w:rPr>
          <w:sz w:val="20"/>
          <w:szCs w:val="20"/>
          <w:color w:val="auto"/>
        </w:rPr>
      </w:pPr>
      <w:r>
        <w:rPr>
          <w:rFonts w:ascii="Times New Roman" w:cs="Times New Roman" w:eastAsia="Times New Roman" w:hAnsi="Times New Roman"/>
          <w:sz w:val="20"/>
          <w:szCs w:val="20"/>
          <w:color w:val="auto"/>
        </w:rPr>
        <w:t>resides in one of the countries listed below. These terms and conditions are in addition to, or if so indicated, in place of the terms and conditions in the Agreement. If Grantee is a citizen or resident of a country other than the one in which he or she is currently working,</w:t>
      </w:r>
    </w:p>
    <w:p>
      <w:pPr>
        <w:spacing w:after="0" w:line="211" w:lineRule="auto"/>
        <w:rPr>
          <w:sz w:val="20"/>
          <w:szCs w:val="20"/>
          <w:color w:val="auto"/>
        </w:rPr>
      </w:pPr>
      <w:r>
        <w:rPr>
          <w:rFonts w:ascii="Times New Roman" w:cs="Times New Roman" w:eastAsia="Times New Roman" w:hAnsi="Times New Roman"/>
          <w:sz w:val="20"/>
          <w:szCs w:val="20"/>
          <w:color w:val="auto"/>
        </w:rPr>
        <w:t>transferred employment and/or residency after the Performance Units were granted, or is considered a resident of another country for local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law purposes, the Company shall, in its discretion, determine to what extent the terms and conditions contained herein shall be applicable to Grantee.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9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also includes information regarding exchange controls and certain other issues of which Grantee should be aware with respect to his or her participation in the Plan. The information is based on the securities, exchange control, and other laws in effect in the respective</w:t>
      </w:r>
    </w:p>
    <w:p>
      <w:pPr>
        <w:spacing w:after="0" w:line="211" w:lineRule="auto"/>
        <w:rPr>
          <w:sz w:val="20"/>
          <w:szCs w:val="20"/>
          <w:color w:val="auto"/>
        </w:rPr>
      </w:pPr>
      <w:r>
        <w:rPr>
          <w:rFonts w:ascii="Times New Roman" w:cs="Times New Roman" w:eastAsia="Times New Roman" w:hAnsi="Times New Roman"/>
          <w:sz w:val="20"/>
          <w:szCs w:val="20"/>
          <w:color w:val="auto"/>
        </w:rPr>
        <w:t>countries as of October 2020. Such laws are often complex and change frequently. As a result, the Company strongly recommends that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Grantee not rely on the information in this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as the only source of information relating to the consequences of Grantee’s participation in the Plan because the information may be out of date at the time that the Performance Units vest or Grantee sells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the information contained herein is general in nature and may not apply to Grantee’s particular situation, and the Company is not</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 a position to assure Grantee of a particular result. Accordingly, Grantee should seek appropriate professional advice as to how the relevant laws in Grantee’s country may apply to his or her situation.</w:t>
      </w:r>
    </w:p>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If Grantee is a citizen or resident of a country other than the one in which he or she is currently working, transferred employment and/or residency after the Performance Units were granted, or is considered a resident of another country for local law purposes, the notifications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contained herein may not be applicable to Grantee.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Certain capitalized terms used but not defined in this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have the meanings set forth in the Plan and the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EUROPEAN UNION/EUROPEAN ECONOMIC AREA</w:t>
      </w:r>
    </w:p>
    <w:p>
      <w:pPr>
        <w:jc w:val="center"/>
        <w:spacing w:after="0"/>
        <w:rPr>
          <w:sz w:val="20"/>
          <w:szCs w:val="20"/>
          <w:color w:val="auto"/>
        </w:rPr>
      </w:pPr>
      <w:r>
        <w:rPr>
          <w:rFonts w:ascii="Times New Roman" w:cs="Times New Roman" w:eastAsia="Times New Roman" w:hAnsi="Times New Roman"/>
          <w:sz w:val="20"/>
          <w:szCs w:val="20"/>
          <w:b w:val="1"/>
          <w:bCs w:val="1"/>
          <w:color w:val="auto"/>
        </w:rPr>
        <w:t>(Including United Kingdom)</w:t>
      </w:r>
    </w:p>
    <w:p>
      <w:pPr>
        <w:spacing w:after="0" w:line="16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Data Privacy. </w:t>
      </w:r>
      <w:r>
        <w:rPr>
          <w:rFonts w:ascii="Times New Roman" w:cs="Times New Roman" w:eastAsia="Times New Roman" w:hAnsi="Times New Roman"/>
          <w:sz w:val="20"/>
          <w:szCs w:val="20"/>
          <w:color w:val="auto"/>
        </w:rPr>
        <w:t>The provisions below replace Section 18 of the Agreement if Grantee is located in the European Union/European Economic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Area (including the United Kingdom).</w:t>
      </w:r>
    </w:p>
    <w:p>
      <w:pPr>
        <w:spacing w:after="0" w:line="157" w:lineRule="exact"/>
        <w:rPr>
          <w:sz w:val="20"/>
          <w:szCs w:val="20"/>
          <w:color w:val="auto"/>
        </w:rPr>
      </w:pPr>
    </w:p>
    <w:p>
      <w:pPr>
        <w:jc w:val="both"/>
        <w:ind w:firstLine="980"/>
        <w:spacing w:after="0" w:line="211" w:lineRule="auto"/>
        <w:tabs>
          <w:tab w:leader="none" w:pos="1285" w:val="left"/>
        </w:tabs>
        <w:numPr>
          <w:ilvl w:val="0"/>
          <w:numId w:val="2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Pursuant to applicable data protection laws, Grantee is hereby notified that, in order to perform this Agreement and facilitate Grantee’s participation in the Plan, the Company will collect, process, use, and transfer Grantee’s Personal Data (as defined herein) for purposes of allocating Shares and implementing, administering, and managing the Plan. Where required, the legal basis underlying the Company’s collection, use, transfer and other processing of Grantee’s Personal Data is the necessity of the processing (i) for the performance of this Agreement subject to the terms and conditions set forth in the Plan, (ii) to comply with legal obligations to which the Company is subject according to European Union (“EU”), European Economic Area (“EEA”) or Member State law, or (iii) the pursuit of the Company's legitimate interest to comply with legal obligations to which the Company is subject according to law established outside the EU/EEA. Grantee’s personal data and personally-identifiable information processed by the Company includes Grantee’s name, home address, telephone number and email address, date of birth, social insurance number, passport or other identification number, salary, nationality, job title, any equity or directorships held in the Company and any Subsidiary, details of all Performance Units or any other entitlement to shares of stock awarded, canceled, exercised, vested, unvested, or outstanding in Grantee’s favor, which the Company receives from Grantee or the Employer (“Personal Data”). Grantee’s provision of Personal Data is a contractual requirement under this Agreement and the Plan. Grantee’s refusal to provide Personal Data would make it impossible for the Company to perform its contractual obligations and may affect Grantee’s ability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071" w:right="339" w:bottom="1440" w:gutter="0" w:footer="0" w:header="0"/>
        </w:sectPr>
      </w:pPr>
    </w:p>
    <w:bookmarkStart w:id="43" w:name="page44"/>
    <w:bookmarkEnd w:id="43"/>
    <w:p>
      <w:pPr>
        <w:jc w:val="both"/>
        <w:ind w:firstLine="980"/>
        <w:spacing w:after="0" w:line="227" w:lineRule="auto"/>
        <w:tabs>
          <w:tab w:leader="none" w:pos="1285" w:val="left"/>
        </w:tabs>
        <w:numPr>
          <w:ilvl w:val="0"/>
          <w:numId w:val="2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Stock Plan Administration Service Providers</w:t>
      </w:r>
      <w:r>
        <w:rPr>
          <w:rFonts w:ascii="Times New Roman" w:cs="Times New Roman" w:eastAsia="Times New Roman" w:hAnsi="Times New Roman"/>
          <w:sz w:val="19"/>
          <w:szCs w:val="19"/>
          <w:b w:val="1"/>
          <w:bCs w:val="1"/>
          <w:i w:val="1"/>
          <w:iCs w:val="1"/>
          <w:color w:val="auto"/>
        </w:rPr>
        <w:t>. The Company transfers Personal Data to Merrill Lynch, Pierce, Fenner &amp; Smith Incorporated (including its affiliated companies; collectively “Bank of America Merrill Lynch”), an independent service provider with operations relevant to the Company in the United States, which assists the Company with the implementation, administration, and management of the Plan. In this case, Grantee’s Personal Data will only be accessible by those individuals requiring access to it for purposes of implementing, administering, and operating the Plan. Grantee will be asked to agree on separate terms and data processing practices with Bank of America Merrill Lynch, which is a condition to Grantee’s ability to participate in the Plan. In the future, the Company may select a different service provider, which will act in a similar manner, and share Personal Data with such service provider.</w:t>
      </w:r>
    </w:p>
    <w:p>
      <w:pPr>
        <w:spacing w:after="0" w:line="160" w:lineRule="exact"/>
        <w:rPr>
          <w:rFonts w:ascii="Times New Roman" w:cs="Times New Roman" w:eastAsia="Times New Roman" w:hAnsi="Times New Roman"/>
          <w:sz w:val="19"/>
          <w:szCs w:val="19"/>
          <w:b w:val="1"/>
          <w:bCs w:val="1"/>
          <w:i w:val="1"/>
          <w:iCs w:val="1"/>
          <w:color w:val="auto"/>
        </w:rPr>
      </w:pPr>
    </w:p>
    <w:p>
      <w:pPr>
        <w:jc w:val="both"/>
        <w:ind w:firstLine="980"/>
        <w:spacing w:after="0" w:line="216" w:lineRule="auto"/>
        <w:tabs>
          <w:tab w:leader="none" w:pos="1288" w:val="left"/>
        </w:tabs>
        <w:numPr>
          <w:ilvl w:val="0"/>
          <w:numId w:val="2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Bank of America Merrill Lynch are based in the United State</w:t>
      </w: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i w:val="1"/>
          <w:iCs w:val="1"/>
          <w:color w:val="auto"/>
        </w:rPr>
        <w:t>, which means that it will be necessary for Personal Data to be transferred to, and processed in, the United States. If Grantee is outside the United States, Grantee should note that his or her country may have enacted data privacy laws that are different from the laws of the United States. Further, in the absence of appropriate safeguards such as EU Standard Contractual Clauses published by the EU Commission, the processing of Grantee’s Personal Data in the United States or, as the case may be, other countries, might not be subject to substantive data processing principles or supervision by data protection authorities. In addition, Grantee might not have enforceable rights regarding the processing of his or her Personal Data in such countries.</w:t>
      </w:r>
    </w:p>
    <w:p>
      <w:pPr>
        <w:spacing w:after="0" w:line="144"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0"/>
          <w:szCs w:val="20"/>
          <w:b w:val="1"/>
          <w:bCs w:val="1"/>
          <w:i w:val="1"/>
          <w:iCs w:val="1"/>
          <w:color w:val="auto"/>
        </w:rPr>
        <w:t>The Company provides appropriate safeguards for protecting Personal Data that it receives in the United States through its adherence to EU Standard Contractual Clauses entered into between the Company and its Subsidiaries and Affiliates within the EU,</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the EEA and the United Kingdom. Grantee can ask for copies of such EU Standard Contractual Clauses using the following contact details: Rob Selker at rob.selker@eldoled.com, Loic Mrissa at lmrissa@distech-controls.com, or Ian Doyle at IDoyle@holophane.co.UK.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Bank of America Merrill Lynch has not implemented appropriate safeguards such as the EU Standard Contractual Clauses. As a consequence, if Grantee is located in the EU, the EEA or the United Kingdom, Personal Data is transferred by the Company to Bank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America Merrill Lynch solely based on Grantee’s consent provided to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2320" cy="1525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237" w:lineRule="exact"/>
        <w:rPr>
          <w:sz w:val="20"/>
          <w:szCs w:val="20"/>
          <w:color w:val="auto"/>
        </w:rPr>
      </w:pPr>
    </w:p>
    <w:p>
      <w:pPr>
        <w:jc w:val="both"/>
        <w:ind w:left="40" w:right="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If Grantee is located in the EU, the EEA or the United Kingdom, by signing or otherwise entering into this Agreement, Grantee unambiguously consents to the onward transfer of Personal Data by the Company to Bank of America Merrill Lynch as described in Section 18(c) above. Grantee understands that granting such consent is voluntary and that Grantee may, at any time and with future effect, refuse to provide such consent or withdraw such consent by contacting Rob Selker at rob.selker@eldoled.com, Loic Mrissa at lmrissa@distech-controls.com, or Ian Doyle at IDoyle@holophane.co.UK. If Grantee does not consent or later withdraws consent, Grantee’s employment status or service with the Employer will not be affected. The only consequence of not providing or withdrawing consent is that the Company would not be able to grant Performance Units or other equity awards to Grantee or administer or maintain such awards. Therefore, Grantee understands that refusing or withdrawing consent may affect his or her ability to participate in the Plan. For more information on the consequences of refusal or withdrawal of consent, Grantee may Rob Selker at rob.selker@eldoled.com, Loic Mrissa at lmrissa@distech-controls.com, or Ian Doyle at IDoyle@holophane.co.UK.</w:t>
      </w:r>
    </w:p>
    <w:p>
      <w:pPr>
        <w:spacing w:after="0" w:line="88" w:lineRule="exact"/>
        <w:rPr>
          <w:sz w:val="20"/>
          <w:szCs w:val="20"/>
          <w:color w:val="auto"/>
        </w:rPr>
      </w:pPr>
    </w:p>
    <w:p>
      <w:pPr>
        <w:jc w:val="both"/>
        <w:ind w:firstLine="980"/>
        <w:spacing w:after="0" w:line="219" w:lineRule="auto"/>
        <w:tabs>
          <w:tab w:leader="none" w:pos="1285" w:val="left"/>
        </w:tabs>
        <w:numPr>
          <w:ilvl w:val="0"/>
          <w:numId w:val="2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w:t>
      </w:r>
      <w:r>
        <w:rPr>
          <w:rFonts w:ascii="Times New Roman" w:cs="Times New Roman" w:eastAsia="Times New Roman" w:hAnsi="Times New Roman"/>
          <w:sz w:val="20"/>
          <w:szCs w:val="20"/>
          <w:b w:val="1"/>
          <w:bCs w:val="1"/>
          <w:i w:val="1"/>
          <w:iCs w:val="1"/>
          <w:color w:val="auto"/>
        </w:rPr>
        <w:t>n. The Company will use Grantee’s Personal Data only as long as is necessary to implement, administer and manage Grantee’s participation in the Plan or as required to comply with legal or regulatory obligations, including under tax, labor, securities, and exchange control laws. This period may extend beyond Grantee’s employment with the Employer. When the Company no longer needs Grantee’s Personal Data, the Company will remove it from it from its systems to the fullest extent reasonably practicable. If the Company keeps Personal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071" w:right="339" w:bottom="1440" w:gutter="0" w:footer="0" w:header="0"/>
        </w:sectPr>
      </w:pPr>
    </w:p>
    <w:bookmarkStart w:id="44" w:name="page45"/>
    <w:bookmarkEnd w:id="44"/>
    <w:p>
      <w:pPr>
        <w:jc w:val="both"/>
        <w:ind w:firstLine="980"/>
        <w:spacing w:after="0" w:line="227" w:lineRule="auto"/>
        <w:tabs>
          <w:tab w:leader="none" w:pos="1288" w:val="left"/>
        </w:tabs>
        <w:numPr>
          <w:ilvl w:val="1"/>
          <w:numId w:val="2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Data Subject Rights</w:t>
      </w:r>
      <w:r>
        <w:rPr>
          <w:rFonts w:ascii="Times New Roman" w:cs="Times New Roman" w:eastAsia="Times New Roman" w:hAnsi="Times New Roman"/>
          <w:sz w:val="19"/>
          <w:szCs w:val="19"/>
          <w:b w:val="1"/>
          <w:bCs w:val="1"/>
          <w:i w:val="1"/>
          <w:iCs w:val="1"/>
          <w:color w:val="auto"/>
        </w:rPr>
        <w:t>. Grantee has a number of rights under data privacy laws in his or her country. Depending on where Grantee is based and subject to the applicable statutory conditions, Grantee’s rights include the right to (a) request access or copies of Personal Data the Company processes, (b) rectification of incorrect or incomplete data, (c) deletion of data, (d) restrictions on processing,</w:t>
      </w:r>
    </w:p>
    <w:p>
      <w:pPr>
        <w:jc w:val="both"/>
        <w:ind w:firstLine="8"/>
        <w:spacing w:after="0" w:line="216" w:lineRule="auto"/>
        <w:tabs>
          <w:tab w:leader="none" w:pos="288" w:val="left"/>
        </w:tabs>
        <w:numPr>
          <w:ilvl w:val="0"/>
          <w:numId w:val="2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object to the processing for legitimate interests, (f) portability of data, (g) lodge complaints with competent authorities in Grantee’s country, and/or (h) request a list with the names and addresses of any potential recipients of Grantee’s Personal Data. To receive clarification regarding Grantee’s rights or to exercise Grantee’s rights, Grantee should contact his or her local human resources representative.</w:t>
      </w:r>
    </w:p>
    <w:p>
      <w:pPr>
        <w:spacing w:after="0" w:line="15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Controller and Authorized EU Representative</w:t>
      </w:r>
      <w:r>
        <w:rPr>
          <w:rFonts w:ascii="Times New Roman" w:cs="Times New Roman" w:eastAsia="Times New Roman" w:hAnsi="Times New Roman"/>
          <w:sz w:val="20"/>
          <w:szCs w:val="20"/>
          <w:b w:val="1"/>
          <w:bCs w:val="1"/>
          <w:i w:val="1"/>
          <w:iCs w:val="1"/>
          <w:color w:val="auto"/>
        </w:rPr>
        <w:t>. The Company is the controller responsible for the processing of Grantee's Personal Data as described in this Section 18. The Company’s authorized representative in the EU is Rob Selker, eldoLED B.V., Science Park</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Eindhoven 5125, 5692 ED Son, The Netherlands, and Loic Mrissa, Distech Controls, ZAC de Sacuny, 558 avenue Marcel Mérieux Brignais, France.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CANADA</w:t>
      </w:r>
    </w:p>
    <w:p>
      <w:pPr>
        <w:jc w:val="center"/>
        <w:spacing w:after="0"/>
        <w:rPr>
          <w:sz w:val="20"/>
          <w:szCs w:val="20"/>
          <w:color w:val="auto"/>
        </w:rPr>
      </w:pPr>
      <w:r>
        <w:rPr>
          <w:rFonts w:ascii="Times New Roman" w:cs="Times New Roman" w:eastAsia="Times New Roman" w:hAnsi="Times New Roman"/>
          <w:sz w:val="20"/>
          <w:szCs w:val="20"/>
          <w:b w:val="1"/>
          <w:bCs w:val="1"/>
          <w:color w:val="auto"/>
        </w:rPr>
        <w:t>(Quebec Only)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Language Consent</w:t>
      </w:r>
      <w:r>
        <w:rPr>
          <w:rFonts w:ascii="Times New Roman" w:cs="Times New Roman" w:eastAsia="Times New Roman" w:hAnsi="Times New Roman"/>
          <w:sz w:val="20"/>
          <w:szCs w:val="20"/>
          <w:color w:val="auto"/>
        </w:rPr>
        <w:t>. Grantee acknowledges that it is the express wish of the parties that this Agreement, as well as all documents, notices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proceedings entered into, given or instituted pursuant hereto or relating directly or indirectly hereto, be written in English.</w:t>
      </w:r>
    </w:p>
    <w:p>
      <w:pPr>
        <w:spacing w:after="0" w:line="15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b w:val="1"/>
          <w:bCs w:val="1"/>
          <w:i w:val="1"/>
          <w:iCs w:val="1"/>
          <w:color w:val="auto"/>
        </w:rPr>
        <w:t>Consentement linguistique</w:t>
      </w:r>
      <w:r>
        <w:rPr>
          <w:rFonts w:ascii="Times New Roman" w:cs="Times New Roman" w:eastAsia="Times New Roman" w:hAnsi="Times New Roman"/>
          <w:sz w:val="19"/>
          <w:szCs w:val="19"/>
          <w:i w:val="1"/>
          <w:iCs w:val="1"/>
          <w:color w:val="auto"/>
        </w:rPr>
        <w:t>. Le participant reconnaît que c’est son souhait exprès d’avoir exigé la rédaction en anglais de cette convention,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ainsi que de tous documents exécutés, avis donnés et procédures judiciaries intentées, directement ou indirectement, relativement à ou suite à</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 présente convention.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Privacy</w:t>
      </w:r>
      <w:r>
        <w:rPr>
          <w:rFonts w:ascii="Times New Roman" w:cs="Times New Roman" w:eastAsia="Times New Roman" w:hAnsi="Times New Roman"/>
          <w:sz w:val="20"/>
          <w:szCs w:val="20"/>
          <w:color w:val="auto"/>
        </w:rPr>
        <w:t>. The following provision supplements Section 18 of the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 hereby authorizes the Company and the Company’s representatives to discuss with and obtain all relevant information from all</w:t>
      </w:r>
    </w:p>
    <w:p>
      <w:pPr>
        <w:spacing w:after="0" w:line="204" w:lineRule="auto"/>
        <w:rPr>
          <w:sz w:val="20"/>
          <w:szCs w:val="20"/>
          <w:color w:val="auto"/>
        </w:rPr>
      </w:pPr>
      <w:r>
        <w:rPr>
          <w:rFonts w:ascii="Times New Roman" w:cs="Times New Roman" w:eastAsia="Times New Roman" w:hAnsi="Times New Roman"/>
          <w:sz w:val="20"/>
          <w:szCs w:val="20"/>
          <w:color w:val="auto"/>
        </w:rPr>
        <w:t>personnel, professional or not, involved in the administration and operation of the Plan. Grantee further authorizes the Company, any Subsidiary or Affiliate to disclose and discuss the Plan with their advisors. Grantee further authorizes the Company and any Subsidiary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 to record such information and to keep such information in Grantee’s employee file.</w:t>
      </w:r>
    </w:p>
    <w:p>
      <w:pPr>
        <w:spacing w:after="0" w:line="1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CANADA</w:t>
      </w:r>
    </w:p>
    <w:p>
      <w:pPr>
        <w:jc w:val="center"/>
        <w:spacing w:after="0"/>
        <w:rPr>
          <w:sz w:val="20"/>
          <w:szCs w:val="20"/>
          <w:color w:val="auto"/>
        </w:rPr>
      </w:pPr>
      <w:r>
        <w:rPr>
          <w:rFonts w:ascii="Times New Roman" w:cs="Times New Roman" w:eastAsia="Times New Roman" w:hAnsi="Times New Roman"/>
          <w:sz w:val="20"/>
          <w:szCs w:val="20"/>
          <w:b w:val="1"/>
          <w:bCs w:val="1"/>
          <w:color w:val="auto"/>
        </w:rPr>
        <w:t>(All Provinces, Including Quebec)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Termination of Service</w:t>
      </w:r>
      <w:r>
        <w:rPr>
          <w:rFonts w:ascii="Times New Roman" w:cs="Times New Roman" w:eastAsia="Times New Roman" w:hAnsi="Times New Roman"/>
          <w:sz w:val="20"/>
          <w:szCs w:val="20"/>
          <w:color w:val="auto"/>
        </w:rPr>
        <w:t>. The following provision supplements Section 5(d) of the Agreement:</w:t>
      </w:r>
    </w:p>
    <w:p>
      <w:pPr>
        <w:spacing w:after="0" w:line="17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Notwithstanding Section 5(d) of the Agreement, if applicable employment standards legislation explicitly requires continued entitlement to vesting during a statutory notice period, Grantee’s right to vest in the RSUs under the Plan, if any, will terminate effective as of the last day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Grantee’s minimum statutory notice period, but Grantee will not earn or be entitled to pro-rated vesting if the Vesting Date falls after the end of Grantee’s statutory notice period, nor will Grantee be entitled to any compensation for lost vesting.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b w:val="1"/>
          <w:bCs w:val="1"/>
          <w:color w:val="auto"/>
        </w:rPr>
        <w:t>Securities Law Notice</w:t>
      </w:r>
      <w:r>
        <w:rPr>
          <w:rFonts w:ascii="Times New Roman" w:cs="Times New Roman" w:eastAsia="Times New Roman" w:hAnsi="Times New Roman"/>
          <w:sz w:val="19"/>
          <w:szCs w:val="19"/>
          <w:color w:val="auto"/>
        </w:rPr>
        <w:t>. Grantee acknowledges that he or she is permitted to sell the Shares acquired under the Plan through Bank of America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Merrill Lynch or other such stock plan service provider as may be selected by the Company in the future, provided the sale of the Shares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takes place outside of Canada through facilities of a stock exchange on which the Shares are listed. The Shares are currently listed on the New York Stock Exchange.</w:t>
      </w:r>
    </w:p>
    <w:p>
      <w:pPr>
        <w:spacing w:after="0" w:line="14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b w:val="1"/>
          <w:bCs w:val="1"/>
          <w:color w:val="auto"/>
        </w:rPr>
        <w:t>Foreign Asset and Account Reporting Information</w:t>
      </w:r>
      <w:r>
        <w:rPr>
          <w:rFonts w:ascii="Times New Roman" w:cs="Times New Roman" w:eastAsia="Times New Roman" w:hAnsi="Times New Roman"/>
          <w:sz w:val="20"/>
          <w:szCs w:val="20"/>
          <w:color w:val="auto"/>
        </w:rPr>
        <w:t>. Canadian residents may be required to report specified foreign property on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T1135 (Foreign Income Verification Statement) if the total cost of the foreign specified property exceeds C$100,000 at any time in the year.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Foreign specified property includes Shares acquired under the Plan and may include the Performance Units, and their cost generally is the adjusted cost base (“ACB”) of the Shares. The ACB ordinarily would equal the fair market value of the Shares at the time of acquisition, but</w:t>
      </w:r>
    </w:p>
    <w:p>
      <w:pPr>
        <w:spacing w:after="0"/>
        <w:rPr>
          <w:sz w:val="20"/>
          <w:szCs w:val="20"/>
          <w:color w:val="auto"/>
        </w:rPr>
      </w:pPr>
      <w:r>
        <w:rPr>
          <w:rFonts w:ascii="Times New Roman" w:cs="Times New Roman" w:eastAsia="Times New Roman" w:hAnsi="Times New Roman"/>
          <w:sz w:val="20"/>
          <w:szCs w:val="20"/>
          <w:color w:val="auto"/>
        </w:rPr>
        <w:t>if the Canadian resident owns other Shares, whether acquired under the Plan or outside of it, the ACB of Shares</w:t>
      </w:r>
    </w:p>
    <w:p>
      <w:pPr>
        <w:sectPr>
          <w:pgSz w:w="11900" w:h="16838" w:orient="portrait"/>
          <w:cols w:equalWidth="0" w:num="1">
            <w:col w:w="11240"/>
          </w:cols>
          <w:pgMar w:left="320" w:top="10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07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9"/>
          <w:szCs w:val="19"/>
          <w:color w:val="auto"/>
        </w:rPr>
        <w:t>acquired pursuant to this Agreement may have to be averaged with the ACB of the other Shares. The Form T1135 generally must be filed by</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April 30 of the following year. Canadian residents should consult with a personal advisor to ensure compliance with the applicable reporting requirements.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FRANCE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Performance Units Not French-qualified</w:t>
      </w:r>
      <w:r>
        <w:rPr>
          <w:rFonts w:ascii="Times New Roman" w:cs="Times New Roman" w:eastAsia="Times New Roman" w:hAnsi="Times New Roman"/>
          <w:sz w:val="20"/>
          <w:szCs w:val="20"/>
          <w:color w:val="auto"/>
        </w:rPr>
        <w:t>. The Performance Units granted under this Agreement are not intended to qualify for specific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social security treatment pursuant to Sections L. 225-197-1 to L. 225-197-6 of the French Commercial Code, as amended.</w:t>
      </w:r>
    </w:p>
    <w:p>
      <w:pPr>
        <w:spacing w:after="0" w:line="15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color w:val="auto"/>
        </w:rPr>
        <w:t>Language Consent</w:t>
      </w:r>
      <w:r>
        <w:rPr>
          <w:rFonts w:ascii="Times New Roman" w:cs="Times New Roman" w:eastAsia="Times New Roman" w:hAnsi="Times New Roman"/>
          <w:sz w:val="20"/>
          <w:szCs w:val="20"/>
          <w:color w:val="auto"/>
        </w:rPr>
        <w:t>. By accepting the grant, Grantee confirms having read and understood the Plan and Agreement which were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English language. Grantee accepts the terms of those documents accordingly.</w:t>
      </w:r>
    </w:p>
    <w:p>
      <w:pPr>
        <w:spacing w:after="0" w:line="15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Consentement linguistique</w:t>
      </w:r>
      <w:r>
        <w:rPr>
          <w:rFonts w:ascii="Times New Roman" w:cs="Times New Roman" w:eastAsia="Times New Roman" w:hAnsi="Times New Roman"/>
          <w:sz w:val="20"/>
          <w:szCs w:val="20"/>
          <w:i w:val="1"/>
          <w:iCs w:val="1"/>
          <w:color w:val="auto"/>
        </w:rPr>
        <w:t>. En acceptant l’attribution, le Participant confirme avoir lu et compris le Plan et le Contrat, qui ont été</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communiqués en langue anglaise. Le Participant accepte les termes de ces documents en connaissance de cause.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Asset and Account Reporting Information</w:t>
      </w:r>
      <w:r>
        <w:rPr>
          <w:rFonts w:ascii="Times New Roman" w:cs="Times New Roman" w:eastAsia="Times New Roman" w:hAnsi="Times New Roman"/>
          <w:sz w:val="20"/>
          <w:szCs w:val="20"/>
          <w:color w:val="auto"/>
        </w:rPr>
        <w:t>. French residents holding cash or Shares outside France must declare all foreign bank</w:t>
      </w:r>
    </w:p>
    <w:p>
      <w:pPr>
        <w:ind w:right="20"/>
        <w:spacing w:after="0" w:line="221" w:lineRule="auto"/>
        <w:rPr>
          <w:sz w:val="20"/>
          <w:szCs w:val="20"/>
          <w:color w:val="auto"/>
        </w:rPr>
      </w:pPr>
      <w:r>
        <w:rPr>
          <w:rFonts w:ascii="Times New Roman" w:cs="Times New Roman" w:eastAsia="Times New Roman" w:hAnsi="Times New Roman"/>
          <w:sz w:val="20"/>
          <w:szCs w:val="20"/>
          <w:color w:val="auto"/>
        </w:rPr>
        <w:t>and brokerage accounts (including any accounts that were closed during the tax year) on an annual basis, together with their income tax return.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Cross-border payments in excess of €12,500 must be reported monthly to the German Federal Bank</w:t>
      </w:r>
    </w:p>
    <w:p>
      <w:pPr>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by the fifth day of the month following the month in which the payment is received or made. If Grantee receives a payment in excess of €12,500 in connection with the sale of Shares and/or the receipt of dividends or Dividends Equivalents, Grantee must report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payment to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xml:space="preserve"> electronically using the “General Statistics Reporting Portal” (</w:t>
      </w:r>
      <w:r>
        <w:rPr>
          <w:rFonts w:ascii="Times New Roman" w:cs="Times New Roman" w:eastAsia="Times New Roman" w:hAnsi="Times New Roman"/>
          <w:sz w:val="20"/>
          <w:szCs w:val="20"/>
          <w:i w:val="1"/>
          <w:iCs w:val="1"/>
          <w:color w:val="auto"/>
        </w:rPr>
        <w:t>Allgemeines Meldeportal Statistik</w:t>
      </w:r>
      <w:r>
        <w:rPr>
          <w:rFonts w:ascii="Times New Roman" w:cs="Times New Roman" w:eastAsia="Times New Roman" w:hAnsi="Times New Roman"/>
          <w:sz w:val="20"/>
          <w:szCs w:val="20"/>
          <w:color w:val="auto"/>
        </w:rPr>
        <w:t xml:space="preserve">) available via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’s website.</w:t>
      </w:r>
    </w:p>
    <w:p>
      <w:pPr>
        <w:spacing w:after="0" w:line="14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If Grantee’s acquisition of Shares under the Plan leads to a “qualified participation” at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point during the calendar year, Grantee will need to report the acquisition of Shares when Grantee files his or her tax return for the relevant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year. A qualified participation is attained if (i) the value of the Shares acquired exceeds €150,000 or (ii) the Shares held exceed 10% of the Company’s total Common Stock. However, provided the Common Stock is listed on a recognized stock exchange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the New York Stock</w:t>
      </w:r>
    </w:p>
    <w:p>
      <w:pPr>
        <w:spacing w:after="0" w:line="228" w:lineRule="auto"/>
        <w:rPr>
          <w:sz w:val="20"/>
          <w:szCs w:val="20"/>
          <w:color w:val="auto"/>
        </w:rPr>
      </w:pPr>
      <w:r>
        <w:rPr>
          <w:rFonts w:ascii="Times New Roman" w:cs="Times New Roman" w:eastAsia="Times New Roman" w:hAnsi="Times New Roman"/>
          <w:sz w:val="20"/>
          <w:szCs w:val="20"/>
          <w:color w:val="auto"/>
        </w:rPr>
        <w:t>Exchange) and Grantee owns less than 1% of the Company, this requirement will not apply. Grantee should consult with his or her personal tax advisor to ensure Grantee complies with applicable reporting obligations.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ITALY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89"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9"/>
          <w:szCs w:val="19"/>
          <w:b w:val="1"/>
          <w:bCs w:val="1"/>
          <w:color w:val="auto"/>
        </w:rPr>
        <w:t>Terms of Grant</w:t>
      </w:r>
      <w:r>
        <w:rPr>
          <w:rFonts w:ascii="Times New Roman" w:cs="Times New Roman" w:eastAsia="Times New Roman" w:hAnsi="Times New Roman"/>
          <w:sz w:val="19"/>
          <w:szCs w:val="19"/>
          <w:color w:val="auto"/>
        </w:rPr>
        <w:t>. By accepting the Performance Units, Grantee acknowledges that (a) Grantee has received a copy of the Plan,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Agreement and this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(b) Grantee has reviewed those documents in their entirety and fully understands the contents thereof; and (c)</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Grantee accepts all provisions of the Plan and the Agreement, including this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Grantee further acknowledges that Grantee has read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and specifically and expressly approves, without limitation, the following sections of the Agreement: Section 3 (Acceptance of Performance Unit Award); Section 5 (Vesting of Performance Unit Award); Section 14 (Grantee’s Representation); Section 15 (Confidentiality, Inventions,</w:t>
      </w:r>
    </w:p>
    <w:p>
      <w:pPr>
        <w:spacing w:after="0" w:line="228" w:lineRule="auto"/>
        <w:rPr>
          <w:sz w:val="20"/>
          <w:szCs w:val="20"/>
          <w:color w:val="auto"/>
        </w:rPr>
      </w:pPr>
      <w:r>
        <w:rPr>
          <w:rFonts w:ascii="Times New Roman" w:cs="Times New Roman" w:eastAsia="Times New Roman" w:hAnsi="Times New Roman"/>
          <w:sz w:val="20"/>
          <w:szCs w:val="20"/>
          <w:color w:val="auto"/>
        </w:rPr>
        <w:t>Non-Solicitation and Non-Competition); Section 16 (Nature of Grant); Section 17 (Responsibility for Taxes); Section 18 (Data Privacy); Section 20 (Insider Trading/Market Abuse Restrictions); Section 24 (Language) and Section 26 (Governing Law and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0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b w:val="1"/>
          <w:bCs w:val="1"/>
          <w:color w:val="auto"/>
        </w:rPr>
        <w:t>Foreign Asset / Account Reporting Requirement</w:t>
      </w:r>
      <w:r>
        <w:rPr>
          <w:rFonts w:ascii="Times New Roman" w:cs="Times New Roman" w:eastAsia="Times New Roman" w:hAnsi="Times New Roman"/>
          <w:sz w:val="19"/>
          <w:szCs w:val="19"/>
          <w:color w:val="auto"/>
        </w:rPr>
        <w:t>. Italian residents who, during any fiscal year, hold investments or financial assets outside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Italy (</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g</w:t>
      </w:r>
      <w:r>
        <w:rPr>
          <w:rFonts w:ascii="Times New Roman" w:cs="Times New Roman" w:eastAsia="Times New Roman" w:hAnsi="Times New Roman"/>
          <w:sz w:val="19"/>
          <w:szCs w:val="19"/>
          <w:color w:val="auto"/>
        </w:rPr>
        <w:t>., cash, Shares) which may generate income taxable in Italy must report such investments or assets in their annual tax return or on a</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special form if no tax return is due. These reporting obligations also apply if an Italian resident is the beneficial owner of foreign financial assets under Italian money laundering provisions.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MEXICO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8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Labor Law Policy and Acknowledgment. </w:t>
      </w:r>
      <w:r>
        <w:rPr>
          <w:rFonts w:ascii="Times New Roman" w:cs="Times New Roman" w:eastAsia="Times New Roman" w:hAnsi="Times New Roman"/>
          <w:sz w:val="20"/>
          <w:szCs w:val="20"/>
          <w:color w:val="auto"/>
        </w:rPr>
        <w:t>By participating in the Plan, Grantee expressly recognizes that Acuity Brands Inc.,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offices at 1170 Peachtree Street, NE Suite 2300, Atlanta, GA 30309, U.S., is solely responsible for the administration of the Plan</w:t>
      </w:r>
    </w:p>
    <w:p>
      <w:pPr>
        <w:spacing w:after="0" w:line="213" w:lineRule="auto"/>
        <w:rPr>
          <w:sz w:val="20"/>
          <w:szCs w:val="20"/>
          <w:color w:val="auto"/>
        </w:rPr>
      </w:pPr>
      <w:r>
        <w:rPr>
          <w:rFonts w:ascii="Times New Roman" w:cs="Times New Roman" w:eastAsia="Times New Roman" w:hAnsi="Times New Roman"/>
          <w:sz w:val="20"/>
          <w:szCs w:val="20"/>
          <w:color w:val="auto"/>
        </w:rPr>
        <w:t>and that Grantee’s participation in the Plan and acquisition of Shares does not constitute a relationship as an Employee with the Company</w:t>
      </w:r>
    </w:p>
    <w:p>
      <w:pPr>
        <w:jc w:val="both"/>
        <w:spacing w:after="0" w:line="204" w:lineRule="auto"/>
        <w:rPr>
          <w:sz w:val="20"/>
          <w:szCs w:val="20"/>
          <w:color w:val="auto"/>
        </w:rPr>
      </w:pPr>
      <w:r>
        <w:rPr>
          <w:rFonts w:ascii="Times New Roman" w:cs="Times New Roman" w:eastAsia="Times New Roman" w:hAnsi="Times New Roman"/>
          <w:sz w:val="20"/>
          <w:szCs w:val="20"/>
          <w:color w:val="auto"/>
        </w:rPr>
        <w:t>since Grantee is participating in the Plan on a wholly commercial basis and the sole Employer is a Subsidiary or Affiliate of the Company (“Acuity-Mexico”). Based on the foregoing, Grantee expressly recognizes that the Plan and the benefits that may be derived from</w:t>
      </w:r>
    </w:p>
    <w:p>
      <w:pPr>
        <w:spacing w:after="0" w:line="211" w:lineRule="auto"/>
        <w:rPr>
          <w:sz w:val="20"/>
          <w:szCs w:val="20"/>
          <w:color w:val="auto"/>
        </w:rPr>
      </w:pPr>
      <w:r>
        <w:rPr>
          <w:rFonts w:ascii="Times New Roman" w:cs="Times New Roman" w:eastAsia="Times New Roman" w:hAnsi="Times New Roman"/>
          <w:sz w:val="20"/>
          <w:szCs w:val="20"/>
          <w:color w:val="auto"/>
        </w:rPr>
        <w:t>participation in the Plan do not establish any rights between Grantee and the Employer, Acuity-Mexico, and do not form part of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employment conditions and/or benefits provided by Acuity-Mexico and any modification of the Plan or its termination shall not constitute a change or impairment of the terms and conditions of Grantee’s relationship as an Employee.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 further understands that Grantee’s participation in the Plan is as a result of a unilateral and discretionary decision of the Company.</w:t>
      </w:r>
    </w:p>
    <w:p>
      <w:pPr>
        <w:jc w:val="both"/>
        <w:spacing w:after="0" w:line="221" w:lineRule="auto"/>
        <w:rPr>
          <w:sz w:val="20"/>
          <w:szCs w:val="20"/>
          <w:color w:val="auto"/>
        </w:rPr>
      </w:pPr>
      <w:r>
        <w:rPr>
          <w:rFonts w:ascii="Times New Roman" w:cs="Times New Roman" w:eastAsia="Times New Roman" w:hAnsi="Times New Roman"/>
          <w:sz w:val="20"/>
          <w:szCs w:val="20"/>
          <w:color w:val="auto"/>
        </w:rPr>
        <w:t>Therefore, the Company reserves the absolute right to amend and/or discontinue Grantee’s participation at any time without any liability to Grantee.</w:t>
      </w:r>
    </w:p>
    <w:p>
      <w:pPr>
        <w:spacing w:after="0" w:line="16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Finally, Grantee hereby declares that Grantee does not reserve to himself or herself any action or right to bring any claim against the Company for any compensation or damages regarding any provision of the Plan or the benefits derived under the Plan, and Grantee therefore</w:t>
      </w:r>
    </w:p>
    <w:p>
      <w:pPr>
        <w:jc w:val="both"/>
        <w:spacing w:after="0" w:line="228" w:lineRule="auto"/>
        <w:rPr>
          <w:sz w:val="20"/>
          <w:szCs w:val="20"/>
          <w:color w:val="auto"/>
        </w:rPr>
      </w:pPr>
      <w:r>
        <w:rPr>
          <w:rFonts w:ascii="Times New Roman" w:cs="Times New Roman" w:eastAsia="Times New Roman" w:hAnsi="Times New Roman"/>
          <w:sz w:val="20"/>
          <w:szCs w:val="20"/>
          <w:color w:val="auto"/>
        </w:rPr>
        <w:t>grants a full and broad release to the Company, the Employer, its Subsidiaries and Affiliates, branches, representation offices, its stockholders, officers, agents or legal representatives with respect to any claim that may arise.</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Política de Ley Laboral y Reconocimiento. </w:t>
      </w:r>
      <w:r>
        <w:rPr>
          <w:rFonts w:ascii="Times New Roman" w:cs="Times New Roman" w:eastAsia="Times New Roman" w:hAnsi="Times New Roman"/>
          <w:sz w:val="19"/>
          <w:szCs w:val="19"/>
          <w:i w:val="1"/>
          <w:iCs w:val="1"/>
          <w:color w:val="auto"/>
        </w:rPr>
        <w:t>Participando en el Plan, el Participante reconoce expresamente que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Acuity Brands Inc.</w:t>
      </w:r>
      <w:r>
        <w:rPr>
          <w:rFonts w:ascii="Times New Roman" w:cs="Times New Roman" w:eastAsia="Times New Roman" w:hAnsi="Times New Roman"/>
          <w:sz w:val="19"/>
          <w:szCs w:val="19"/>
          <w:i w:val="1"/>
          <w:iCs w:val="1"/>
          <w:color w:val="auto"/>
        </w:rPr>
        <w:t>, con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oficinas registradas en 1170 Peachtree Street, NE Suite 2300, Atlanta, GA 30309, U.S., es el único responsable de la administración del Plan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i w:val="1"/>
          <w:iCs w:val="1"/>
          <w:color w:val="auto"/>
        </w:rPr>
        <w:t>y que la participación del Participante en el mismo y la compra de acciones bursátiles no constituye de ninguna manera una relación laboral entre Usted y la Compañía dado que su participación en el Plan deriva únicamente de una relación comercial y que su único</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empleador es una Subsidiaria o Afiliada del la Compañía (“Acuity-Mexico”). Derivado de lo anterior, el Participante expresamente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i w:val="1"/>
          <w:iCs w:val="1"/>
          <w:color w:val="auto"/>
        </w:rPr>
        <w:t>reconoce que el Plan y los beneficios que pudieran derivar del mismo no establecen ningún derecho entre el Participante y el empleador, Acuity-Mexico, y no forman parte de las condiciones laborales y/o prestaciones otorgadas por Acuity-Mexico, y cualquier modificación 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i w:val="1"/>
          <w:iCs w:val="1"/>
          <w:color w:val="auto"/>
        </w:rPr>
        <w:t>Plan o la terminación del mismo no podrá ser interpretada como una modificación o degradación de los términos y condiciones de su trabajo.</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i w:val="1"/>
          <w:iCs w:val="1"/>
          <w:color w:val="auto"/>
        </w:rPr>
        <w:t>Asimismo, el Participante entiende que su participación en el Plan es resultado de la decisión unilateral y discrecional de la Compañía. Por lo tanto, la Compañía se reserva el derecho absoluto para modificar y/o terminar la participación del Participante en cualquier momento, sin ninguna responsabilidad ante el Participante.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i w:val="1"/>
          <w:iCs w:val="1"/>
          <w:color w:val="auto"/>
        </w:rPr>
        <w:t>Finalmente, el Participante manifiesta que no se reserva ninguna acción o derecho que origine una demanda en contra de la Compañía por cualquier compensación o daño en relación con cualquier disposición del Plan o de los beneficios derivados del mismo, y en consecuencia el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i w:val="1"/>
          <w:iCs w:val="1"/>
          <w:color w:val="auto"/>
        </w:rPr>
        <w:t>Participante otorga un amplio y total finiquito a la Compañía, el Empleador, sus Subsidiarias y Afiliadas, sucursales, oficinas de representación, sus accionistas, directores, agentes y representantes legales con respecto a cualquier demanda que pudiera surgir.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NETHERLANDS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 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07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Issuance of Shares upon Vesting. </w:t>
      </w:r>
      <w:r>
        <w:rPr>
          <w:rFonts w:ascii="Times New Roman" w:cs="Times New Roman" w:eastAsia="Times New Roman" w:hAnsi="Times New Roman"/>
          <w:sz w:val="20"/>
          <w:szCs w:val="20"/>
          <w:color w:val="auto"/>
        </w:rPr>
        <w:t>The following supplements Section 7 of the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anything to the contrary in the Plan or the Agreement, Performance Units granted to Grantees resident in the United Kingdom (“U.K.”) shall be paid in Shares only.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Responsibility for Taxes. </w:t>
      </w:r>
      <w:r>
        <w:rPr>
          <w:rFonts w:ascii="Times New Roman" w:cs="Times New Roman" w:eastAsia="Times New Roman" w:hAnsi="Times New Roman"/>
          <w:sz w:val="20"/>
          <w:szCs w:val="20"/>
          <w:color w:val="auto"/>
        </w:rPr>
        <w:t>The following supplements Section 17 of the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limitation to Section 17 of the Agreement, Grantee hereby agrees that he or she is liable for all Tax-Related Items and hereby</w:t>
      </w:r>
    </w:p>
    <w:p>
      <w:pPr>
        <w:spacing w:after="0" w:line="215" w:lineRule="auto"/>
        <w:rPr>
          <w:sz w:val="20"/>
          <w:szCs w:val="20"/>
          <w:color w:val="auto"/>
        </w:rPr>
      </w:pPr>
      <w:r>
        <w:rPr>
          <w:rFonts w:ascii="Times New Roman" w:cs="Times New Roman" w:eastAsia="Times New Roman" w:hAnsi="Times New Roman"/>
          <w:sz w:val="19"/>
          <w:szCs w:val="19"/>
          <w:color w:val="auto"/>
        </w:rPr>
        <w:t>covenants to pay all such Tax-Related Items, as and when requested by the Company, the Employer or by Her Majesty’s Revenue &amp; Customs (“HMRC”) (or any other tax authority or any other relevant authority). Grantee also hereby agrees to indemnify and keep indemnified the</w:t>
      </w:r>
    </w:p>
    <w:p>
      <w:pPr>
        <w:spacing w:after="0" w:line="228" w:lineRule="auto"/>
        <w:rPr>
          <w:sz w:val="20"/>
          <w:szCs w:val="20"/>
          <w:color w:val="auto"/>
        </w:rPr>
      </w:pPr>
      <w:r>
        <w:rPr>
          <w:rFonts w:ascii="Times New Roman" w:cs="Times New Roman" w:eastAsia="Times New Roman" w:hAnsi="Times New Roman"/>
          <w:sz w:val="20"/>
          <w:szCs w:val="20"/>
          <w:color w:val="auto"/>
        </w:rPr>
        <w:t>Company and (if different) the Employer against any Tax-Related Items that they are required to pay or withhold or have paid or will pay to HMRC (or any other tax authority or any other relevant authority) on Grantee’s behalf.</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Notwithstanding the foregoing, if Grantee is a director or executive officer of the Company (within the meaning of Section 13(k) of the Exchange Act), the terms of immediately foregoing provision will not apply. In this case, the amount of the income tax not collected within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ninety (90) days of the end of the U.K. tax year in which an event giving rise to the Tax-Related Items occurs may constitute a benefit to Grantee on which additional income tax and National Insurance contributions (“NICs”) may be payable. Grantee understands that he or she</w:t>
      </w:r>
    </w:p>
    <w:p>
      <w:pPr>
        <w:spacing w:after="0" w:line="211" w:lineRule="auto"/>
        <w:rPr>
          <w:sz w:val="20"/>
          <w:szCs w:val="20"/>
          <w:color w:val="auto"/>
        </w:rPr>
      </w:pPr>
      <w:r>
        <w:rPr>
          <w:rFonts w:ascii="Times New Roman" w:cs="Times New Roman" w:eastAsia="Times New Roman" w:hAnsi="Times New Roman"/>
          <w:sz w:val="20"/>
          <w:szCs w:val="20"/>
          <w:color w:val="auto"/>
        </w:rPr>
        <w:t>will be responsible for reporting any income tax due on this additional benefit directly to HMRC under the self-assessment regime and for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paying the Company or the Employer, as applicable, for the value of any employee NICs due on this additional benefit, which may be recovered from Grantee by the Company or the Employer at any time thereafter by any of the means referred to in Section 17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07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CONFIDENTIALITY, INVENTIONS, NON-SOLICITATION AND NON-COMPETITION PROVISIONS</w:t>
      </w:r>
    </w:p>
    <w:p>
      <w:pPr>
        <w:spacing w:after="0" w:line="17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88" w:lineRule="exact"/>
        <w:rPr>
          <w:rFonts w:ascii="Times New Roman" w:cs="Times New Roman" w:eastAsia="Times New Roman" w:hAnsi="Times New Roman"/>
          <w:sz w:val="20"/>
          <w:szCs w:val="20"/>
          <w:b w:val="1"/>
          <w:bCs w:val="1"/>
          <w:color w:val="auto"/>
        </w:rPr>
      </w:pPr>
    </w:p>
    <w:p>
      <w:pPr>
        <w:ind w:left="3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“Confidential Information” means the following:</w:t>
      </w:r>
    </w:p>
    <w:p>
      <w:pPr>
        <w:spacing w:after="0" w:line="192" w:lineRule="exact"/>
        <w:rPr>
          <w:rFonts w:ascii="Times New Roman" w:cs="Times New Roman" w:eastAsia="Times New Roman" w:hAnsi="Times New Roman"/>
          <w:sz w:val="20"/>
          <w:szCs w:val="20"/>
          <w:b w:val="1"/>
          <w:bCs w:val="1"/>
          <w:color w:val="auto"/>
        </w:rPr>
      </w:pPr>
    </w:p>
    <w:p>
      <w:pPr>
        <w:jc w:val="both"/>
        <w:ind w:left="820" w:hanging="164"/>
        <w:spacing w:after="0" w:line="219" w:lineRule="auto"/>
        <w:tabs>
          <w:tab w:leader="none" w:pos="816"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data and information relating to the Company’s Business (as defined herein); which is disclosed to Grantee or of which Grantee became aware of as a consequence of Grantee’s relationship with the Company; has value to the Company; is not generally known to the competitors of the Company; </w:t>
      </w:r>
      <w:r>
        <w:rPr>
          <w:rFonts w:ascii="Times New Roman" w:cs="Times New Roman" w:eastAsia="Times New Roman" w:hAnsi="Times New Roman"/>
          <w:sz w:val="19"/>
          <w:szCs w:val="19"/>
          <w:u w:val="single" w:color="auto"/>
          <w:color w:val="auto"/>
        </w:rPr>
        <w:t>and</w:t>
      </w:r>
      <w:r>
        <w:rPr>
          <w:rFonts w:ascii="Times New Roman" w:cs="Times New Roman" w:eastAsia="Times New Roman" w:hAnsi="Times New Roman"/>
          <w:sz w:val="19"/>
          <w:szCs w:val="19"/>
          <w:color w:val="auto"/>
        </w:rPr>
        <w:t xml:space="preserve"> which includes trade secrets, methods of operation, names of customers, price lists, financial information and projections, personnel data, and similar information. For purposes of the Confidentiality, Inventions, Non-Solicitation and Non-Competition Provisions (the “Confidentiality Provisions”),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w:t>
      </w:r>
    </w:p>
    <w:p>
      <w:pPr>
        <w:spacing w:after="0" w:line="6" w:lineRule="exact"/>
        <w:rPr>
          <w:rFonts w:ascii="Times New Roman" w:cs="Times New Roman" w:eastAsia="Times New Roman" w:hAnsi="Times New Roman"/>
          <w:sz w:val="19"/>
          <w:szCs w:val="19"/>
          <w:color w:val="auto"/>
        </w:rPr>
      </w:pPr>
    </w:p>
    <w:p>
      <w:pPr>
        <w:jc w:val="both"/>
        <w:ind w:left="820"/>
        <w:spacing w:after="0" w:line="22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 computer software, hardware, network and internet technology utilized, modified or enhanced by the Company or by Grantee in furtherance of Grantee’s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ii.Confidential Information shall not include:</w:t>
      </w:r>
    </w:p>
    <w:p>
      <w:pPr>
        <w:spacing w:after="0" w:line="189" w:lineRule="exact"/>
        <w:rPr>
          <w:sz w:val="20"/>
          <w:szCs w:val="20"/>
          <w:color w:val="auto"/>
        </w:rPr>
      </w:pPr>
    </w:p>
    <w:p>
      <w:pPr>
        <w:ind w:left="1220" w:hanging="321"/>
        <w:spacing w:after="0"/>
        <w:tabs>
          <w:tab w:leader="none" w:pos="12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generally available to the public other than as a result of improper disclosure by Grantee;</w:t>
      </w:r>
    </w:p>
    <w:p>
      <w:pPr>
        <w:spacing w:after="0" w:line="188" w:lineRule="exact"/>
        <w:rPr>
          <w:rFonts w:ascii="Times New Roman" w:cs="Times New Roman" w:eastAsia="Times New Roman" w:hAnsi="Times New Roman"/>
          <w:sz w:val="20"/>
          <w:szCs w:val="20"/>
          <w:color w:val="auto"/>
        </w:rPr>
      </w:pPr>
    </w:p>
    <w:p>
      <w:pPr>
        <w:ind w:left="1220" w:hanging="321"/>
        <w:spacing w:after="0" w:line="233" w:lineRule="auto"/>
        <w:tabs>
          <w:tab w:leader="none" w:pos="120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becomes available to Grantee from a source other than the Company (provided Grantee has no knowledge that such information was obtained from a source in breach of a duty to the Company);</w:t>
      </w:r>
    </w:p>
    <w:p>
      <w:pPr>
        <w:spacing w:after="0" w:line="160" w:lineRule="exact"/>
        <w:rPr>
          <w:rFonts w:ascii="Times New Roman" w:cs="Times New Roman" w:eastAsia="Times New Roman" w:hAnsi="Times New Roman"/>
          <w:sz w:val="20"/>
          <w:szCs w:val="20"/>
          <w:color w:val="auto"/>
        </w:rPr>
      </w:pPr>
    </w:p>
    <w:p>
      <w:pPr>
        <w:ind w:left="1220" w:hanging="321"/>
        <w:spacing w:after="0"/>
        <w:tabs>
          <w:tab w:leader="none" w:pos="12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disclosed pursuant to law, regulations or pursuant to a subpoena, court order or legal process; and/or</w:t>
      </w:r>
    </w:p>
    <w:p>
      <w:pPr>
        <w:spacing w:after="0" w:line="188" w:lineRule="exact"/>
        <w:rPr>
          <w:rFonts w:ascii="Times New Roman" w:cs="Times New Roman" w:eastAsia="Times New Roman" w:hAnsi="Times New Roman"/>
          <w:sz w:val="20"/>
          <w:szCs w:val="20"/>
          <w:color w:val="auto"/>
        </w:rPr>
      </w:pPr>
    </w:p>
    <w:p>
      <w:pPr>
        <w:ind w:left="1220" w:hanging="321"/>
        <w:spacing w:after="0"/>
        <w:tabs>
          <w:tab w:leader="none" w:pos="12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obtained in filings with the Securities and Exchange Commission.</w:t>
      </w:r>
    </w:p>
    <w:p>
      <w:pPr>
        <w:spacing w:after="0" w:line="17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has the meaning set forth under Georgia law, O.C.G.A. §§ 10-1-760, et seq.</w:t>
      </w:r>
    </w:p>
    <w:p>
      <w:pPr>
        <w:spacing w:after="0" w:line="188" w:lineRule="exact"/>
        <w:rPr>
          <w:rFonts w:ascii="Times New Roman" w:cs="Times New Roman" w:eastAsia="Times New Roman" w:hAnsi="Times New Roman"/>
          <w:sz w:val="20"/>
          <w:szCs w:val="20"/>
          <w:color w:val="auto"/>
        </w:rPr>
      </w:pPr>
    </w:p>
    <w:p>
      <w:pPr>
        <w:jc w:val="both"/>
        <w:ind w:left="660" w:hanging="328"/>
        <w:spacing w:after="0" w:line="228" w:lineRule="auto"/>
        <w:tabs>
          <w:tab w:leader="none" w:pos="65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“Customers” </w:t>
      </w:r>
      <w:r>
        <w:rPr>
          <w:rFonts w:ascii="Times New Roman" w:cs="Times New Roman" w:eastAsia="Times New Roman" w:hAnsi="Times New Roman"/>
          <w:sz w:val="19"/>
          <w:szCs w:val="19"/>
          <w:color w:val="auto"/>
        </w:rPr>
        <w:t>means those entities and/or individuals which, within the two-year period preceding the Date of Termination (as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 is defined in the Performance Unit Award Agreement): (i) Grantee had material contact on behalf of the Company; (ii) about whom Grantee acquired, directly or indirectly, Confidential Information or Trade Secrets as a result of his/her employment with the Company; and/or (iii) Grantee exercised oversight or responsibility of subordinates who engaged in Material Contact on behalf of the Company. Additionally, “Customers” references only those entities and/or individuals with whom the Company currently has a business relationship, or with whom it expended resources to have or resume the same during the two-year period referenced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071" w:right="339" w:bottom="1440" w:gutter="0" w:footer="0" w:header="0"/>
        </w:sectPr>
      </w:pPr>
    </w:p>
    <w:bookmarkStart w:id="49" w:name="page50"/>
    <w:bookmarkEnd w:id="49"/>
    <w:p>
      <w:pPr>
        <w:ind w:left="308" w:hanging="308"/>
        <w:spacing w:after="0"/>
        <w:tabs>
          <w:tab w:leader="none" w:pos="30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means Acuity Brands, Inc., along with its Subsidiaries or other Affiliates.</w:t>
      </w:r>
    </w:p>
    <w:p>
      <w:pPr>
        <w:spacing w:after="0" w:line="188" w:lineRule="exact"/>
        <w:rPr>
          <w:rFonts w:ascii="Times New Roman" w:cs="Times New Roman" w:eastAsia="Times New Roman" w:hAnsi="Times New Roman"/>
          <w:sz w:val="20"/>
          <w:szCs w:val="20"/>
          <w:color w:val="auto"/>
        </w:rPr>
      </w:pPr>
    </w:p>
    <w:p>
      <w:pPr>
        <w:jc w:val="both"/>
        <w:ind w:left="328" w:hanging="328"/>
        <w:spacing w:after="0" w:line="210" w:lineRule="auto"/>
        <w:tabs>
          <w:tab w:leader="none" w:pos="32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“Company’s Business” </w:t>
      </w:r>
      <w:r>
        <w:rPr>
          <w:rFonts w:ascii="Times New Roman" w:cs="Times New Roman" w:eastAsia="Times New Roman" w:hAnsi="Times New Roman"/>
          <w:sz w:val="20"/>
          <w:szCs w:val="20"/>
          <w:color w:val="auto"/>
        </w:rPr>
        <w:t>means the design, manufacture, installation, servicing, and/or sale of one or more of the following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products, software and solutions;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software and hardware solutions that collect data about building and business operations and occupant activities via sensors and use that data to provide software services or data analytics; sensor based information networks; and any wired or wireless communications and monitoring hardware or software related to any of the above. This shall not include any product or service of the Company if the Company is no longer in the business of providing such product or service to its customers at the relevant time of enforcement.</w:t>
      </w:r>
    </w:p>
    <w:p>
      <w:pPr>
        <w:spacing w:after="0" w:line="156" w:lineRule="exact"/>
        <w:rPr>
          <w:rFonts w:ascii="Times New Roman" w:cs="Times New Roman" w:eastAsia="Times New Roman" w:hAnsi="Times New Roman"/>
          <w:sz w:val="20"/>
          <w:szCs w:val="20"/>
          <w:color w:val="auto"/>
        </w:rPr>
      </w:pPr>
    </w:p>
    <w:p>
      <w:pPr>
        <w:ind w:left="328" w:hanging="328"/>
        <w:spacing w:after="0" w:line="235" w:lineRule="auto"/>
        <w:tabs>
          <w:tab w:leader="none" w:pos="31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Services” </w:t>
      </w:r>
      <w:r>
        <w:rPr>
          <w:rFonts w:ascii="Times New Roman" w:cs="Times New Roman" w:eastAsia="Times New Roman" w:hAnsi="Times New Roman"/>
          <w:sz w:val="20"/>
          <w:szCs w:val="20"/>
          <w:color w:val="auto"/>
        </w:rPr>
        <w:t>shall mean the duties and services of the type conducted, authorized, offered, or provided by Grantee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his/her capacity as an Employee on behalf of the Company within twelve (12) months prior to the Date of Termination.</w:t>
      </w:r>
    </w:p>
    <w:p>
      <w:pPr>
        <w:spacing w:after="0" w:line="157" w:lineRule="exact"/>
        <w:rPr>
          <w:rFonts w:ascii="Times New Roman" w:cs="Times New Roman" w:eastAsia="Times New Roman" w:hAnsi="Times New Roman"/>
          <w:sz w:val="20"/>
          <w:szCs w:val="20"/>
          <w:color w:val="auto"/>
        </w:rPr>
      </w:pPr>
    </w:p>
    <w:p>
      <w:pPr>
        <w:jc w:val="both"/>
        <w:ind w:left="328" w:hanging="328"/>
        <w:spacing w:after="0" w:line="215" w:lineRule="auto"/>
        <w:tabs>
          <w:tab w:leader="none" w:pos="3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country in which Grantee is employed by the Company (the “Country”). Grantee acknowledges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is licensed to do business in the Country and in fact does business in all states, territories, provinces and other parts of the Country. Grantee further acknowledges that the services she/he has performed on behalf of the Company are at a senior level and are not limited in their territorial scope to any particular city, state, or region, but instead affect the Company’s activity within the Country. Specifically, Grantee provides Employee Services on the Company’s behalf throughout the Country, meets with Company agents and distributors, develops products and/or contacts throughout the Country, and otherwise engages in his/her work on behalf of the Company on a national level. Accordingly, Grantee agrees that these restrictions are reasonable and necessary to protect the Confidential Information, trade secrets, business relationships, and goodwill of the Company.</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19" w:lineRule="auto"/>
        <w:tabs>
          <w:tab w:leader="none" w:pos="3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“Material Contact” </w:t>
      </w:r>
      <w:r>
        <w:rPr>
          <w:rFonts w:ascii="Times New Roman" w:cs="Times New Roman" w:eastAsia="Times New Roman" w:hAnsi="Times New Roman"/>
          <w:sz w:val="20"/>
          <w:szCs w:val="20"/>
          <w:color w:val="auto"/>
        </w:rPr>
        <w:t>shall have the meaning set forth in O.C.G.A. § 13-8-51(10), which includes contact between an employee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Customer or potential Customer: with whom or which Grantee dealt on behalf of the Company; whose dealings with the Company were coordinated or supervised by Grantee; about whom Grantee obtained confidential information in the ordinary course of business as a result of such employee’s association with the Company; and/or who receives products or services authorized by the Company, the sale or provision of which results or resulted in compensation, commissions, or earnings for Grantee within two years prior to the Date of Termination.</w:t>
      </w:r>
    </w:p>
    <w:p>
      <w:pPr>
        <w:spacing w:after="0" w:line="144" w:lineRule="exact"/>
        <w:rPr>
          <w:rFonts w:ascii="Times New Roman" w:cs="Times New Roman" w:eastAsia="Times New Roman" w:hAnsi="Times New Roman"/>
          <w:sz w:val="20"/>
          <w:szCs w:val="20"/>
          <w:color w:val="auto"/>
        </w:rPr>
      </w:pPr>
    </w:p>
    <w:p>
      <w:pPr>
        <w:ind w:left="328" w:hanging="328"/>
        <w:spacing w:after="0" w:line="245" w:lineRule="auto"/>
        <w:tabs>
          <w:tab w:leader="none" w:pos="32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“Termination for Cause”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“Terminated for Cause” </w:t>
      </w:r>
      <w:r>
        <w:rPr>
          <w:rFonts w:ascii="Times New Roman" w:cs="Times New Roman" w:eastAsia="Times New Roman" w:hAnsi="Times New Roman"/>
          <w:sz w:val="20"/>
          <w:szCs w:val="20"/>
          <w:color w:val="auto"/>
        </w:rPr>
        <w:t>shall mean the involuntary termination of Grantee by the Company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reasons:</w:t>
      </w:r>
    </w:p>
    <w:p>
      <w:pPr>
        <w:spacing w:after="0" w:line="155" w:lineRule="exact"/>
        <w:rPr>
          <w:sz w:val="20"/>
          <w:szCs w:val="20"/>
          <w:color w:val="auto"/>
        </w:rPr>
      </w:pPr>
    </w:p>
    <w:p>
      <w:pPr>
        <w:ind w:left="488" w:hanging="161"/>
        <w:spacing w:after="0" w:line="233" w:lineRule="auto"/>
        <w:rPr>
          <w:sz w:val="20"/>
          <w:szCs w:val="20"/>
          <w:color w:val="auto"/>
        </w:rPr>
      </w:pPr>
      <w:r>
        <w:rPr>
          <w:rFonts w:ascii="Times New Roman" w:cs="Times New Roman" w:eastAsia="Times New Roman" w:hAnsi="Times New Roman"/>
          <w:sz w:val="20"/>
          <w:szCs w:val="20"/>
          <w:color w:val="auto"/>
        </w:rPr>
        <w:t>i. If termination shall have been the result of an act or acts by Grantee which constitute an indictable offense, a felony or any crime involving dishonesty, theft, fraud or moral turpitude;</w:t>
      </w:r>
    </w:p>
    <w:p>
      <w:pPr>
        <w:spacing w:after="0" w:line="161" w:lineRule="exact"/>
        <w:rPr>
          <w:sz w:val="20"/>
          <w:szCs w:val="20"/>
          <w:color w:val="auto"/>
        </w:rPr>
      </w:pPr>
    </w:p>
    <w:p>
      <w:pPr>
        <w:ind w:left="488" w:hanging="161"/>
        <w:spacing w:after="0"/>
        <w:rPr>
          <w:sz w:val="20"/>
          <w:szCs w:val="20"/>
          <w:color w:val="auto"/>
        </w:rPr>
      </w:pPr>
      <w:r>
        <w:rPr>
          <w:rFonts w:ascii="Times New Roman" w:cs="Times New Roman" w:eastAsia="Times New Roman" w:hAnsi="Times New Roman"/>
          <w:sz w:val="20"/>
          <w:szCs w:val="20"/>
          <w:color w:val="auto"/>
        </w:rPr>
        <w:t>ii.If termination shall have been the result of an act or acts by Grantee which are determined, in the good faith judgment of the Company, to be in violation of written policies of the Company;</w:t>
      </w:r>
    </w:p>
    <w:p>
      <w:pPr>
        <w:spacing w:after="0" w:line="148" w:lineRule="exact"/>
        <w:rPr>
          <w:sz w:val="20"/>
          <w:szCs w:val="20"/>
          <w:color w:val="auto"/>
        </w:rPr>
      </w:pPr>
    </w:p>
    <w:p>
      <w:pPr>
        <w:ind w:left="488" w:right="20" w:hanging="164"/>
        <w:spacing w:after="0"/>
        <w:tabs>
          <w:tab w:leader="none" w:pos="97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908"/>
          </w:cols>
          <w:pgMar w:left="652" w:top="1071" w:right="339" w:bottom="1440" w:gutter="0" w:footer="0" w:header="0"/>
        </w:sectPr>
      </w:pPr>
    </w:p>
    <w:bookmarkStart w:id="50" w:name="page51"/>
    <w:bookmarkEnd w:id="50"/>
    <w:p>
      <w:pPr>
        <w:jc w:val="both"/>
        <w:ind w:left="820" w:hanging="164"/>
        <w:spacing w:after="0" w:line="222" w:lineRule="auto"/>
        <w:tabs>
          <w:tab w:leader="none" w:pos="12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62" w:lineRule="exact"/>
        <w:rPr>
          <w:sz w:val="20"/>
          <w:szCs w:val="20"/>
          <w:color w:val="auto"/>
        </w:rPr>
      </w:pPr>
    </w:p>
    <w:p>
      <w:pPr>
        <w:ind w:left="820" w:right="20" w:hanging="161"/>
        <w:spacing w:after="0" w:line="233" w:lineRule="auto"/>
        <w:rPr>
          <w:sz w:val="20"/>
          <w:szCs w:val="20"/>
          <w:color w:val="auto"/>
        </w:rPr>
      </w:pPr>
      <w:r>
        <w:rPr>
          <w:rFonts w:ascii="Times New Roman" w:cs="Times New Roman" w:eastAsia="Times New Roman" w:hAnsi="Times New Roman"/>
          <w:sz w:val="20"/>
          <w:szCs w:val="20"/>
          <w:color w:val="auto"/>
        </w:rPr>
        <w:t>v.If termination shall have been the result of the unauthorized disclosure by Grantee of the Company’s Confidential Information or violation of any other provision of the Confidentiality Provisions.</w:t>
      </w:r>
    </w:p>
    <w:p>
      <w:pPr>
        <w:spacing w:after="0" w:line="157" w:lineRule="exact"/>
        <w:rPr>
          <w:sz w:val="20"/>
          <w:szCs w:val="20"/>
          <w:color w:val="auto"/>
        </w:rPr>
      </w:pPr>
    </w:p>
    <w:p>
      <w:pPr>
        <w:jc w:val="both"/>
        <w:ind w:left="660" w:hanging="328"/>
        <w:spacing w:after="0" w:line="216" w:lineRule="auto"/>
        <w:tabs>
          <w:tab w:leader="none" w:pos="651"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“Works For Hire.” </w:t>
      </w:r>
      <w:r>
        <w:rPr>
          <w:rFonts w:ascii="Times New Roman" w:cs="Times New Roman" w:eastAsia="Times New Roman" w:hAnsi="Times New Roman"/>
          <w:sz w:val="20"/>
          <w:szCs w:val="20"/>
          <w:color w:val="auto"/>
        </w:rPr>
        <w:t>The term “Invention” means contributions, discoveries, improvements and ideas and works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authorship, whether or not patentable or copyrightable, and: (i) which relate directly to the Company’s Business, or (ii) which result from any work performed by Grantee or by Grantee’s fellow employees for the Company, or (iii) for which equipment, supplies, facilities, Confidential Information or Trade Secrets of the Company are used, or (iv) which is developed on the Company’s time. The term “Works For Hire” (“Works”) means all documents, programs, software, creative works and other expressions and information in any tangible medium created, in whole or in part, by Grantee during the period of and relating to his/her employment with the Company, whether copyrightable or otherwise protectable, other than Inventions.</w:t>
      </w:r>
    </w:p>
    <w:p>
      <w:pPr>
        <w:spacing w:after="0" w:line="15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Inventions, Non-Solicitation and Non-Competition.</w:t>
      </w:r>
    </w:p>
    <w:p>
      <w:pPr>
        <w:spacing w:after="0" w:line="175" w:lineRule="exact"/>
        <w:rPr>
          <w:rFonts w:ascii="Times New Roman" w:cs="Times New Roman" w:eastAsia="Times New Roman" w:hAnsi="Times New Roman"/>
          <w:sz w:val="20"/>
          <w:szCs w:val="20"/>
          <w:b w:val="1"/>
          <w:bCs w:val="1"/>
          <w:color w:val="auto"/>
        </w:rPr>
      </w:pPr>
    </w:p>
    <w:p>
      <w:pPr>
        <w:jc w:val="both"/>
        <w:ind w:left="660" w:hanging="328"/>
        <w:spacing w:after="0" w:line="215" w:lineRule="auto"/>
        <w:tabs>
          <w:tab w:leader="none" w:pos="65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Purpose and Reasonableness of Provisions. </w:t>
      </w:r>
      <w:r>
        <w:rPr>
          <w:rFonts w:ascii="Times New Roman" w:cs="Times New Roman" w:eastAsia="Times New Roman" w:hAnsi="Times New Roman"/>
          <w:sz w:val="20"/>
          <w:szCs w:val="20"/>
          <w:color w:val="auto"/>
        </w:rPr>
        <w:t>Grantee acknowledges that, during the term of his/her employment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after the Date of Termination, the Company has furnished and may continue to furnish to Grantee Trade Secrets and Confidential Information, which, if used by Grantee on behalf of, or disclosed to, a competitor of the Company or other person, could cause substantial detriment to the Company. Moreover, the parties recognize that Grantee, during the term of his/her employment with the Company, has developed important relationships with customers, agents, and others having valuable business relationships with the Company, and that these relationships may continue to develop after the Date of Termination. In view of the foregoing, Grantee acknowledges and agrees that the restrictive covenants contained in this Section 2 are reasonably necessary to protect the Company’s legitimate business interests, Confidential Information, and good will.</w:t>
      </w:r>
    </w:p>
    <w:p>
      <w:pPr>
        <w:spacing w:after="0" w:line="147" w:lineRule="exact"/>
        <w:rPr>
          <w:rFonts w:ascii="Times New Roman" w:cs="Times New Roman" w:eastAsia="Times New Roman" w:hAnsi="Times New Roman"/>
          <w:sz w:val="20"/>
          <w:szCs w:val="20"/>
          <w:color w:val="auto"/>
        </w:rPr>
      </w:pPr>
    </w:p>
    <w:p>
      <w:pPr>
        <w:jc w:val="both"/>
        <w:ind w:left="660" w:hanging="328"/>
        <w:spacing w:after="0" w:line="215" w:lineRule="auto"/>
        <w:tabs>
          <w:tab w:leader="none" w:pos="655"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Trade Secrets and Confidential Information. </w:t>
      </w:r>
      <w:r>
        <w:rPr>
          <w:rFonts w:ascii="Times New Roman" w:cs="Times New Roman" w:eastAsia="Times New Roman" w:hAnsi="Times New Roman"/>
          <w:sz w:val="20"/>
          <w:szCs w:val="20"/>
          <w:color w:val="auto"/>
        </w:rPr>
        <w:t>Grantee agrees that he/she shall protect the Company’s Trade Secrets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1(b) above) and Confidential Information (as defined in Section 1(a) above) and shall not disclose to any person or entity, or otherwise use or disseminate, except in connection with the performance of his/her duties for the Company, any Trade Secrets or Confidential Information. However, Grantee may make disclosures required by a valid order or subpoena issued by a court or administrative agency of competent jurisdiction, in which event Grantee will promptly notify the Company of such order or subpoena to provide it an opportunity to protect its interests. Grantee’s obligations under this Section 2(b) have applied throughout his/her active employment, shall continue after the Date of Termination, and shall survive any expiration or termination of the Confidentiality Provisions, so long as the information or material remains Confidential Information or a Trade Secret, as applicable.</w:t>
      </w:r>
    </w:p>
    <w:p>
      <w:pPr>
        <w:spacing w:after="0" w:line="164" w:lineRule="exact"/>
        <w:rPr>
          <w:rFonts w:ascii="Times New Roman" w:cs="Times New Roman" w:eastAsia="Times New Roman" w:hAnsi="Times New Roman"/>
          <w:sz w:val="20"/>
          <w:szCs w:val="20"/>
          <w:color w:val="auto"/>
        </w:rPr>
      </w:pPr>
    </w:p>
    <w:p>
      <w:pPr>
        <w:jc w:val="both"/>
        <w:ind w:left="640"/>
        <w:spacing w:after="0" w:line="22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further confirms that during his/her employment with the Company, including after the Date of Termination, he/she has not and will not offer, disclose or use on Grantee’s own behalf or on behalf of the Company, any information Grantee received prior to employment by the Company which was supplied to Grantee confidentially or which Grantee should reasonably know to be confidential.</w:t>
      </w:r>
    </w:p>
    <w:p>
      <w:pPr>
        <w:spacing w:after="0" w:line="148" w:lineRule="exact"/>
        <w:rPr>
          <w:rFonts w:ascii="Times New Roman" w:cs="Times New Roman" w:eastAsia="Times New Roman" w:hAnsi="Times New Roman"/>
          <w:sz w:val="20"/>
          <w:szCs w:val="20"/>
          <w:color w:val="auto"/>
        </w:rPr>
      </w:pPr>
    </w:p>
    <w:p>
      <w:pPr>
        <w:jc w:val="both"/>
        <w:ind w:left="640"/>
        <w:spacing w:after="0" w:line="22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section prohibits Grantee from reporting possible violations of law or regulation to any governmental agency or entity, or making other disclosures that are protected under the whistleblower provisions of law or regulation. Grantee does not need the prior authorization of the Company to make any such reports or disclosures, and Grantee is not required to notify the Company that Grantee has made such reports or disclosures.</w:t>
      </w:r>
    </w:p>
    <w:p>
      <w:pPr>
        <w:spacing w:after="0" w:line="157" w:lineRule="exact"/>
        <w:rPr>
          <w:rFonts w:ascii="Times New Roman" w:cs="Times New Roman" w:eastAsia="Times New Roman" w:hAnsi="Times New Roman"/>
          <w:sz w:val="20"/>
          <w:szCs w:val="20"/>
          <w:color w:val="auto"/>
        </w:rPr>
      </w:pPr>
    </w:p>
    <w:p>
      <w:pPr>
        <w:jc w:val="both"/>
        <w:ind w:left="660" w:hanging="328"/>
        <w:spacing w:after="0" w:line="220" w:lineRule="auto"/>
        <w:tabs>
          <w:tab w:leader="none" w:pos="65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Property</w:t>
      </w:r>
      <w:r>
        <w:rPr>
          <w:rFonts w:ascii="Times New Roman" w:cs="Times New Roman" w:eastAsia="Times New Roman" w:hAnsi="Times New Roman"/>
          <w:sz w:val="20"/>
          <w:szCs w:val="20"/>
          <w:color w:val="auto"/>
        </w:rPr>
        <w:t>. On or before the Date of Termination, Grantee agrees to deliver promptly to the Company all files, customer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lists, management reports, memoranda, research, Company forms, financial data and reports and other documents (including all such data and documents in electronic form) of the Company, supplied to or created by him/her in connection with his/her employment hereunder (including all copies of the foregoing) in his/her possession or control, and all of the Company’s equipment and other materials in his/her possession or control. Grantee further agrees and covenants not to retain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075" w:right="339" w:bottom="1440" w:gutter="0" w:footer="0" w:header="0"/>
        </w:sectPr>
      </w:pPr>
    </w:p>
    <w:bookmarkStart w:id="51" w:name="page52"/>
    <w:bookmarkEnd w:id="51"/>
    <w:p>
      <w:pPr>
        <w:ind w:left="328"/>
        <w:spacing w:after="0"/>
        <w:rPr>
          <w:sz w:val="20"/>
          <w:szCs w:val="20"/>
          <w:color w:val="auto"/>
        </w:rPr>
      </w:pPr>
      <w:r>
        <w:rPr>
          <w:rFonts w:ascii="Times New Roman" w:cs="Times New Roman" w:eastAsia="Times New Roman" w:hAnsi="Times New Roman"/>
          <w:sz w:val="19"/>
          <w:szCs w:val="19"/>
          <w:color w:val="auto"/>
        </w:rPr>
        <w:t>such property and to permanently delete such information residing in electronic format to the best of his/her ability and not to attempt</w:t>
      </w:r>
    </w:p>
    <w:p>
      <w:pPr>
        <w:spacing w:after="0" w:line="6" w:lineRule="exact"/>
        <w:rPr>
          <w:sz w:val="20"/>
          <w:szCs w:val="20"/>
          <w:color w:val="auto"/>
        </w:rPr>
      </w:pPr>
    </w:p>
    <w:p>
      <w:pPr>
        <w:ind w:left="328"/>
        <w:spacing w:after="0" w:line="221" w:lineRule="auto"/>
        <w:rPr>
          <w:sz w:val="20"/>
          <w:szCs w:val="20"/>
          <w:color w:val="auto"/>
        </w:rPr>
      </w:pPr>
      <w:r>
        <w:rPr>
          <w:rFonts w:ascii="Times New Roman" w:cs="Times New Roman" w:eastAsia="Times New Roman" w:hAnsi="Times New Roman"/>
          <w:sz w:val="20"/>
          <w:szCs w:val="20"/>
          <w:color w:val="auto"/>
        </w:rPr>
        <w:t>to retrieve it. Grantee’s obligations under this Section 2(c) shall survive any expiration or termination of the Confidentiality Provisions.</w:t>
      </w:r>
    </w:p>
    <w:p>
      <w:pPr>
        <w:spacing w:after="0" w:line="158" w:lineRule="exact"/>
        <w:rPr>
          <w:sz w:val="20"/>
          <w:szCs w:val="20"/>
          <w:color w:val="auto"/>
        </w:rPr>
      </w:pPr>
    </w:p>
    <w:p>
      <w:pPr>
        <w:jc w:val="both"/>
        <w:ind w:left="328" w:hanging="328"/>
        <w:spacing w:after="0" w:line="217" w:lineRule="auto"/>
        <w:tabs>
          <w:tab w:leader="none" w:pos="3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Grantee does hereby assign to the Company the entire right, title and interest in any Invention which is or was made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conceived, either solely or jointly with others, during his/her employment with the Company, including after the Date of Termination. Grantee attests that he/she has disclosed (or promptly will disclose, if after the Date of Termination) to the Company all such Inventions. Grantee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156"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In the event that Grantee,</w:t>
      </w:r>
    </w:p>
    <w:p>
      <w:pPr>
        <w:spacing w:after="0" w:line="19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i. voluntarily resigns from the Company,</w:t>
      </w:r>
    </w:p>
    <w:p>
      <w:pPr>
        <w:spacing w:after="0" w:line="17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ii.is Terminated for Cause (as defined above), or</w:t>
      </w:r>
    </w:p>
    <w:p>
      <w:pPr>
        <w:spacing w:after="0" w:line="189" w:lineRule="exact"/>
        <w:rPr>
          <w:sz w:val="20"/>
          <w:szCs w:val="20"/>
          <w:color w:val="auto"/>
        </w:rPr>
      </w:pPr>
    </w:p>
    <w:p>
      <w:pPr>
        <w:ind w:left="488" w:right="20" w:hanging="164"/>
        <w:spacing w:after="0"/>
        <w:tabs>
          <w:tab w:leader="none" w:pos="97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to sign a Confidential Severance Agreement and Release offered by the Company in the event of a termination for any reason other than a Termination for Cause (including, for example, as a result of a position elimination).</w:t>
      </w:r>
    </w:p>
    <w:p>
      <w:pPr>
        <w:spacing w:after="0" w:line="148" w:lineRule="exact"/>
        <w:rPr>
          <w:sz w:val="20"/>
          <w:szCs w:val="20"/>
          <w:color w:val="auto"/>
        </w:rPr>
      </w:pPr>
    </w:p>
    <w:p>
      <w:pPr>
        <w:ind w:left="308" w:right="20"/>
        <w:spacing w:after="0" w:line="222"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twelve (12) months after the Date of Termination, he/she has not and will not, directly or indirectly, engage in, provide, or perform any Employee Services on behalf of any person or entity</w:t>
      </w:r>
    </w:p>
    <w:p>
      <w:pPr>
        <w:spacing w:after="0" w:line="2" w:lineRule="exact"/>
        <w:rPr>
          <w:sz w:val="20"/>
          <w:szCs w:val="20"/>
          <w:color w:val="auto"/>
        </w:rPr>
      </w:pPr>
    </w:p>
    <w:p>
      <w:pPr>
        <w:ind w:left="308" w:right="20"/>
        <w:spacing w:after="0" w:line="204" w:lineRule="auto"/>
        <w:rPr>
          <w:sz w:val="20"/>
          <w:szCs w:val="20"/>
          <w:color w:val="auto"/>
        </w:rPr>
      </w:pPr>
      <w:r>
        <w:rPr>
          <w:rFonts w:ascii="Times New Roman" w:cs="Times New Roman" w:eastAsia="Times New Roman" w:hAnsi="Times New Roman"/>
          <w:sz w:val="20"/>
          <w:szCs w:val="20"/>
          <w:color w:val="auto"/>
        </w:rPr>
        <w:t>(or, if organized into divisions or units, any distinct division or operating unit) in the Territory that derives revenue from providing goods or services substantially similar to those which comprise the Company’s Business. Notwithstanding the foregoing, if the</w:t>
      </w:r>
    </w:p>
    <w:p>
      <w:pPr>
        <w:spacing w:after="0" w:line="1" w:lineRule="exact"/>
        <w:rPr>
          <w:sz w:val="20"/>
          <w:szCs w:val="20"/>
          <w:color w:val="auto"/>
        </w:rPr>
      </w:pPr>
    </w:p>
    <w:p>
      <w:pPr>
        <w:ind w:left="308"/>
        <w:spacing w:after="0" w:line="204" w:lineRule="auto"/>
        <w:rPr>
          <w:sz w:val="20"/>
          <w:szCs w:val="20"/>
          <w:color w:val="auto"/>
        </w:rPr>
      </w:pPr>
      <w:r>
        <w:rPr>
          <w:rFonts w:ascii="Times New Roman" w:cs="Times New Roman" w:eastAsia="Times New Roman" w:hAnsi="Times New Roman"/>
          <w:sz w:val="20"/>
          <w:szCs w:val="20"/>
          <w:color w:val="auto"/>
        </w:rPr>
        <w:t>Company terminates Grantee’s employment for any reason other than a Termination for Cause (including, for example, as a result of a position elimination), and Grantee signs a Confidential Severance Agreement and Release offered by the Company, the period</w:t>
      </w:r>
    </w:p>
    <w:p>
      <w:pPr>
        <w:ind w:left="308"/>
        <w:spacing w:after="0" w:line="223" w:lineRule="auto"/>
        <w:rPr>
          <w:sz w:val="20"/>
          <w:szCs w:val="20"/>
          <w:color w:val="auto"/>
        </w:rPr>
      </w:pPr>
      <w:r>
        <w:rPr>
          <w:rFonts w:ascii="Times New Roman" w:cs="Times New Roman" w:eastAsia="Times New Roman" w:hAnsi="Times New Roman"/>
          <w:sz w:val="19"/>
          <w:szCs w:val="19"/>
          <w:color w:val="auto"/>
        </w:rPr>
        <w:t>covered by this non-competition covenant will be reduced to either: (i) the time within which severance payments are scheduled to be</w:t>
      </w:r>
    </w:p>
    <w:p>
      <w:pPr>
        <w:ind w:left="308"/>
        <w:spacing w:after="0" w:line="204" w:lineRule="auto"/>
        <w:rPr>
          <w:sz w:val="20"/>
          <w:szCs w:val="20"/>
          <w:color w:val="auto"/>
        </w:rPr>
      </w:pPr>
      <w:r>
        <w:rPr>
          <w:rFonts w:ascii="Times New Roman" w:cs="Times New Roman" w:eastAsia="Times New Roman" w:hAnsi="Times New Roman"/>
          <w:sz w:val="20"/>
          <w:szCs w:val="20"/>
          <w:color w:val="auto"/>
        </w:rPr>
        <w:t>paid to Grantee under such agreement, or (ii) if severance is paid to Grantee in a lump sum, the number of weeks of Grantee’s then-current regular salary that are used to calculate such lump sum payment; provided, however, that the restrictive period calculated</w:t>
      </w:r>
    </w:p>
    <w:p>
      <w:pPr>
        <w:spacing w:after="0" w:line="1"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20"/>
          <w:szCs w:val="20"/>
          <w:color w:val="auto"/>
        </w:rPr>
        <w:t>hereunder shall not, in any event, exceed twelve (12) months following the Date of Termination.</w:t>
      </w:r>
    </w:p>
    <w:p>
      <w:pPr>
        <w:spacing w:after="0" w:line="163" w:lineRule="exact"/>
        <w:rPr>
          <w:sz w:val="20"/>
          <w:szCs w:val="20"/>
          <w:color w:val="auto"/>
        </w:rPr>
      </w:pPr>
    </w:p>
    <w:p>
      <w:pPr>
        <w:jc w:val="both"/>
        <w:ind w:left="328" w:hanging="328"/>
        <w:spacing w:after="0" w:line="223" w:lineRule="auto"/>
        <w:tabs>
          <w:tab w:leader="none" w:pos="3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Non-Solicitation of Customers</w:t>
      </w:r>
      <w:r>
        <w:rPr>
          <w:rFonts w:ascii="Times New Roman" w:cs="Times New Roman" w:eastAsia="Times New Roman" w:hAnsi="Times New Roman"/>
          <w:sz w:val="20"/>
          <w:szCs w:val="20"/>
          <w:color w:val="auto"/>
        </w:rPr>
        <w:t>. Grantee acknowledges and agrees that during his/her employment, and for twenty-four (24) months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Date of Termination, Grantee has not and will not directly or indirectly solicit Customers (as defined in Section 1(c) above) with whom he/she had Material Contact (as defined in 1(g) above) for the purpose of providing goods and/or services competitive with the Company’s Business.</w:t>
      </w:r>
    </w:p>
    <w:p>
      <w:pPr>
        <w:spacing w:after="0" w:line="144" w:lineRule="exact"/>
        <w:rPr>
          <w:rFonts w:ascii="Times New Roman" w:cs="Times New Roman" w:eastAsia="Times New Roman" w:hAnsi="Times New Roman"/>
          <w:sz w:val="20"/>
          <w:szCs w:val="20"/>
          <w:color w:val="auto"/>
        </w:rPr>
      </w:pPr>
    </w:p>
    <w:p>
      <w:pPr>
        <w:jc w:val="both"/>
        <w:ind w:left="328" w:hanging="328"/>
        <w:spacing w:after="0" w:line="232" w:lineRule="auto"/>
        <w:tabs>
          <w:tab w:leader="none" w:pos="3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twenty-four (24) months after the Date of Termination, Grantee has not and will not, directly or indirectly, whether on behalf of Grantee or others, solicit, lure or attempt to hire away any of the Company’s employees or agents.</w:t>
      </w:r>
    </w:p>
    <w:p>
      <w:pPr>
        <w:spacing w:after="0" w:line="143" w:lineRule="exact"/>
        <w:rPr>
          <w:rFonts w:ascii="Times New Roman" w:cs="Times New Roman" w:eastAsia="Times New Roman" w:hAnsi="Times New Roman"/>
          <w:sz w:val="20"/>
          <w:szCs w:val="20"/>
          <w:color w:val="auto"/>
        </w:rPr>
      </w:pPr>
    </w:p>
    <w:p>
      <w:pPr>
        <w:jc w:val="both"/>
        <w:ind w:left="328" w:hanging="328"/>
        <w:spacing w:after="0" w:line="219" w:lineRule="auto"/>
        <w:tabs>
          <w:tab w:leader="none" w:pos="3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Non-Solicitation of Sales Agents. </w:t>
      </w:r>
      <w:r>
        <w:rPr>
          <w:rFonts w:ascii="Times New Roman" w:cs="Times New Roman" w:eastAsia="Times New Roman" w:hAnsi="Times New Roman"/>
          <w:sz w:val="20"/>
          <w:szCs w:val="20"/>
          <w:color w:val="auto"/>
        </w:rPr>
        <w:t>Grantee acknowledges and agrees that during his/her employment, and for a period of twenty-four (24)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44" w:lineRule="exact"/>
        <w:rPr>
          <w:rFonts w:ascii="Times New Roman" w:cs="Times New Roman" w:eastAsia="Times New Roman" w:hAnsi="Times New Roman"/>
          <w:sz w:val="20"/>
          <w:szCs w:val="20"/>
          <w:color w:val="auto"/>
        </w:rPr>
      </w:pPr>
    </w:p>
    <w:p>
      <w:pPr>
        <w:jc w:val="both"/>
        <w:ind w:left="328" w:hanging="328"/>
        <w:spacing w:after="0" w:line="223" w:lineRule="auto"/>
        <w:tabs>
          <w:tab w:leader="none" w:pos="32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Injunctive Relief. </w:t>
      </w:r>
      <w:r>
        <w:rPr>
          <w:rFonts w:ascii="Times New Roman" w:cs="Times New Roman" w:eastAsia="Times New Roman" w:hAnsi="Times New Roman"/>
          <w:sz w:val="20"/>
          <w:szCs w:val="20"/>
          <w:color w:val="auto"/>
        </w:rPr>
        <w:t>Grantee acknowledges that if he/she breaches or threatens to breach any of the provisions of this 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his/her actions may cause irreparable harm and damage to the Company which could not be compensated in damages. Accordingly, if Grantee breaches or threatens to breach any of the provisions of this Section 2, the Company shall be entitled to seek injunctive relief, in addition to any other rights or remedies the Company may have. The existence of any claim or cause of 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908"/>
          </w:cols>
          <w:pgMar w:left="652" w:top="1075"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20"/>
          <w:szCs w:val="20"/>
          <w:color w:val="auto"/>
        </w:rPr>
        <w:t>Grantee against the Company, whether predicated on the Confidentiality Provisions or otherwise, shall not constitute a defense to the enforcement by the Company of Grantee’s agreements under this Section 2.</w:t>
      </w:r>
    </w:p>
    <w:p>
      <w:pPr>
        <w:spacing w:after="0" w:line="144" w:lineRule="exact"/>
        <w:rPr>
          <w:sz w:val="20"/>
          <w:szCs w:val="20"/>
          <w:color w:val="auto"/>
        </w:rPr>
      </w:pPr>
    </w:p>
    <w:p>
      <w:pPr>
        <w:jc w:val="both"/>
        <w:ind w:left="340" w:right="20" w:hanging="332"/>
        <w:spacing w:after="0" w:line="232" w:lineRule="auto"/>
        <w:tabs>
          <w:tab w:leader="none" w:pos="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Non-Assignable by Grantee</w:t>
      </w:r>
      <w:r>
        <w:rPr>
          <w:rFonts w:ascii="Times New Roman" w:cs="Times New Roman" w:eastAsia="Times New Roman" w:hAnsi="Times New Roman"/>
          <w:sz w:val="20"/>
          <w:szCs w:val="20"/>
          <w:color w:val="auto"/>
        </w:rPr>
        <w:t>. The parties acknowledge that the Confidentiality Provisions have been entered into due to, among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things, the special skills and knowledge of Grantee, and agree that the Confidentiality Provisions may not be assigned or transferred by Grantee.</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32" w:lineRule="auto"/>
        <w:tabs>
          <w:tab w:leader="none" w:pos="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All notices, requests, demands and other communications required or permitted hereunder shall be in writing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duly given when delivered or seven days after mailing if mailed first class, certified mail, postage prepaid, addressed as follows:</w:t>
      </w:r>
    </w:p>
    <w:p>
      <w:pPr>
        <w:spacing w:after="0" w:line="142"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20"/>
          <w:szCs w:val="20"/>
          <w:color w:val="auto"/>
        </w:rPr>
        <w:t>If to the Company:</w:t>
      </w:r>
      <w:r>
        <w:rPr>
          <w:sz w:val="20"/>
          <w:szCs w:val="20"/>
          <w:color w:val="auto"/>
        </w:rPr>
        <w:tab/>
      </w:r>
      <w:r>
        <w:rPr>
          <w:rFonts w:ascii="Times New Roman" w:cs="Times New Roman" w:eastAsia="Times New Roman" w:hAnsi="Times New Roman"/>
          <w:sz w:val="19"/>
          <w:szCs w:val="19"/>
          <w:color w:val="auto"/>
        </w:rPr>
        <w:t>Acuity Brands, Inc.</w:t>
      </w:r>
    </w:p>
    <w:p>
      <w:pPr>
        <w:ind w:left="2540"/>
        <w:spacing w:after="0" w:line="211" w:lineRule="auto"/>
        <w:rPr>
          <w:sz w:val="20"/>
          <w:szCs w:val="20"/>
          <w:color w:val="auto"/>
        </w:rPr>
      </w:pPr>
      <w:r>
        <w:rPr>
          <w:rFonts w:ascii="Times New Roman" w:cs="Times New Roman" w:eastAsia="Times New Roman" w:hAnsi="Times New Roman"/>
          <w:sz w:val="20"/>
          <w:szCs w:val="20"/>
          <w:color w:val="auto"/>
        </w:rPr>
        <w:t>Attention: Corporate Secretary</w:t>
      </w:r>
    </w:p>
    <w:p>
      <w:pPr>
        <w:ind w:left="2540"/>
        <w:spacing w:after="0" w:line="197" w:lineRule="auto"/>
        <w:rPr>
          <w:sz w:val="20"/>
          <w:szCs w:val="20"/>
          <w:color w:val="auto"/>
        </w:rPr>
      </w:pPr>
      <w:r>
        <w:rPr>
          <w:rFonts w:ascii="Times New Roman" w:cs="Times New Roman" w:eastAsia="Times New Roman" w:hAnsi="Times New Roman"/>
          <w:sz w:val="20"/>
          <w:szCs w:val="20"/>
          <w:color w:val="auto"/>
        </w:rPr>
        <w:t>1170 Peachtree Street, NE, Suite 2300</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Atlanta, Georgia 30309-7676</w:t>
      </w:r>
    </w:p>
    <w:p>
      <w:pPr>
        <w:spacing w:after="0" w:line="167"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20"/>
          <w:szCs w:val="20"/>
          <w:color w:val="auto"/>
        </w:rPr>
        <w:t>If to Grantee:</w:t>
      </w:r>
      <w:r>
        <w:rPr>
          <w:sz w:val="20"/>
          <w:szCs w:val="20"/>
          <w:color w:val="auto"/>
        </w:rPr>
        <w:tab/>
      </w:r>
      <w:r>
        <w:rPr>
          <w:rFonts w:ascii="Times New Roman" w:cs="Times New Roman" w:eastAsia="Times New Roman" w:hAnsi="Times New Roman"/>
          <w:sz w:val="19"/>
          <w:szCs w:val="19"/>
          <w:color w:val="auto"/>
        </w:rPr>
        <w:t>To his or her last known address on file with the Company.</w:t>
      </w:r>
    </w:p>
    <w:p>
      <w:pPr>
        <w:spacing w:after="0" w:line="189" w:lineRule="exact"/>
        <w:rPr>
          <w:sz w:val="20"/>
          <w:szCs w:val="20"/>
          <w:color w:val="auto"/>
        </w:rPr>
      </w:pPr>
    </w:p>
    <w:p>
      <w:pPr>
        <w:ind w:left="340"/>
        <w:spacing w:after="0" w:line="233" w:lineRule="auto"/>
        <w:rPr>
          <w:sz w:val="20"/>
          <w:szCs w:val="20"/>
          <w:color w:val="auto"/>
        </w:rPr>
      </w:pPr>
      <w:r>
        <w:rPr>
          <w:rFonts w:ascii="Times New Roman" w:cs="Times New Roman" w:eastAsia="Times New Roman" w:hAnsi="Times New Roman"/>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57" w:lineRule="exact"/>
        <w:rPr>
          <w:sz w:val="20"/>
          <w:szCs w:val="20"/>
          <w:color w:val="auto"/>
        </w:rPr>
      </w:pPr>
    </w:p>
    <w:p>
      <w:pPr>
        <w:jc w:val="both"/>
        <w:ind w:left="340" w:hanging="332"/>
        <w:spacing w:after="0" w:line="218" w:lineRule="auto"/>
        <w:tabs>
          <w:tab w:leader="none" w:pos="3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Provisions Severabl</w:t>
      </w:r>
      <w:r>
        <w:rPr>
          <w:rFonts w:ascii="Times New Roman" w:cs="Times New Roman" w:eastAsia="Times New Roman" w:hAnsi="Times New Roman"/>
          <w:sz w:val="20"/>
          <w:szCs w:val="20"/>
          <w:color w:val="auto"/>
        </w:rPr>
        <w:t>e. If any provision or covenant, or any part thereof, contained in the Confidentiality Provisions is held by any court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invalid, illegal, or unenforceable, either in whole or in part, such invalidity, illegality or unenforceability shall not affect the validity, legality or enforceability of the remaining provisions or covenants, or any part thereof, in the Confidentiality Provisions, all of which shall remain in full force and effect. Each and every provision, paragraph and subparagraph of Section 2 above is severable from the other provisions, paragraphs and subparagraphs and constitutes a separate and distinct covenant.</w:t>
      </w:r>
    </w:p>
    <w:p>
      <w:pPr>
        <w:spacing w:after="0" w:line="161" w:lineRule="exact"/>
        <w:rPr>
          <w:rFonts w:ascii="Times New Roman" w:cs="Times New Roman" w:eastAsia="Times New Roman" w:hAnsi="Times New Roman"/>
          <w:sz w:val="20"/>
          <w:szCs w:val="20"/>
          <w:color w:val="auto"/>
        </w:rPr>
      </w:pPr>
    </w:p>
    <w:p>
      <w:pPr>
        <w:jc w:val="both"/>
        <w:ind w:left="340"/>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shall not supersede those set forth in either: (a) any Executive Severance Agreement applicable to Grantee, if any, (b) any Confidentiality, Inventions and Non-Solicitation Agreement to which Grantee is a party, if any, or (c) any restrictive</w:t>
      </w:r>
    </w:p>
    <w:p>
      <w:pPr>
        <w:sectPr>
          <w:pgSz w:w="11900" w:h="16838" w:orient="portrait"/>
          <w:cols w:equalWidth="0" w:num="1">
            <w:col w:w="11240"/>
          </w:cols>
          <w:pgMar w:left="320" w:top="1075" w:right="339" w:bottom="1440" w:gutter="0" w:footer="0" w:header="0"/>
        </w:sectPr>
      </w:pPr>
    </w:p>
    <w:p>
      <w:pPr>
        <w:spacing w:after="0" w:line="3" w:lineRule="exact"/>
        <w:rPr>
          <w:sz w:val="20"/>
          <w:szCs w:val="20"/>
          <w:color w:val="auto"/>
        </w:rPr>
      </w:pPr>
    </w:p>
    <w:p>
      <w:pPr>
        <w:ind w:left="340"/>
        <w:spacing w:after="0" w:line="204" w:lineRule="auto"/>
        <w:rPr>
          <w:sz w:val="20"/>
          <w:szCs w:val="20"/>
          <w:color w:val="auto"/>
        </w:rPr>
      </w:pPr>
      <w:r>
        <w:rPr>
          <w:rFonts w:ascii="Times New Roman" w:cs="Times New Roman" w:eastAsia="Times New Roman" w:hAnsi="Times New Roman"/>
          <w:sz w:val="20"/>
          <w:szCs w:val="20"/>
          <w:color w:val="auto"/>
        </w:rPr>
        <w:t>covenants to which Grantee is a party under any employment agreement or offer letter, if any. applicable to Grantee include restrictive covenant provisions that conflict with the provisions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Provisions, the provisions that are more restrictive on Grantee will control.</w:t>
      </w:r>
    </w:p>
    <w:p>
      <w:pPr>
        <w:spacing w:after="0" w:line="20" w:lineRule="exact"/>
        <w:rPr>
          <w:sz w:val="20"/>
          <w:szCs w:val="20"/>
          <w:color w:val="auto"/>
        </w:rPr>
      </w:pPr>
      <w:r>
        <w:rPr>
          <w:sz w:val="20"/>
          <w:szCs w:val="20"/>
          <w:color w:val="auto"/>
        </w:rPr>
        <w:br w:type="column"/>
      </w:r>
    </w:p>
    <w:p>
      <w:pPr>
        <w:ind w:firstLine="68"/>
        <w:spacing w:after="0" w:line="221" w:lineRule="auto"/>
        <w:rPr>
          <w:sz w:val="20"/>
          <w:szCs w:val="20"/>
          <w:color w:val="auto"/>
        </w:rPr>
      </w:pPr>
      <w:r>
        <w:rPr>
          <w:rFonts w:ascii="Times New Roman" w:cs="Times New Roman" w:eastAsia="Times New Roman" w:hAnsi="Times New Roman"/>
          <w:sz w:val="20"/>
          <w:szCs w:val="20"/>
          <w:color w:val="auto"/>
        </w:rPr>
        <w:t>To the extent that any agreement contained in these Confidentiality</w:t>
      </w:r>
    </w:p>
    <w:p>
      <w:pPr>
        <w:spacing w:after="0" w:line="360" w:lineRule="exact"/>
        <w:rPr>
          <w:sz w:val="20"/>
          <w:szCs w:val="20"/>
          <w:color w:val="auto"/>
        </w:rPr>
      </w:pPr>
    </w:p>
    <w:p>
      <w:pPr>
        <w:sectPr>
          <w:pgSz w:w="11900" w:h="16838" w:orient="portrait"/>
          <w:cols w:equalWidth="0" w:num="2">
            <w:col w:w="8300" w:space="100"/>
            <w:col w:w="2840"/>
          </w:cols>
          <w:pgMar w:left="320" w:top="1075" w:right="339" w:bottom="1440" w:gutter="0" w:footer="0" w:header="0"/>
          <w:type w:val="continuous"/>
        </w:sectPr>
      </w:pPr>
    </w:p>
    <w:p>
      <w:pPr>
        <w:jc w:val="both"/>
        <w:ind w:left="340" w:hanging="332"/>
        <w:spacing w:after="0" w:line="223" w:lineRule="auto"/>
        <w:tabs>
          <w:tab w:leader="none" w:pos="3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Failure of either party to insist, in one or more instances, on performance by the other in strict accordance with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Confidentiality Provisions shall not be deemed a waiver or relinquishment of any right granted in the Confidentiality Provisions or the future performance of any such term or condition or of any other term or condition of the Confidentiality Provisions, unless such waiver is contained in a writing signed by the party making the waiver.</w:t>
      </w:r>
    </w:p>
    <w:p>
      <w:pPr>
        <w:spacing w:after="0" w:line="144" w:lineRule="exact"/>
        <w:rPr>
          <w:rFonts w:ascii="Times New Roman" w:cs="Times New Roman" w:eastAsia="Times New Roman" w:hAnsi="Times New Roman"/>
          <w:sz w:val="20"/>
          <w:szCs w:val="20"/>
          <w:color w:val="auto"/>
        </w:rPr>
      </w:pPr>
    </w:p>
    <w:p>
      <w:pPr>
        <w:jc w:val="both"/>
        <w:ind w:left="340" w:hanging="332"/>
        <w:spacing w:after="0" w:line="220" w:lineRule="auto"/>
        <w:tabs>
          <w:tab w:leader="none" w:pos="3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both parties hereto, which makes specific reference to the Confidentiality Provisions. However, this Section does not affect a court of competent jurisdiction or arbitrator`s ability to modify the Confidentiality Provisions, pursuant to O.C.G.A. §§ 13-8-51(11); 53(d); or 54 in the event that either party initiates legal proceedings that relate in any way to this Confidentiality Provisions, including any action brought by either party seeking to enforce any provision set forth herein.</w:t>
      </w:r>
    </w:p>
    <w:p>
      <w:pPr>
        <w:spacing w:after="0" w:line="160" w:lineRule="exact"/>
        <w:rPr>
          <w:rFonts w:ascii="Times New Roman" w:cs="Times New Roman" w:eastAsia="Times New Roman" w:hAnsi="Times New Roman"/>
          <w:sz w:val="20"/>
          <w:szCs w:val="20"/>
          <w:color w:val="auto"/>
        </w:rPr>
      </w:pPr>
    </w:p>
    <w:p>
      <w:pPr>
        <w:jc w:val="both"/>
        <w:ind w:left="340" w:hanging="332"/>
        <w:spacing w:after="0" w:line="225" w:lineRule="auto"/>
        <w:tabs>
          <w:tab w:leader="none" w:pos="34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Governing Law and Venue</w:t>
      </w:r>
      <w:r>
        <w:rPr>
          <w:rFonts w:ascii="Times New Roman" w:cs="Times New Roman" w:eastAsia="Times New Roman" w:hAnsi="Times New Roman"/>
          <w:sz w:val="19"/>
          <w:szCs w:val="19"/>
          <w:color w:val="auto"/>
        </w:rPr>
        <w:t>. The validity and effect of the Confidentiality Provisions shall be governed by and construed and enforced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accordance with the laws of the State of Georgia, United States of America, without regard to its conflict of law provisions. Any and all disputes relating to, concerning or arising from the Confidentiality Provisions, or relating to, concerning or arising from the relationship between the parties evidenced by the Confidentiality Provisions, shall be brought and heard exclusively in the U.S.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075" w:right="339" w:bottom="1440" w:gutter="0" w:footer="0" w:header="0"/>
          <w:type w:val="continuous"/>
        </w:sectPr>
      </w:pPr>
    </w:p>
    <w:bookmarkStart w:id="53" w:name="page54"/>
    <w:bookmarkEnd w:id="53"/>
    <w:p>
      <w:pPr>
        <w:ind w:left="340"/>
        <w:spacing w:after="0"/>
        <w:rPr>
          <w:sz w:val="20"/>
          <w:szCs w:val="20"/>
          <w:color w:val="auto"/>
        </w:rPr>
      </w:pPr>
      <w:r>
        <w:rPr>
          <w:rFonts w:ascii="Times New Roman" w:cs="Times New Roman" w:eastAsia="Times New Roman" w:hAnsi="Times New Roman"/>
          <w:sz w:val="20"/>
          <w:szCs w:val="20"/>
          <w:color w:val="auto"/>
        </w:rPr>
        <w:t>concerning or arising from such dispute which is brought in such courts is improper or that such proceedings have been brought in an inconvenient forum.</w:t>
      </w:r>
    </w:p>
    <w:p>
      <w:pPr>
        <w:spacing w:after="0" w:line="144" w:lineRule="exact"/>
        <w:rPr>
          <w:sz w:val="20"/>
          <w:szCs w:val="20"/>
          <w:color w:val="auto"/>
        </w:rPr>
      </w:pPr>
    </w:p>
    <w:p>
      <w:pPr>
        <w:ind w:left="340" w:hanging="332"/>
        <w:spacing w:after="0" w:line="245" w:lineRule="auto"/>
        <w:tabs>
          <w:tab w:leader="none" w:pos="3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Legal Fees. </w:t>
      </w:r>
      <w:r>
        <w:rPr>
          <w:rFonts w:ascii="Times New Roman" w:cs="Times New Roman" w:eastAsia="Times New Roman" w:hAnsi="Times New Roman"/>
          <w:sz w:val="20"/>
          <w:szCs w:val="20"/>
          <w:color w:val="auto"/>
        </w:rPr>
        <w:t>Each party shall pay its own legal fees and other expenses associated with any dispute under the Confidentiality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Exhibit hereto.</w:t>
      </w:r>
    </w:p>
    <w:p>
      <w:pPr>
        <w:spacing w:after="0" w:line="151" w:lineRule="exact"/>
        <w:rPr>
          <w:rFonts w:ascii="Times New Roman" w:cs="Times New Roman" w:eastAsia="Times New Roman" w:hAnsi="Times New Roman"/>
          <w:sz w:val="20"/>
          <w:szCs w:val="20"/>
          <w:color w:val="auto"/>
        </w:rPr>
      </w:pPr>
    </w:p>
    <w:p>
      <w:pPr>
        <w:jc w:val="both"/>
        <w:ind w:left="340" w:hanging="332"/>
        <w:spacing w:after="0" w:line="216" w:lineRule="auto"/>
        <w:tabs>
          <w:tab w:leader="none" w:pos="3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Tender Back Provision. </w:t>
      </w:r>
      <w:r>
        <w:rPr>
          <w:rFonts w:ascii="Times New Roman" w:cs="Times New Roman" w:eastAsia="Times New Roman" w:hAnsi="Times New Roman"/>
          <w:sz w:val="20"/>
          <w:szCs w:val="20"/>
          <w:color w:val="auto"/>
        </w:rPr>
        <w:t>If, in the context of a lawsuit involving Grantee or any other person or entity arguing on Grantee’s behalf,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court determines that any provisions of Section 2 are void, invalid, illegal, or otherwise unenforceable, Grantee shall be required to immediately return to the Company 70% of all monies paid out under Section 7 of the Performance Unit Award Agreement, or to return 70% of any unsold shares Grantee still owns of such Performance Units awarded under Section 7 of the Performance Unit Award Agreement. For purposes of this section, the amount to be paid back shall be determined by ascertaining the value and amount the share(s) sold at the time that Grantee actually sold such share(s). You acknowledge and agree that this covenant does not constitute a penalty clause.</w:t>
      </w:r>
    </w:p>
    <w:p>
      <w:pPr>
        <w:spacing w:after="0" w:line="144" w:lineRule="exact"/>
        <w:rPr>
          <w:rFonts w:ascii="Times New Roman" w:cs="Times New Roman" w:eastAsia="Times New Roman" w:hAnsi="Times New Roman"/>
          <w:sz w:val="20"/>
          <w:szCs w:val="20"/>
          <w:color w:val="auto"/>
        </w:rPr>
      </w:pPr>
    </w:p>
    <w:p>
      <w:pPr>
        <w:jc w:val="both"/>
        <w:ind w:left="340" w:hanging="332"/>
        <w:spacing w:after="0" w:line="232" w:lineRule="auto"/>
        <w:tabs>
          <w:tab w:leader="none" w:pos="32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Tolling Period. </w:t>
      </w:r>
      <w:r>
        <w:rPr>
          <w:rFonts w:ascii="Times New Roman" w:cs="Times New Roman" w:eastAsia="Times New Roman" w:hAnsi="Times New Roman"/>
          <w:sz w:val="20"/>
          <w:szCs w:val="20"/>
          <w:color w:val="auto"/>
        </w:rPr>
        <w:t>If Grantee is found by a court to have violated any restriction in Section 2 of the Confidentiality Provisions, he/she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time period for such restriction shall be extended by one day for each day that he/she is found to have violated the restriction, up to a maximum of 18 months.</w:t>
      </w:r>
    </w:p>
    <w:p>
      <w:pPr>
        <w:spacing w:after="0" w:line="143" w:lineRule="exact"/>
        <w:rPr>
          <w:rFonts w:ascii="Times New Roman" w:cs="Times New Roman" w:eastAsia="Times New Roman" w:hAnsi="Times New Roman"/>
          <w:sz w:val="20"/>
          <w:szCs w:val="20"/>
          <w:color w:val="auto"/>
        </w:rPr>
      </w:pPr>
    </w:p>
    <w:p>
      <w:pPr>
        <w:ind w:left="340" w:hanging="332"/>
        <w:spacing w:after="0" w:line="245" w:lineRule="auto"/>
        <w:tabs>
          <w:tab w:leader="none" w:pos="3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The parties acknowledge that they have requested and are satisfied that the Confidentiality Provisions and all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be in the English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075" w:right="339" w:bottom="1440" w:gutter="0" w:footer="0" w:header="0"/>
        </w:sectPr>
      </w:pPr>
    </w:p>
    <w:bookmarkStart w:id="54" w:name="page55"/>
    <w:bookmarkEnd w:id="54"/>
    <w:p>
      <w:pPr>
        <w:jc w:val="center"/>
        <w:spacing w:after="0" w:line="245" w:lineRule="auto"/>
        <w:rPr>
          <w:sz w:val="20"/>
          <w:szCs w:val="20"/>
          <w:color w:val="auto"/>
        </w:rPr>
      </w:pPr>
      <w:r>
        <w:rPr>
          <w:rFonts w:ascii="Times New Roman" w:cs="Times New Roman" w:eastAsia="Times New Roman" w:hAnsi="Times New Roman"/>
          <w:sz w:val="20"/>
          <w:szCs w:val="20"/>
          <w:b w:val="1"/>
          <w:bCs w:val="1"/>
          <w:color w:val="auto"/>
        </w:rPr>
        <w:t>SPECIAL TERMS AND CONDITIONS EXHIBIT TO THE CONFIDENTIALITY, INVENTIONS, NON-SOLICITATION AND NON-COMPETITION PROVISIONS FOR GRANTEES OUTSIDE THE U.S.</w:t>
      </w:r>
    </w:p>
    <w:p>
      <w:pPr>
        <w:spacing w:after="0" w:line="14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This Appendix includes additional country-specific terms and conditions that apply to Grantees in the countries listed below with respect to the Confidentiality, Inventions, Non-Solicitation and Non-Competition Provisions (the “Confidentiality Provisions”). This Appendix is part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the Confidentiality Provisions and contains terms and conditions material to Grantee’s rights and obligations under the Confidentiality Provisions. Unless otherwise provided below, capitalized terms used but not defined herein shall have the same meanings assigned to them in</w:t>
      </w:r>
    </w:p>
    <w:p>
      <w:pPr>
        <w:spacing w:after="0"/>
        <w:rPr>
          <w:sz w:val="20"/>
          <w:szCs w:val="20"/>
          <w:color w:val="auto"/>
        </w:rPr>
      </w:pPr>
      <w:r>
        <w:rPr>
          <w:rFonts w:ascii="Times New Roman" w:cs="Times New Roman" w:eastAsia="Times New Roman" w:hAnsi="Times New Roman"/>
          <w:sz w:val="20"/>
          <w:szCs w:val="20"/>
          <w:color w:val="auto"/>
        </w:rPr>
        <w:t>the Plan and the Confidentiality Provisions.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1(b)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means technical or nontechnical data, a formula, a pattern, a compilation, a program, a device, a method, a</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technique, a drawing, a process, financial data, financial plans, product plans, a list of actual or potential customers or suppliers, or any other proprietary information which is not commonly known by or available to the public and which information: (A) derives</w:t>
      </w:r>
    </w:p>
    <w:p>
      <w:pPr>
        <w:ind w:left="660"/>
        <w:spacing w:after="0" w:line="211" w:lineRule="auto"/>
        <w:rPr>
          <w:sz w:val="20"/>
          <w:szCs w:val="20"/>
          <w:color w:val="auto"/>
        </w:rPr>
      </w:pPr>
      <w:r>
        <w:rPr>
          <w:rFonts w:ascii="Times New Roman" w:cs="Times New Roman" w:eastAsia="Times New Roman" w:hAnsi="Times New Roman"/>
          <w:sz w:val="20"/>
          <w:szCs w:val="20"/>
          <w:color w:val="auto"/>
        </w:rPr>
        <w:t>economic value, actual or potential, from not being generally known to, and not being readily ascertainable by proper means by,</w:t>
      </w:r>
    </w:p>
    <w:p>
      <w:pPr>
        <w:spacing w:after="0" w:line="1"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0"/>
          <w:szCs w:val="20"/>
          <w:color w:val="auto"/>
        </w:rPr>
        <w:t>other persons who obtain economic value from its disclosure or use; and (B) is the subject of efforts that are reasonable under the circumstances to maintain its secrecy.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1(h) of the Confidentiality Provisions:</w:t>
      </w:r>
    </w:p>
    <w:p>
      <w:pPr>
        <w:spacing w:after="0" w:line="185" w:lineRule="exact"/>
        <w:rPr>
          <w:sz w:val="20"/>
          <w:szCs w:val="20"/>
          <w:color w:val="auto"/>
        </w:rPr>
      </w:pPr>
    </w:p>
    <w:p>
      <w:pPr>
        <w:jc w:val="both"/>
        <w:ind w:left="660" w:right="2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“Material Contact” </w:t>
      </w:r>
      <w:r>
        <w:rPr>
          <w:rFonts w:ascii="Times New Roman" w:cs="Times New Roman" w:eastAsia="Times New Roman" w:hAnsi="Times New Roman"/>
          <w:sz w:val="19"/>
          <w:szCs w:val="19"/>
          <w:color w:val="auto"/>
        </w:rPr>
        <w:t>means contact between an employee and each Customer or potential Customer: with whom or which Grantee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dealt on behalf of the Company; whose dealings with the Company were coordinated or supervised by Grantee; about whom Grantee</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 xml:space="preserve">obtained Confidential Information in the ordinary course of business as a result of such employee’s association with the Company; </w:t>
      </w:r>
      <w:r>
        <w:rPr>
          <w:rFonts w:ascii="Times New Roman" w:cs="Times New Roman" w:eastAsia="Times New Roman" w:hAnsi="Times New Roman"/>
          <w:sz w:val="20"/>
          <w:szCs w:val="20"/>
          <w:u w:val="single" w:color="auto"/>
          <w:color w:val="auto"/>
        </w:rPr>
        <w:t>and/or</w:t>
      </w:r>
      <w:r>
        <w:rPr>
          <w:rFonts w:ascii="Times New Roman" w:cs="Times New Roman" w:eastAsia="Times New Roman" w:hAnsi="Times New Roman"/>
          <w:sz w:val="20"/>
          <w:szCs w:val="20"/>
          <w:color w:val="auto"/>
        </w:rPr>
        <w:t xml:space="preserve"> who receives products or services authorized by the Company, the sale or provision of which results or resulted 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compensation, commissions, or earnings for Grantee within two years prior to the date of the Date of Termination.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shall be added to Section 1(i) as sub-section (vi):</w:t>
      </w:r>
    </w:p>
    <w:p>
      <w:pPr>
        <w:spacing w:after="0" w:line="175"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20"/>
          <w:szCs w:val="20"/>
          <w:color w:val="auto"/>
        </w:rPr>
        <w:t>“or (vi) Any other act or omission, or a series of acts or omissions, of Grantee which, pursuant to applicable law, constitutes “good and sufficient reason” or “just cause” (either at common law or civil law) for termination of employment without notice, payment in lieu of notice or any indemnity whatsoever.”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1(j) of the Confidentiality Provisions: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“Inventions” </w:t>
      </w:r>
      <w:r>
        <w:rPr>
          <w:rFonts w:ascii="Times New Roman" w:cs="Times New Roman" w:eastAsia="Times New Roman" w:hAnsi="Times New Roman"/>
          <w:sz w:val="19"/>
          <w:szCs w:val="19"/>
          <w:color w:val="auto"/>
        </w:rPr>
        <w:t>and “</w:t>
      </w:r>
      <w:r>
        <w:rPr>
          <w:rFonts w:ascii="Times New Roman" w:cs="Times New Roman" w:eastAsia="Times New Roman" w:hAnsi="Times New Roman"/>
          <w:sz w:val="19"/>
          <w:szCs w:val="19"/>
          <w:b w:val="1"/>
          <w:bCs w:val="1"/>
          <w:color w:val="auto"/>
        </w:rPr>
        <w:t xml:space="preserve">Works For Hire.” </w:t>
      </w:r>
      <w:r>
        <w:rPr>
          <w:rFonts w:ascii="Times New Roman" w:cs="Times New Roman" w:eastAsia="Times New Roman" w:hAnsi="Times New Roman"/>
          <w:sz w:val="19"/>
          <w:szCs w:val="19"/>
          <w:color w:val="auto"/>
        </w:rPr>
        <w:t>The term “Invention” means contributions, discoveries, improvements and ideas and works of</w:t>
      </w:r>
    </w:p>
    <w:p>
      <w:pPr>
        <w:spacing w:after="0" w:line="10"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authorship, whether or not patentable or copyrightable, and: (i) which relate directly to the Company’s Business, or (ii) which result from any work performed by Grantee or by Grantee’s fellow employees for the Company, or (iii) for which equipment, supplies,</w:t>
      </w:r>
    </w:p>
    <w:p>
      <w:pPr>
        <w:ind w:left="660"/>
        <w:spacing w:after="0" w:line="211" w:lineRule="auto"/>
        <w:rPr>
          <w:sz w:val="20"/>
          <w:szCs w:val="20"/>
          <w:color w:val="auto"/>
        </w:rPr>
      </w:pPr>
      <w:r>
        <w:rPr>
          <w:rFonts w:ascii="Times New Roman" w:cs="Times New Roman" w:eastAsia="Times New Roman" w:hAnsi="Times New Roman"/>
          <w:sz w:val="20"/>
          <w:szCs w:val="20"/>
          <w:color w:val="auto"/>
        </w:rPr>
        <w:t>facilities, Confidential Information or Trade Secrets of the Company are used, or (iv) which is developed on the Company’s time.</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 xml:space="preserve">The term “Works For Hire”, also known as “Work Made in the Course of Employment” under s. 13(3) of the Canadian </w:t>
      </w:r>
      <w:r>
        <w:rPr>
          <w:rFonts w:ascii="Times New Roman" w:cs="Times New Roman" w:eastAsia="Times New Roman" w:hAnsi="Times New Roman"/>
          <w:sz w:val="20"/>
          <w:szCs w:val="20"/>
          <w:i w:val="1"/>
          <w:iCs w:val="1"/>
          <w:color w:val="auto"/>
        </w:rPr>
        <w:t>Copyright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(“Works”) means all documents, programs, software, creative works and other expressions and information in any tangible</w:t>
      </w:r>
    </w:p>
    <w:p>
      <w:pPr>
        <w:spacing w:after="0" w:line="1"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medium created, in whole or in part, by Grantee during the period of and relating to his/her employment with the Company, whether copyrightable or otherwise protectable, other than Inventions.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Grantee does hereby assign to the Company the entire right, title and interest in any Invention which is or was made or</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conceived, either solely or jointly with others, and does hereby waive any and all other rights in any Inventions that are non-assignable, including, but not limited to common law rights, moral rights or any non-economic rights, during his/her employment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with the Company, including after the Date of Termination.  Grantee attests that he/she has disclosed (or promptly will disclose, if</w:t>
      </w:r>
    </w:p>
    <w:p>
      <w:pPr>
        <w:spacing w:after="0" w:line="1"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0"/>
          <w:szCs w:val="20"/>
          <w:color w:val="auto"/>
        </w:rPr>
        <w:t>after the Date of Termination) to the Company all such Inventions. Grantee will, if requested, promptly execute and deliver to the Company a specific assignment of title for any such Invention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071"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0"/>
          <w:szCs w:val="20"/>
          <w:color w:val="auto"/>
        </w:rPr>
        <w:t>will at the expense of the Company, take all reasonably required action by the Company to patent, copyright or otherwise protect the Invention.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2(e) of the Confidentiality Provisions:</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E.</w:t>
      </w:r>
      <w:r>
        <w:rPr>
          <w:sz w:val="20"/>
          <w:szCs w:val="20"/>
          <w:color w:val="auto"/>
        </w:rPr>
        <w:tab/>
      </w:r>
      <w:r>
        <w:rPr>
          <w:rFonts w:ascii="Times New Roman" w:cs="Times New Roman" w:eastAsia="Times New Roman" w:hAnsi="Times New Roman"/>
          <w:sz w:val="19"/>
          <w:szCs w:val="19"/>
          <w:b w:val="1"/>
          <w:bCs w:val="1"/>
          <w:color w:val="auto"/>
        </w:rPr>
        <w:t>Non-Competition.</w:t>
      </w:r>
    </w:p>
    <w:p>
      <w:pPr>
        <w:spacing w:after="0" w:line="193"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20"/>
          <w:szCs w:val="20"/>
          <w:color w:val="auto"/>
        </w:rPr>
        <w:t>Grantee acknowledges and agrees that during his/her employment, and for twelve (12) months after the Date of Termination, he/she has not and will not engage in, provide, or perform any Employee Services on behalf of any person or entity (or, if organized into</w:t>
      </w:r>
    </w:p>
    <w:p>
      <w:pPr>
        <w:spacing w:after="0" w:line="1"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20"/>
          <w:szCs w:val="20"/>
          <w:color w:val="auto"/>
        </w:rPr>
        <w:t>divisions or units, any distinct division or operating unit) in the Territory that derives revenue from providing goods or services substantially similar to those which comprise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F.</w:t>
      </w:r>
      <w:r>
        <w:rPr>
          <w:sz w:val="20"/>
          <w:szCs w:val="20"/>
          <w:color w:val="auto"/>
        </w:rPr>
        <w:tab/>
      </w:r>
      <w:r>
        <w:rPr>
          <w:rFonts w:ascii="Times New Roman" w:cs="Times New Roman" w:eastAsia="Times New Roman" w:hAnsi="Times New Roman"/>
          <w:sz w:val="19"/>
          <w:szCs w:val="19"/>
          <w:b w:val="1"/>
          <w:bCs w:val="1"/>
          <w:color w:val="auto"/>
        </w:rPr>
        <w:t>Non-Solicitation of Customers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Grantee acknowledges and agrees that during his/her employment, and for eighteen (18) months after the Date of Termination, Grantee has not and will not solicit Customers (as defined in Section 1(c) above) with whom he/she had Material Contact (as defined</w:t>
      </w:r>
    </w:p>
    <w:p>
      <w:pPr>
        <w:ind w:left="660"/>
        <w:spacing w:after="0"/>
        <w:rPr>
          <w:sz w:val="20"/>
          <w:szCs w:val="20"/>
          <w:color w:val="auto"/>
        </w:rPr>
      </w:pPr>
      <w:r>
        <w:rPr>
          <w:rFonts w:ascii="Times New Roman" w:cs="Times New Roman" w:eastAsia="Times New Roman" w:hAnsi="Times New Roman"/>
          <w:sz w:val="20"/>
          <w:szCs w:val="20"/>
          <w:color w:val="auto"/>
        </w:rPr>
        <w:t>in 1(h) above) for the purpose of providing goods and/or services competitive with the Company’s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G.</w:t>
      </w:r>
      <w:r>
        <w:rPr>
          <w:sz w:val="20"/>
          <w:szCs w:val="20"/>
          <w:color w:val="auto"/>
        </w:rPr>
        <w:tab/>
      </w:r>
      <w:r>
        <w:rPr>
          <w:rFonts w:ascii="Times New Roman" w:cs="Times New Roman" w:eastAsia="Times New Roman" w:hAnsi="Times New Roman"/>
          <w:sz w:val="19"/>
          <w:szCs w:val="19"/>
          <w:b w:val="1"/>
          <w:bCs w:val="1"/>
          <w:color w:val="auto"/>
        </w:rPr>
        <w:t>Non-Solicitation of Employees and Agents.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Grantee acknowledges and agrees that during his/her employment, and for a period of eighteen (18) months after the Date of</w:t>
      </w:r>
    </w:p>
    <w:p>
      <w:pPr>
        <w:ind w:left="660"/>
        <w:spacing w:after="0" w:line="221" w:lineRule="auto"/>
        <w:rPr>
          <w:sz w:val="20"/>
          <w:szCs w:val="20"/>
          <w:color w:val="auto"/>
        </w:rPr>
      </w:pPr>
      <w:r>
        <w:rPr>
          <w:rFonts w:ascii="Times New Roman" w:cs="Times New Roman" w:eastAsia="Times New Roman" w:hAnsi="Times New Roman"/>
          <w:sz w:val="20"/>
          <w:szCs w:val="20"/>
          <w:color w:val="auto"/>
        </w:rPr>
        <w:t>Termination, Grantee has not and will not, whether on behalf of Grantee or others, solicit, lure or attempt to hire away any of the Company’s employees or agents.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2(h) of the Confidentiality Provisions: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H.</w:t>
      </w:r>
      <w:r>
        <w:rPr>
          <w:sz w:val="20"/>
          <w:szCs w:val="20"/>
          <w:color w:val="auto"/>
        </w:rPr>
        <w:tab/>
      </w:r>
      <w:r>
        <w:rPr>
          <w:rFonts w:ascii="Times New Roman" w:cs="Times New Roman" w:eastAsia="Times New Roman" w:hAnsi="Times New Roman"/>
          <w:sz w:val="19"/>
          <w:szCs w:val="19"/>
          <w:b w:val="1"/>
          <w:bCs w:val="1"/>
          <w:color w:val="auto"/>
        </w:rPr>
        <w:t>Non-Solicitation of Sales Agents.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Grantee acknowledges and agrees that during his/her employment, and for a period of eighteen (18) months after the Date of</w:t>
      </w:r>
    </w:p>
    <w:p>
      <w:pPr>
        <w:ind w:left="660"/>
        <w:spacing w:after="0" w:line="215" w:lineRule="auto"/>
        <w:rPr>
          <w:sz w:val="20"/>
          <w:szCs w:val="20"/>
          <w:color w:val="auto"/>
        </w:rPr>
      </w:pPr>
      <w:r>
        <w:rPr>
          <w:rFonts w:ascii="Times New Roman" w:cs="Times New Roman" w:eastAsia="Times New Roman" w:hAnsi="Times New Roman"/>
          <w:sz w:val="19"/>
          <w:szCs w:val="19"/>
          <w:color w:val="auto"/>
        </w:rPr>
        <w:t>Termination, Grantee has not and will not, whether on behalf of Grantee or others, solicit any of the Company’s Sales Agents for the purpose of disrupting their relationship with the Company and/or selling and/or facilitating the sale of products competitive with the</w:t>
      </w:r>
    </w:p>
    <w:p>
      <w:pPr>
        <w:ind w:left="660"/>
        <w:spacing w:after="0" w:line="222" w:lineRule="auto"/>
        <w:rPr>
          <w:sz w:val="20"/>
          <w:szCs w:val="20"/>
          <w:color w:val="auto"/>
        </w:rPr>
      </w:pPr>
      <w:r>
        <w:rPr>
          <w:rFonts w:ascii="Times New Roman" w:cs="Times New Roman" w:eastAsia="Times New Roman" w:hAnsi="Times New Roman"/>
          <w:sz w:val="19"/>
          <w:szCs w:val="19"/>
          <w:color w:val="auto"/>
        </w:rPr>
        <w:t>Company’s Business. For purposes of this Section 2, a “Sales Agent” is any third-party agency, and/or its representatives, with which</w:t>
      </w:r>
    </w:p>
    <w:p>
      <w:pPr>
        <w:ind w:left="660"/>
        <w:spacing w:after="0" w:line="221" w:lineRule="auto"/>
        <w:rPr>
          <w:sz w:val="20"/>
          <w:szCs w:val="20"/>
          <w:color w:val="auto"/>
        </w:rPr>
      </w:pPr>
      <w:r>
        <w:rPr>
          <w:rFonts w:ascii="Times New Roman" w:cs="Times New Roman" w:eastAsia="Times New Roman" w:hAnsi="Times New Roman"/>
          <w:sz w:val="20"/>
          <w:szCs w:val="20"/>
          <w:color w:val="auto"/>
        </w:rPr>
        <w:t>or whom the Company has contracted for the purpose of facilitating the sale of the Company’s products during the last twenty-four (24) months of Grantee’s employment with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7 of the Confidentiality Provisions:</w:t>
      </w:r>
    </w:p>
    <w:p>
      <w:pPr>
        <w:spacing w:after="0" w:line="185"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both parties hereto, which makes specific reference to the Confidentiality Provisions. However, this Section does</w:t>
      </w:r>
    </w:p>
    <w:p>
      <w:pPr>
        <w:ind w:left="660"/>
        <w:spacing w:after="0" w:line="213" w:lineRule="auto"/>
        <w:rPr>
          <w:sz w:val="20"/>
          <w:szCs w:val="20"/>
          <w:color w:val="auto"/>
        </w:rPr>
      </w:pPr>
      <w:r>
        <w:rPr>
          <w:rFonts w:ascii="Times New Roman" w:cs="Times New Roman" w:eastAsia="Times New Roman" w:hAnsi="Times New Roman"/>
          <w:sz w:val="20"/>
          <w:szCs w:val="20"/>
          <w:color w:val="auto"/>
        </w:rPr>
        <w:t>not affect a court of competent jurisdiction or arbitrator’s ability to modify the Confidentiality Provisions, as the case may be, in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event that either party initiates legal proceedings that relate in any way to the Confidentiality Provisions, including any action brought by either party seeking to enforce any provision set forth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12 of the Confidentiality Provisions:</w:t>
      </w:r>
    </w:p>
    <w:p>
      <w:pPr>
        <w:spacing w:after="0" w:line="185"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The parties acknowledge that they have requested and are satisfied that the Confidentiality Provisions and all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be drawn up in the English language. Les parties aux présentes reconnaissent avoir requis que la présente entente et les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documents qui y sont relatifs soient rédigés en anglais.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0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 of the provisions hereafter, the Company means the local entity in France by whom Grantee is employed.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1(b)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means technical or nontechnical data, a formula, a pattern, a compilation, a program, a device, a method, a</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technique, a drawing, a process, financial data, financial plans, product plans, or a list of actual or potential customers or suppliers which is not commonly known by or available to the public and which information: (A) derives economic value, actual or potential,</w:t>
      </w:r>
    </w:p>
    <w:p>
      <w:pPr>
        <w:spacing w:after="0" w:line="1"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1(g)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 the location in which the non-competition restriction will apply, hereby defined as the region(s) in France in</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which Grantee worked. Grantee acknowledges that the Company is licensed to do business in the Territory. Accordingly, Grantee agrees that these restrictions are reasonable and necessary to protect the Confidential Information, trade secrets, business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relationships, and goodwill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1(h) of the Confidentiality Provisions:</w:t>
      </w:r>
    </w:p>
    <w:p>
      <w:pPr>
        <w:spacing w:after="0" w:line="171" w:lineRule="exact"/>
        <w:rPr>
          <w:sz w:val="20"/>
          <w:szCs w:val="20"/>
          <w:color w:val="auto"/>
        </w:rPr>
      </w:pPr>
    </w:p>
    <w:p>
      <w:pPr>
        <w:jc w:val="both"/>
        <w:ind w:left="660" w:right="2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“Material Contact” </w:t>
      </w:r>
      <w:r>
        <w:rPr>
          <w:rFonts w:ascii="Times New Roman" w:cs="Times New Roman" w:eastAsia="Times New Roman" w:hAnsi="Times New Roman"/>
          <w:sz w:val="19"/>
          <w:szCs w:val="19"/>
          <w:color w:val="auto"/>
        </w:rPr>
        <w:t>means contact between an employee and each Customer or potential Customer: with whom or which Grantee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dealt on behalf of the Company; whose dealings with the Company were coordinated or supervised by Grantee; about whom Grantee</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 xml:space="preserve">obtained confidential information in the ordinary course of business as a result of such employee’s association with the Company; </w:t>
      </w:r>
      <w:r>
        <w:rPr>
          <w:rFonts w:ascii="Times New Roman" w:cs="Times New Roman" w:eastAsia="Times New Roman" w:hAnsi="Times New Roman"/>
          <w:sz w:val="20"/>
          <w:szCs w:val="20"/>
          <w:u w:val="single" w:color="auto"/>
          <w:color w:val="auto"/>
        </w:rPr>
        <w:t>and/or</w:t>
      </w:r>
      <w:r>
        <w:rPr>
          <w:rFonts w:ascii="Times New Roman" w:cs="Times New Roman" w:eastAsia="Times New Roman" w:hAnsi="Times New Roman"/>
          <w:sz w:val="20"/>
          <w:szCs w:val="20"/>
          <w:color w:val="auto"/>
        </w:rPr>
        <w:t xml:space="preserve"> who receives products or services authorized by the Company, the sale or provision of which results or resulted 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compensation, commissions, or earnings for Grantee within two years prior to the date of the Date of Termination.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1(i) of the Confidentiality Provisions is deleted.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1(j) of the Confidentiality Provisions is deleted.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2(d) of the Confidentiality Provisions:</w:t>
      </w:r>
    </w:p>
    <w:p>
      <w:pPr>
        <w:spacing w:after="0" w:line="171" w:lineRule="exact"/>
        <w:rPr>
          <w:sz w:val="20"/>
          <w:szCs w:val="20"/>
          <w:color w:val="auto"/>
        </w:rPr>
      </w:pPr>
    </w:p>
    <w:p>
      <w:pPr>
        <w:jc w:val="both"/>
        <w:ind w:left="660"/>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Grantee will make full and prompt disclosure to the Company of all inventions, discoveries, designs, designations,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developments, software, drawings, logos, sketches, models, articles, studies, reports, methods, modifications, improvements,</w:t>
      </w:r>
    </w:p>
    <w:p>
      <w:pPr>
        <w:spacing w:after="0" w:line="2"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processes, algorithms, databases, computer programs, formulae, techniques, trade secrets, graphics or images, and audio or visual works and other works of authorship (collectively “</w:t>
      </w:r>
      <w:r>
        <w:rPr>
          <w:rFonts w:ascii="Times New Roman" w:cs="Times New Roman" w:eastAsia="Times New Roman" w:hAnsi="Times New Roman"/>
          <w:sz w:val="20"/>
          <w:szCs w:val="20"/>
          <w:u w:val="single" w:color="auto"/>
          <w:color w:val="auto"/>
        </w:rPr>
        <w:t>Developments</w:t>
      </w:r>
      <w:r>
        <w:rPr>
          <w:rFonts w:ascii="Times New Roman" w:cs="Times New Roman" w:eastAsia="Times New Roman" w:hAnsi="Times New Roman"/>
          <w:sz w:val="20"/>
          <w:szCs w:val="20"/>
          <w:color w:val="auto"/>
        </w:rPr>
        <w:t>”), whether or not patentable or copyrightable, that are created,</w:t>
      </w:r>
    </w:p>
    <w:p>
      <w:pPr>
        <w:ind w:left="660"/>
        <w:spacing w:after="0" w:line="223" w:lineRule="auto"/>
        <w:rPr>
          <w:sz w:val="20"/>
          <w:szCs w:val="20"/>
          <w:color w:val="auto"/>
        </w:rPr>
      </w:pPr>
      <w:r>
        <w:rPr>
          <w:rFonts w:ascii="Times New Roman" w:cs="Times New Roman" w:eastAsia="Times New Roman" w:hAnsi="Times New Roman"/>
          <w:sz w:val="19"/>
          <w:szCs w:val="19"/>
          <w:color w:val="auto"/>
        </w:rPr>
        <w:t>made, conceived or reduced to practice by Grantee (alone or jointly with others) or under his/her direction in the course of Grantee’s</w:t>
      </w:r>
    </w:p>
    <w:p>
      <w:pPr>
        <w:jc w:val="both"/>
        <w:ind w:left="660" w:right="20"/>
        <w:spacing w:after="0" w:line="215" w:lineRule="auto"/>
        <w:rPr>
          <w:sz w:val="20"/>
          <w:szCs w:val="20"/>
          <w:color w:val="auto"/>
        </w:rPr>
      </w:pPr>
      <w:r>
        <w:rPr>
          <w:rFonts w:ascii="Times New Roman" w:cs="Times New Roman" w:eastAsia="Times New Roman" w:hAnsi="Times New Roman"/>
          <w:sz w:val="19"/>
          <w:szCs w:val="19"/>
          <w:color w:val="auto"/>
        </w:rPr>
        <w:t>employment. Grantee acknowledges and agree that, to the fullest extent permitted by law, (i) all Developments shall automatically belong to, and shall be the sole property of the Company and that (ii) to the extent that any Development do not vest in the Company</w:t>
      </w:r>
    </w:p>
    <w:p>
      <w:pPr>
        <w:ind w:left="660"/>
        <w:spacing w:after="0" w:line="211" w:lineRule="auto"/>
        <w:rPr>
          <w:sz w:val="20"/>
          <w:szCs w:val="20"/>
          <w:color w:val="auto"/>
        </w:rPr>
      </w:pPr>
      <w:r>
        <w:rPr>
          <w:rFonts w:ascii="Times New Roman" w:cs="Times New Roman" w:eastAsia="Times New Roman" w:hAnsi="Times New Roman"/>
          <w:sz w:val="20"/>
          <w:szCs w:val="20"/>
          <w:color w:val="auto"/>
        </w:rPr>
        <w:t>automatically, Grantee irrevocably hereby assign to the Company by way of present assignment, all right, title, and interest Grantee</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may have or may acquire in and to all Developments anywhere in the world. In particular, in accordance with the provisions of article L. 113-9 of the Intellectual Property Code, Grantee acknowledge that the intellectual property rights to any software and their</w:t>
      </w:r>
    </w:p>
    <w:p>
      <w:pPr>
        <w:ind w:left="660"/>
        <w:spacing w:after="0" w:line="211" w:lineRule="auto"/>
        <w:rPr>
          <w:sz w:val="20"/>
          <w:szCs w:val="20"/>
          <w:color w:val="auto"/>
        </w:rPr>
      </w:pPr>
      <w:r>
        <w:rPr>
          <w:rFonts w:ascii="Times New Roman" w:cs="Times New Roman" w:eastAsia="Times New Roman" w:hAnsi="Times New Roman"/>
          <w:sz w:val="20"/>
          <w:szCs w:val="20"/>
          <w:color w:val="auto"/>
        </w:rPr>
        <w:t>documentation developed by Grantee in the course of his/her employment contract belong as a matter of law to the Company. In</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accordance with the provisions of article L. 611-7 of the Intellectual Property Code, Grantee further acknowledges that the inventions made within the context of his/her employment providing for an “inventive mission” which corresponds to his/her actual duties, or,</w:t>
      </w:r>
    </w:p>
    <w:p>
      <w:pPr>
        <w:ind w:left="660"/>
        <w:spacing w:after="0" w:line="228" w:lineRule="auto"/>
        <w:rPr>
          <w:sz w:val="20"/>
          <w:szCs w:val="20"/>
          <w:color w:val="auto"/>
        </w:rPr>
      </w:pPr>
      <w:r>
        <w:rPr>
          <w:rFonts w:ascii="Times New Roman" w:cs="Times New Roman" w:eastAsia="Times New Roman" w:hAnsi="Times New Roman"/>
          <w:sz w:val="20"/>
          <w:szCs w:val="20"/>
          <w:color w:val="auto"/>
        </w:rPr>
        <w:t>as part of studies or research which have been specifically entrusted to Grantee, belong to the Company as a right (“</w:t>
      </w:r>
      <w:r>
        <w:rPr>
          <w:rFonts w:ascii="Times New Roman" w:cs="Times New Roman" w:eastAsia="Times New Roman" w:hAnsi="Times New Roman"/>
          <w:sz w:val="20"/>
          <w:szCs w:val="20"/>
          <w:u w:val="single" w:color="auto"/>
          <w:color w:val="auto"/>
        </w:rPr>
        <w:t>Inventions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Mission</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20"/>
          <w:szCs w:val="20"/>
          <w:color w:val="auto"/>
        </w:rPr>
        <w:t>In accordance with the provisions of article L. 611-7 of the Intellectual Property Code, which provide that the employee is entitled to receive an additional remuneration for the Inventions of Mission, Grantee agrees that such additional remuneration, if any, will be determined in the following manner: Grantee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071"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20"/>
          <w:szCs w:val="20"/>
          <w:color w:val="auto"/>
        </w:rPr>
        <w:t>be paid an additional remuneration only to the extent Grantee personally contributed to the inventive process which led to the</w:t>
      </w:r>
    </w:p>
    <w:p>
      <w:pPr>
        <w:ind w:left="660"/>
        <w:spacing w:after="0" w:line="215" w:lineRule="auto"/>
        <w:rPr>
          <w:sz w:val="20"/>
          <w:szCs w:val="20"/>
          <w:color w:val="auto"/>
        </w:rPr>
      </w:pPr>
      <w:r>
        <w:rPr>
          <w:rFonts w:ascii="Times New Roman" w:cs="Times New Roman" w:eastAsia="Times New Roman" w:hAnsi="Times New Roman"/>
          <w:sz w:val="19"/>
          <w:szCs w:val="19"/>
          <w:color w:val="auto"/>
        </w:rPr>
        <w:t>perfection of the Invention of Mission. Such additional remuneration shall be determined by the Company, pursuant to local law, upon development of the Invention of Mission, upon patent filing of the Invention of Mission, and/or upon the granting of the patent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on an Invention of Mission. In addition, after 5 years of exploitation of the Invention of Mission, the Company may decide to pay</w:t>
      </w:r>
    </w:p>
    <w:p>
      <w:pPr>
        <w:ind w:left="660"/>
        <w:spacing w:after="0" w:line="204" w:lineRule="auto"/>
        <w:rPr>
          <w:sz w:val="20"/>
          <w:szCs w:val="20"/>
          <w:color w:val="auto"/>
        </w:rPr>
      </w:pPr>
      <w:r>
        <w:rPr>
          <w:rFonts w:ascii="Times New Roman" w:cs="Times New Roman" w:eastAsia="Times New Roman" w:hAnsi="Times New Roman"/>
          <w:sz w:val="20"/>
          <w:szCs w:val="20"/>
          <w:color w:val="auto"/>
        </w:rPr>
        <w:t>Grantee an additional award, which amount should be mutually agreed on between Grantee and the Company, by taking into consideration the economic and scientific interest of the invention of mission, the difficulties of development of the Invention of</w:t>
      </w:r>
    </w:p>
    <w:p>
      <w:pPr>
        <w:ind w:left="660"/>
        <w:spacing w:after="0" w:line="211" w:lineRule="auto"/>
        <w:rPr>
          <w:sz w:val="20"/>
          <w:szCs w:val="20"/>
          <w:color w:val="auto"/>
        </w:rPr>
      </w:pPr>
      <w:r>
        <w:rPr>
          <w:rFonts w:ascii="Times New Roman" w:cs="Times New Roman" w:eastAsia="Times New Roman" w:hAnsi="Times New Roman"/>
          <w:sz w:val="20"/>
          <w:szCs w:val="20"/>
          <w:color w:val="auto"/>
        </w:rPr>
        <w:t>Mission, and Grantee’s personal contribution. Grantee further acknowledge that for all the other inventions created either (i) in the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performance of Grantee’s duties, (ii) in the field of the Company’s activity, or (iii) by using knowledge or technologies or Company’s specific methods or information acquired by the Company, the Company may require that all rights to ownership and use of such</w:t>
      </w:r>
    </w:p>
    <w:p>
      <w:pPr>
        <w:ind w:left="660"/>
        <w:spacing w:after="0" w:line="211" w:lineRule="auto"/>
        <w:rPr>
          <w:sz w:val="20"/>
          <w:szCs w:val="20"/>
          <w:color w:val="auto"/>
        </w:rPr>
      </w:pPr>
      <w:r>
        <w:rPr>
          <w:rFonts w:ascii="Times New Roman" w:cs="Times New Roman" w:eastAsia="Times New Roman" w:hAnsi="Times New Roman"/>
          <w:sz w:val="20"/>
          <w:szCs w:val="20"/>
          <w:color w:val="auto"/>
        </w:rPr>
        <w:t>inventions and the patents protecting such inventions be assigned to it. Grantee further undertake, in particular, to disclose to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Company any copyrightable works that he/she may create, either alone or with the assistance of a third party including notably (but without limitation) any drawings, logos, sketches, models, designs, articles, studies, reports and all documentation which are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susceptible to be protected under copyright law (hereafter the “</w:t>
      </w:r>
      <w:r>
        <w:rPr>
          <w:rFonts w:ascii="Times New Roman" w:cs="Times New Roman" w:eastAsia="Times New Roman" w:hAnsi="Times New Roman"/>
          <w:sz w:val="20"/>
          <w:szCs w:val="20"/>
          <w:u w:val="single" w:color="auto"/>
          <w:color w:val="auto"/>
        </w:rPr>
        <w:t>Copyrightable Works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Grantee hereby assigns to the Company, in consideration of a lump sum already included in his/her salary as provided in his/her employment contract the exploitation rights on the Copyrightable Works including (but without limitation) the rights of reproduction</w:t>
      </w:r>
    </w:p>
    <w:p>
      <w:pPr>
        <w:ind w:left="660"/>
        <w:spacing w:after="0" w:line="211" w:lineRule="auto"/>
        <w:rPr>
          <w:sz w:val="20"/>
          <w:szCs w:val="20"/>
          <w:color w:val="auto"/>
        </w:rPr>
      </w:pPr>
      <w:r>
        <w:rPr>
          <w:rFonts w:ascii="Times New Roman" w:cs="Times New Roman" w:eastAsia="Times New Roman" w:hAnsi="Times New Roman"/>
          <w:sz w:val="20"/>
          <w:szCs w:val="20"/>
          <w:color w:val="auto"/>
        </w:rPr>
        <w:t>on any analogical or digital media, in any form and format (whether known at the execution date of the contract or discovered in the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future), of communication to the public by any process (whether known at the execution date of my employment contract or discovered in the future), of distribution, rental, loan and sale, of filing any trademark, design or model applications on whole or any</w:t>
      </w:r>
    </w:p>
    <w:p>
      <w:pPr>
        <w:ind w:left="660"/>
        <w:spacing w:after="0" w:line="204" w:lineRule="auto"/>
        <w:rPr>
          <w:sz w:val="20"/>
          <w:szCs w:val="20"/>
          <w:color w:val="auto"/>
        </w:rPr>
      </w:pPr>
      <w:r>
        <w:rPr>
          <w:rFonts w:ascii="Times New Roman" w:cs="Times New Roman" w:eastAsia="Times New Roman" w:hAnsi="Times New Roman"/>
          <w:sz w:val="20"/>
          <w:szCs w:val="20"/>
          <w:color w:val="auto"/>
        </w:rPr>
        <w:t>part of the Copyrightable Works with the relevant authorities around the world, and of adaptation, translation and modification of the Copyrightable Works for any commercial or advertising purpose whether public or private. Media and processes shall include</w:t>
      </w:r>
    </w:p>
    <w:p>
      <w:pPr>
        <w:ind w:left="660"/>
        <w:spacing w:after="0" w:line="211" w:lineRule="auto"/>
        <w:rPr>
          <w:sz w:val="20"/>
          <w:szCs w:val="20"/>
          <w:color w:val="auto"/>
        </w:rPr>
      </w:pPr>
      <w:r>
        <w:rPr>
          <w:rFonts w:ascii="Times New Roman" w:cs="Times New Roman" w:eastAsia="Times New Roman" w:hAnsi="Times New Roman"/>
          <w:sz w:val="20"/>
          <w:szCs w:val="20"/>
          <w:color w:val="auto"/>
        </w:rPr>
        <w:t>without limitation, any means of communication, direct or indirect, spatial or terrestrial, by satellite, cable, or over the air and any</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wired or wireless network including the Internet. The assignment occurs as soon as the Copyrightable Works are created and is valid for the entire world for the duration of the copyright, including any legal prorogation for whatever reason. Grantee hereby assigns</w:t>
      </w:r>
    </w:p>
    <w:p>
      <w:pPr>
        <w:ind w:left="660"/>
        <w:spacing w:after="0" w:line="211" w:lineRule="auto"/>
        <w:rPr>
          <w:sz w:val="20"/>
          <w:szCs w:val="20"/>
          <w:color w:val="auto"/>
        </w:rPr>
      </w:pPr>
      <w:r>
        <w:rPr>
          <w:rFonts w:ascii="Times New Roman" w:cs="Times New Roman" w:eastAsia="Times New Roman" w:hAnsi="Times New Roman"/>
          <w:sz w:val="20"/>
          <w:szCs w:val="20"/>
          <w:color w:val="auto"/>
        </w:rPr>
        <w:t>and transfer to the Company all results from the use of Proprietary Information, premises or personal property (“</w:t>
      </w:r>
      <w:r>
        <w:rPr>
          <w:rFonts w:ascii="Times New Roman" w:cs="Times New Roman" w:eastAsia="Times New Roman" w:hAnsi="Times New Roman"/>
          <w:sz w:val="20"/>
          <w:szCs w:val="20"/>
          <w:u w:val="single" w:color="auto"/>
          <w:color w:val="auto"/>
        </w:rPr>
        <w:t>Company Related</w:t>
      </w:r>
    </w:p>
    <w:p>
      <w:pPr>
        <w:ind w:left="660"/>
        <w:spacing w:after="0" w:line="204" w:lineRule="auto"/>
        <w:rPr>
          <w:sz w:val="20"/>
          <w:szCs w:val="20"/>
          <w:color w:val="auto"/>
        </w:rPr>
      </w:pPr>
      <w:r>
        <w:rPr>
          <w:rFonts w:ascii="Times New Roman" w:cs="Times New Roman" w:eastAsia="Times New Roman" w:hAnsi="Times New Roman"/>
          <w:sz w:val="20"/>
          <w:szCs w:val="20"/>
          <w:u w:val="single" w:color="auto"/>
          <w:color w:val="auto"/>
        </w:rPr>
        <w:t>Developments</w:t>
      </w:r>
      <w:r>
        <w:rPr>
          <w:rFonts w:ascii="Times New Roman" w:cs="Times New Roman" w:eastAsia="Times New Roman" w:hAnsi="Times New Roman"/>
          <w:sz w:val="20"/>
          <w:szCs w:val="20"/>
          <w:color w:val="auto"/>
        </w:rPr>
        <w:t>”). Grantee further undertake to execute all documents and take all additional actions as may be requested by the Company to give full and proper effect to the present assignment, whether during or after the term of his/her employment, and</w:t>
      </w:r>
    </w:p>
    <w:p>
      <w:pPr>
        <w:ind w:left="660"/>
        <w:spacing w:after="0" w:line="211" w:lineRule="auto"/>
        <w:rPr>
          <w:sz w:val="20"/>
          <w:szCs w:val="20"/>
          <w:color w:val="auto"/>
        </w:rPr>
      </w:pPr>
      <w:r>
        <w:rPr>
          <w:rFonts w:ascii="Times New Roman" w:cs="Times New Roman" w:eastAsia="Times New Roman" w:hAnsi="Times New Roman"/>
          <w:sz w:val="20"/>
          <w:szCs w:val="20"/>
          <w:color w:val="auto"/>
        </w:rPr>
        <w:t>particularly to enter into a specific assignment agreement for each work, as soon as such work is created. To preclude any possible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uncertainty, Grantee has set forth on Exhibit attached hereto a complete list of Developments that he/she has, alone or jointly with others, conceived, developed or reduced to practice prior to the commencement of his/her employment with the Company that he/she</w:t>
      </w:r>
    </w:p>
    <w:p>
      <w:pPr>
        <w:ind w:left="660"/>
        <w:spacing w:after="0" w:line="211" w:lineRule="auto"/>
        <w:rPr>
          <w:sz w:val="20"/>
          <w:szCs w:val="20"/>
          <w:color w:val="auto"/>
        </w:rPr>
      </w:pPr>
      <w:r>
        <w:rPr>
          <w:rFonts w:ascii="Times New Roman" w:cs="Times New Roman" w:eastAsia="Times New Roman" w:hAnsi="Times New Roman"/>
          <w:sz w:val="20"/>
          <w:szCs w:val="20"/>
          <w:color w:val="auto"/>
        </w:rPr>
        <w:t>wishes to have excluded from the scope of this Agreement (“</w:t>
      </w:r>
      <w:r>
        <w:rPr>
          <w:rFonts w:ascii="Times New Roman" w:cs="Times New Roman" w:eastAsia="Times New Roman" w:hAnsi="Times New Roman"/>
          <w:sz w:val="20"/>
          <w:szCs w:val="20"/>
          <w:u w:val="single" w:color="auto"/>
          <w:color w:val="auto"/>
        </w:rPr>
        <w:t>Prior Inventions</w:t>
      </w:r>
      <w:r>
        <w:rPr>
          <w:rFonts w:ascii="Times New Roman" w:cs="Times New Roman" w:eastAsia="Times New Roman" w:hAnsi="Times New Roman"/>
          <w:sz w:val="20"/>
          <w:szCs w:val="20"/>
          <w:color w:val="auto"/>
        </w:rPr>
        <w:t>”). Grantee has also listed this Exhibit all patents and</w:t>
      </w:r>
    </w:p>
    <w:p>
      <w:pPr>
        <w:ind w:left="660"/>
        <w:spacing w:after="0" w:line="204" w:lineRule="auto"/>
        <w:rPr>
          <w:sz w:val="20"/>
          <w:szCs w:val="20"/>
          <w:color w:val="auto"/>
        </w:rPr>
      </w:pPr>
      <w:r>
        <w:rPr>
          <w:rFonts w:ascii="Times New Roman" w:cs="Times New Roman" w:eastAsia="Times New Roman" w:hAnsi="Times New Roman"/>
          <w:sz w:val="20"/>
          <w:szCs w:val="20"/>
          <w:color w:val="auto"/>
        </w:rPr>
        <w:t>patent applications in which he/she is named as an inventor, other than those which have been assigned to the Company (“</w:t>
      </w:r>
      <w:r>
        <w:rPr>
          <w:rFonts w:ascii="Times New Roman" w:cs="Times New Roman" w:eastAsia="Times New Roman" w:hAnsi="Times New Roman"/>
          <w:sz w:val="20"/>
          <w:szCs w:val="20"/>
          <w:u w:val="single" w:color="auto"/>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Patent Rights</w:t>
      </w:r>
      <w:r>
        <w:rPr>
          <w:rFonts w:ascii="Times New Roman" w:cs="Times New Roman" w:eastAsia="Times New Roman" w:hAnsi="Times New Roman"/>
          <w:sz w:val="20"/>
          <w:szCs w:val="20"/>
          <w:color w:val="auto"/>
        </w:rPr>
        <w:t>”). If no such disclosure is attached, Grantee represents that there are no Prior Inventions or Other Patent Rights. If, in</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course of Grantee’s employment with the Company, he/she incorporates a Prior Invention into a Company product, process or</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machine or other work done for the Company, Grantee hereby grant to the Company a nonexclusive, royalty-free, paid-up, worldwide license (with the full right to sublicense) for the duration of the rights to make, have made, modify, use, reproduce, sell,</w:t>
      </w:r>
    </w:p>
    <w:p>
      <w:pPr>
        <w:ind w:left="660"/>
        <w:spacing w:after="0" w:line="211" w:lineRule="auto"/>
        <w:rPr>
          <w:sz w:val="20"/>
          <w:szCs w:val="20"/>
          <w:color w:val="auto"/>
        </w:rPr>
      </w:pPr>
      <w:r>
        <w:rPr>
          <w:rFonts w:ascii="Times New Roman" w:cs="Times New Roman" w:eastAsia="Times New Roman" w:hAnsi="Times New Roman"/>
          <w:sz w:val="20"/>
          <w:szCs w:val="20"/>
          <w:color w:val="auto"/>
        </w:rPr>
        <w:t>offer for sale, publicly display and perform, import and otherwise fully exercise and exploit such Prior Invention. Notwithstanding</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the foregoing, Grantee will not incorporate, or permit to be incorporated, Prior Inventions in any Company-Related Development without the Company’s prior written consent. Grantee will not incorporate into any Company product or otherwise deliver to the</w:t>
      </w:r>
    </w:p>
    <w:p>
      <w:pPr>
        <w:spacing w:after="0" w:line="1" w:lineRule="exact"/>
        <w:rPr>
          <w:sz w:val="20"/>
          <w:szCs w:val="20"/>
          <w:color w:val="auto"/>
        </w:rPr>
      </w:pP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Company any open source software except as allowed pursuant to the Company’s open source software policy, which is available on the Company’s intranet.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2(e) is re-titled as “Non-Competition and Non-Solicitation of Customers and Sales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Section 2(e) replaces Section 2(e), Section 2(f), and Section 2(h) of the Confidentiality Provisions:</w:t>
      </w:r>
    </w:p>
    <w:p>
      <w:pPr>
        <w:spacing w:after="0" w:line="189" w:lineRule="exact"/>
        <w:rPr>
          <w:sz w:val="20"/>
          <w:szCs w:val="20"/>
          <w:color w:val="auto"/>
        </w:rPr>
      </w:pPr>
    </w:p>
    <w:p>
      <w:pPr>
        <w:jc w:val="both"/>
        <w:ind w:left="820" w:hanging="488"/>
        <w:spacing w:after="0" w:line="222" w:lineRule="auto"/>
        <w:tabs>
          <w:tab w:leader="none" w:pos="87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acknowledges and agrees that during his/her employment, and for six (6) months as from the date of Grantee’s actual departure from the Company, he/she has not and will not, directly or indirectly, engage in, provide, or perform any Employee Services on behalf of any person or entity (or, if organized into divisions or units, any distinct division or operating unit)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070" w:right="339" w:bottom="1440" w:gutter="0" w:footer="0" w:header="0"/>
        </w:sectPr>
      </w:pPr>
    </w:p>
    <w:bookmarkStart w:id="58" w:name="page59"/>
    <w:bookmarkEnd w:id="58"/>
    <w:p>
      <w:pPr>
        <w:jc w:val="both"/>
        <w:ind w:left="820" w:hanging="488"/>
        <w:spacing w:after="0" w:line="222" w:lineRule="auto"/>
        <w:tabs>
          <w:tab w:leader="none" w:pos="94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also acknowledges and agrees that during his/her employment, and for six (6) months after the Date of Termination, Grantee has not and will not directly or indirectly solicit Customers (as defined in Paragraph 1(c) above) with whom he/she had Material Contact (as defined in 1(g) above) for the purpose of providing goods and/or services competitive with the Company’s Business.</w:t>
      </w:r>
    </w:p>
    <w:p>
      <w:pPr>
        <w:spacing w:after="0" w:line="161" w:lineRule="exact"/>
        <w:rPr>
          <w:rFonts w:ascii="Times New Roman" w:cs="Times New Roman" w:eastAsia="Times New Roman" w:hAnsi="Times New Roman"/>
          <w:sz w:val="20"/>
          <w:szCs w:val="20"/>
          <w:color w:val="auto"/>
        </w:rPr>
      </w:pPr>
    </w:p>
    <w:p>
      <w:pPr>
        <w:jc w:val="both"/>
        <w:ind w:left="820" w:hanging="488"/>
        <w:spacing w:after="0" w:line="216" w:lineRule="auto"/>
        <w:tabs>
          <w:tab w:leader="none" w:pos="91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further acknowledges and agrees that during his/her employment, and for a period of six (6) months after the Date of Termination, Grantee has not and will not, directly or indirectly, whether on behalf of Grantee or others, solicit any of the Company’s Sales Agents for the purpose of disrupting their relationship with the Company and/or selling and/or facilitating the sale of products competitive with the Company’s Business. For purposes of this Section 2, a “Sales Agent” is any third-party agency, and/or its representatives, with which or whom the Company has contracted for the purpose of facilitating the sale of the Company’s products during the last twenty-four (24) months of Grantee’s employment with the Company.</w:t>
      </w:r>
    </w:p>
    <w:p>
      <w:pPr>
        <w:spacing w:after="0" w:line="162" w:lineRule="exact"/>
        <w:rPr>
          <w:rFonts w:ascii="Times New Roman" w:cs="Times New Roman" w:eastAsia="Times New Roman" w:hAnsi="Times New Roman"/>
          <w:sz w:val="20"/>
          <w:szCs w:val="20"/>
          <w:color w:val="auto"/>
        </w:rPr>
      </w:pPr>
    </w:p>
    <w:p>
      <w:pPr>
        <w:jc w:val="both"/>
        <w:ind w:left="820" w:hanging="488"/>
        <w:spacing w:after="0" w:line="217" w:lineRule="auto"/>
        <w:tabs>
          <w:tab w:leader="none" w:pos="98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Grantee’s employment is terminated, for any reason whatsoever, during this post-employment period of non-competition, under the condition that Grantee complies with this non-competition obligation, Grantee will receive a monthly gross indemnity as determined by the Company pursuant to local law, to be no less than thirty three percent (33%) of his/her average gross monthly salary received over the last 12 months prior to termination of employment, it being understood that this indemnity will be subject to social security contributions.</w:t>
      </w:r>
    </w:p>
    <w:p>
      <w:pPr>
        <w:spacing w:after="0" w:line="161" w:lineRule="exact"/>
        <w:rPr>
          <w:rFonts w:ascii="Times New Roman" w:cs="Times New Roman" w:eastAsia="Times New Roman" w:hAnsi="Times New Roman"/>
          <w:sz w:val="20"/>
          <w:szCs w:val="20"/>
          <w:color w:val="auto"/>
        </w:rPr>
      </w:pPr>
    </w:p>
    <w:p>
      <w:pPr>
        <w:jc w:val="both"/>
        <w:ind w:left="820" w:hanging="488"/>
        <w:spacing w:after="0" w:line="214" w:lineRule="auto"/>
        <w:tabs>
          <w:tab w:leader="none" w:pos="84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agreed that, in any case, the Company shall be entitled, at the time of termination of 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eight</w:t>
      </w:r>
    </w:p>
    <w:p>
      <w:pPr>
        <w:ind w:left="820"/>
        <w:spacing w:after="0" w:line="22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days following the notification of the termination of the employment agreement and no later than Grantee’s last day of effective work.</w:t>
      </w:r>
    </w:p>
    <w:p>
      <w:pPr>
        <w:spacing w:after="0" w:line="161" w:lineRule="exact"/>
        <w:rPr>
          <w:rFonts w:ascii="Times New Roman" w:cs="Times New Roman" w:eastAsia="Times New Roman" w:hAnsi="Times New Roman"/>
          <w:sz w:val="20"/>
          <w:szCs w:val="20"/>
          <w:color w:val="auto"/>
        </w:rPr>
      </w:pPr>
    </w:p>
    <w:p>
      <w:pPr>
        <w:jc w:val="both"/>
        <w:ind w:left="820" w:hanging="488"/>
        <w:spacing w:after="0" w:line="226" w:lineRule="auto"/>
        <w:tabs>
          <w:tab w:leader="none" w:pos="89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breaches the post-employment non-competition obligation, the Company will no longer be required to pay the gross monthly indemnity and Grantee will be required to reimburse the Company for any amount that he/she may have been granted in this respect.</w:t>
      </w:r>
    </w:p>
    <w:p>
      <w:pPr>
        <w:spacing w:after="0" w:line="160" w:lineRule="exact"/>
        <w:rPr>
          <w:rFonts w:ascii="Times New Roman" w:cs="Times New Roman" w:eastAsia="Times New Roman" w:hAnsi="Times New Roman"/>
          <w:sz w:val="20"/>
          <w:szCs w:val="20"/>
          <w:color w:val="auto"/>
        </w:rPr>
      </w:pPr>
    </w:p>
    <w:p>
      <w:pPr>
        <w:jc w:val="both"/>
        <w:ind w:left="820" w:hanging="488"/>
        <w:spacing w:after="0" w:line="220" w:lineRule="auto"/>
        <w:tabs>
          <w:tab w:leader="none" w:pos="91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Given the extreme sensitiveness of the know-how and technical and commercial information to which Grantee has 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2(h) of the Confidentiality Provisions is deleted.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4 of the Confidentiality Provisions:</w:t>
      </w:r>
    </w:p>
    <w:p>
      <w:pPr>
        <w:spacing w:after="0" w:line="171"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requests, demands and other communications required or permitted hereunder shall be in writing and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been duly given when delivered or seven days after mailing if mailed first class, certified mail, postage prepaid, addressed as follows:</w:t>
      </w:r>
    </w:p>
    <w:p>
      <w:pPr>
        <w:spacing w:after="0" w:line="147" w:lineRule="exact"/>
        <w:rPr>
          <w:sz w:val="20"/>
          <w:szCs w:val="20"/>
          <w:color w:val="auto"/>
        </w:rPr>
      </w:pPr>
    </w:p>
    <w:p>
      <w:pPr>
        <w:ind w:left="1280"/>
        <w:spacing w:after="0"/>
        <w:tabs>
          <w:tab w:leader="none" w:pos="2800" w:val="left"/>
        </w:tabs>
        <w:rPr>
          <w:sz w:val="20"/>
          <w:szCs w:val="20"/>
          <w:color w:val="auto"/>
        </w:rPr>
      </w:pPr>
      <w:r>
        <w:rPr>
          <w:rFonts w:ascii="Times New Roman" w:cs="Times New Roman" w:eastAsia="Times New Roman" w:hAnsi="Times New Roman"/>
          <w:sz w:val="20"/>
          <w:szCs w:val="20"/>
          <w:color w:val="auto"/>
        </w:rPr>
        <w:t>If the Company:</w:t>
      </w:r>
      <w:r>
        <w:rPr>
          <w:sz w:val="20"/>
          <w:szCs w:val="20"/>
          <w:color w:val="auto"/>
        </w:rPr>
        <w:tab/>
      </w:r>
      <w:r>
        <w:rPr>
          <w:rFonts w:ascii="Times New Roman" w:cs="Times New Roman" w:eastAsia="Times New Roman" w:hAnsi="Times New Roman"/>
          <w:sz w:val="19"/>
          <w:szCs w:val="19"/>
          <w:color w:val="auto"/>
        </w:rPr>
        <w:t>To the principal place of business of Company in France.</w:t>
      </w:r>
    </w:p>
    <w:p>
      <w:pPr>
        <w:spacing w:after="0" w:line="189" w:lineRule="exact"/>
        <w:rPr>
          <w:sz w:val="20"/>
          <w:szCs w:val="20"/>
          <w:color w:val="auto"/>
        </w:rPr>
      </w:pPr>
    </w:p>
    <w:p>
      <w:pPr>
        <w:ind w:left="1280"/>
        <w:spacing w:after="0"/>
        <w:tabs>
          <w:tab w:leader="none" w:pos="2760" w:val="left"/>
        </w:tabs>
        <w:rPr>
          <w:sz w:val="20"/>
          <w:szCs w:val="20"/>
          <w:color w:val="auto"/>
        </w:rPr>
      </w:pPr>
      <w:r>
        <w:rPr>
          <w:rFonts w:ascii="Times New Roman" w:cs="Times New Roman" w:eastAsia="Times New Roman" w:hAnsi="Times New Roman"/>
          <w:sz w:val="20"/>
          <w:szCs w:val="20"/>
          <w:color w:val="auto"/>
        </w:rPr>
        <w:t>If to Grantee:</w:t>
      </w:r>
      <w:r>
        <w:rPr>
          <w:sz w:val="20"/>
          <w:szCs w:val="20"/>
          <w:color w:val="auto"/>
        </w:rPr>
        <w:tab/>
      </w:r>
      <w:r>
        <w:rPr>
          <w:rFonts w:ascii="Times New Roman" w:cs="Times New Roman" w:eastAsia="Times New Roman" w:hAnsi="Times New Roman"/>
          <w:sz w:val="19"/>
          <w:szCs w:val="19"/>
          <w:color w:val="auto"/>
        </w:rPr>
        <w:t>To his or her last known address on file with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7 of the Confidentiality Provisions:</w:t>
      </w:r>
    </w:p>
    <w:p>
      <w:pPr>
        <w:spacing w:after="0" w:line="171"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Amendments and Modifications. </w:t>
      </w:r>
      <w:r>
        <w:rPr>
          <w:rFonts w:ascii="Times New Roman" w:cs="Times New Roman" w:eastAsia="Times New Roman" w:hAnsi="Times New Roman"/>
          <w:sz w:val="19"/>
          <w:szCs w:val="19"/>
          <w:color w:val="auto"/>
        </w:rPr>
        <w:t>The Confidentiality Provisions and any Exhibit hereto may be amended or modified only by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writing signed by Grantee and the Company, which makes specific reference to the Confidentiality Provisions provided however that</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the covenant of Section 2(e) can be waived unilaterally by the Company under the conditions specified therein. However, this Section does not affect a court of competent jurisdiction or arbitrator’s ability to modify the Confidentiality Provisions, as the case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may be, in the event that either party initiates legal proceedings that relate in any way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075"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0"/>
          <w:szCs w:val="20"/>
          <w:color w:val="auto"/>
        </w:rPr>
        <w:t>Confidentiality Provisions, including any action brought by either party seeking to enforce any provision set forth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8 of the Confidentiality Provisions:</w:t>
      </w:r>
    </w:p>
    <w:p>
      <w:pPr>
        <w:spacing w:after="0" w:line="171"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Governing Law and Venue. </w:t>
      </w:r>
      <w:r>
        <w:rPr>
          <w:rFonts w:ascii="Times New Roman" w:cs="Times New Roman" w:eastAsia="Times New Roman" w:hAnsi="Times New Roman"/>
          <w:sz w:val="20"/>
          <w:szCs w:val="20"/>
          <w:color w:val="auto"/>
        </w:rPr>
        <w:t>The validity and effect of the Confidentiality Provisions shall be governed by and construed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enforced in accordance with the laws of France.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12 of the Confidentiality Provisions:</w:t>
      </w:r>
    </w:p>
    <w:p>
      <w:pPr>
        <w:spacing w:after="0" w:line="171"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Language. </w:t>
      </w:r>
      <w:r>
        <w:rPr>
          <w:rFonts w:ascii="Times New Roman" w:cs="Times New Roman" w:eastAsia="Times New Roman" w:hAnsi="Times New Roman"/>
          <w:sz w:val="20"/>
          <w:szCs w:val="20"/>
          <w:color w:val="auto"/>
        </w:rPr>
        <w:t>The parties acknowledge that they have requested and are satisfied that the Confidentiality Provisions and all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be drawn up in the French language, the English version being provided for information purposes only. In the event of a contradiction between the two versions, the French version shall prevail.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1(b) of the Confidentiality Provisions:</w:t>
      </w:r>
    </w:p>
    <w:p>
      <w:pPr>
        <w:spacing w:after="0" w:line="185" w:lineRule="exact"/>
        <w:rPr>
          <w:sz w:val="20"/>
          <w:szCs w:val="20"/>
          <w:color w:val="auto"/>
        </w:rPr>
      </w:pPr>
    </w:p>
    <w:p>
      <w:pPr>
        <w:jc w:val="both"/>
        <w:ind w:left="64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means technical or nontechnical data, a formula, a pattern, a compilation, a program, a device, a method,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technique, a drawing, a process, financial data, financial plans, product plans, or a list of actual or potential customers or suppliers</w:t>
      </w:r>
    </w:p>
    <w:p>
      <w:pPr>
        <w:ind w:left="640"/>
        <w:spacing w:after="0" w:line="213" w:lineRule="auto"/>
        <w:rPr>
          <w:sz w:val="20"/>
          <w:szCs w:val="20"/>
          <w:color w:val="auto"/>
        </w:rPr>
      </w:pPr>
      <w:r>
        <w:rPr>
          <w:rFonts w:ascii="Times New Roman" w:cs="Times New Roman" w:eastAsia="Times New Roman" w:hAnsi="Times New Roman"/>
          <w:sz w:val="20"/>
          <w:szCs w:val="20"/>
          <w:color w:val="auto"/>
        </w:rPr>
        <w:t>which is not commonly known by or available to the public and which information: (A) derives economic value, actual or potential,</w:t>
      </w:r>
    </w:p>
    <w:p>
      <w:pPr>
        <w:jc w:val="both"/>
        <w:ind w:left="640" w:right="20"/>
        <w:spacing w:after="0" w:line="221" w:lineRule="auto"/>
        <w:rPr>
          <w:sz w:val="20"/>
          <w:szCs w:val="20"/>
          <w:color w:val="auto"/>
        </w:rPr>
      </w:pPr>
      <w:r>
        <w:rPr>
          <w:rFonts w:ascii="Times New Roman" w:cs="Times New Roman" w:eastAsia="Times New Roman" w:hAnsi="Times New Roman"/>
          <w:sz w:val="20"/>
          <w:szCs w:val="20"/>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1(h) of the Confidentiality Provisions:</w:t>
      </w:r>
    </w:p>
    <w:p>
      <w:pPr>
        <w:spacing w:after="0" w:line="185" w:lineRule="exact"/>
        <w:rPr>
          <w:sz w:val="20"/>
          <w:szCs w:val="20"/>
          <w:color w:val="auto"/>
        </w:rPr>
      </w:pPr>
    </w:p>
    <w:p>
      <w:pPr>
        <w:jc w:val="both"/>
        <w:ind w:left="64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“Material Contact” </w:t>
      </w:r>
      <w:r>
        <w:rPr>
          <w:rFonts w:ascii="Times New Roman" w:cs="Times New Roman" w:eastAsia="Times New Roman" w:hAnsi="Times New Roman"/>
          <w:sz w:val="19"/>
          <w:szCs w:val="19"/>
          <w:color w:val="auto"/>
        </w:rPr>
        <w:t>means a contact between an employee and each Customer or potential Customer: with whom or which Grantee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dealt on behalf of the Company; whose dealings with the Company were coordinated or supervised by Grantee; about whom Grantee</w:t>
      </w:r>
    </w:p>
    <w:p>
      <w:pPr>
        <w:spacing w:after="0" w:line="1"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 xml:space="preserve">obtained confidential information in the ordinary course of business as a result of such employee’s association with the Company; </w:t>
      </w:r>
      <w:r>
        <w:rPr>
          <w:rFonts w:ascii="Times New Roman" w:cs="Times New Roman" w:eastAsia="Times New Roman" w:hAnsi="Times New Roman"/>
          <w:sz w:val="20"/>
          <w:szCs w:val="20"/>
          <w:u w:val="single" w:color="auto"/>
          <w:color w:val="auto"/>
        </w:rPr>
        <w:t>and/or</w:t>
      </w:r>
      <w:r>
        <w:rPr>
          <w:rFonts w:ascii="Times New Roman" w:cs="Times New Roman" w:eastAsia="Times New Roman" w:hAnsi="Times New Roman"/>
          <w:sz w:val="20"/>
          <w:szCs w:val="20"/>
          <w:color w:val="auto"/>
        </w:rPr>
        <w:t xml:space="preserve"> who receives products or services authorized by the Company, the sale or provision of which results or resulted in</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compensation, commissions, or earnings for Grantee within two years prior to the date of the Date of Termination.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1(i) of the Confidentiality Provisions:</w:t>
      </w:r>
    </w:p>
    <w:p>
      <w:pPr>
        <w:spacing w:after="0" w:line="171" w:lineRule="exact"/>
        <w:rPr>
          <w:sz w:val="20"/>
          <w:szCs w:val="20"/>
          <w:color w:val="auto"/>
        </w:rPr>
      </w:pPr>
    </w:p>
    <w:p>
      <w:pPr>
        <w:ind w:left="640"/>
        <w:spacing w:after="0" w:line="242" w:lineRule="exact"/>
        <w:rPr>
          <w:sz w:val="20"/>
          <w:szCs w:val="20"/>
          <w:color w:val="auto"/>
        </w:rPr>
      </w:pPr>
      <w:r>
        <w:rPr>
          <w:rFonts w:ascii="Times New Roman" w:cs="Times New Roman" w:eastAsia="Times New Roman" w:hAnsi="Times New Roman"/>
          <w:sz w:val="20"/>
          <w:szCs w:val="20"/>
          <w:b w:val="1"/>
          <w:bCs w:val="1"/>
          <w:color w:val="auto"/>
        </w:rPr>
        <w:t xml:space="preserve">"Termination for Cause"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"Terminated for Cause" </w:t>
      </w:r>
      <w:r>
        <w:rPr>
          <w:rFonts w:ascii="Times New Roman" w:cs="Times New Roman" w:eastAsia="Times New Roman" w:hAnsi="Times New Roman"/>
          <w:sz w:val="20"/>
          <w:szCs w:val="20"/>
          <w:color w:val="auto"/>
        </w:rPr>
        <w:t>means any termination within the meaning of Section 626 German Civil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w:t>
      </w:r>
      <w:r>
        <w:rPr>
          <w:rFonts w:ascii="Times New Roman" w:cs="Times New Roman" w:eastAsia="Times New Roman" w:hAnsi="Times New Roman"/>
          <w:sz w:val="20"/>
          <w:szCs w:val="20"/>
          <w:i w:val="1"/>
          <w:iCs w:val="1"/>
          <w:color w:val="auto"/>
        </w:rPr>
        <w:t>B</w:t>
      </w:r>
      <w:r>
        <w:rPr>
          <w:rFonts w:ascii="MS PGothic" w:cs="MS PGothic" w:eastAsia="MS PGothic" w:hAnsi="MS PGothic"/>
          <w:sz w:val="20"/>
          <w:szCs w:val="20"/>
          <w:i w:val="1"/>
          <w:iCs w:val="1"/>
          <w:color w:val="auto"/>
        </w:rPr>
        <w:t>✔</w:t>
      </w:r>
      <w:r>
        <w:rPr>
          <w:rFonts w:ascii="Times New Roman" w:cs="Times New Roman" w:eastAsia="Times New Roman" w:hAnsi="Times New Roman"/>
          <w:sz w:val="20"/>
          <w:szCs w:val="20"/>
          <w:i w:val="1"/>
          <w:iCs w:val="1"/>
          <w:color w:val="auto"/>
        </w:rPr>
        <w:t>rgerliches Gesetzbuch, BGB</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1(j) of the Confidentiality Provisions is deleted.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Except for patentable inventions which are subject to and are dealt with in accordance with the German Act on</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Employee Inventions (</w:t>
      </w:r>
      <w:r>
        <w:rPr>
          <w:rFonts w:ascii="Times New Roman" w:cs="Times New Roman" w:eastAsia="Times New Roman" w:hAnsi="Times New Roman"/>
          <w:sz w:val="20"/>
          <w:szCs w:val="20"/>
          <w:i w:val="1"/>
          <w:iCs w:val="1"/>
          <w:color w:val="auto"/>
        </w:rPr>
        <w:t>ArbNErfG</w:t>
      </w:r>
      <w:r>
        <w:rPr>
          <w:rFonts w:ascii="Times New Roman" w:cs="Times New Roman" w:eastAsia="Times New Roman" w:hAnsi="Times New Roman"/>
          <w:sz w:val="20"/>
          <w:szCs w:val="20"/>
          <w:color w:val="auto"/>
        </w:rPr>
        <w:t>), all rights of works (including computer software programs, object codes, source codes and associated documentation) and of all inventions, knowledge and experience of technical and commercial nature which Grantee</w:t>
      </w:r>
    </w:p>
    <w:p>
      <w:pPr>
        <w:ind w:left="660"/>
        <w:spacing w:after="0" w:line="211" w:lineRule="auto"/>
        <w:rPr>
          <w:sz w:val="20"/>
          <w:szCs w:val="20"/>
          <w:color w:val="auto"/>
        </w:rPr>
      </w:pPr>
      <w:r>
        <w:rPr>
          <w:rFonts w:ascii="Times New Roman" w:cs="Times New Roman" w:eastAsia="Times New Roman" w:hAnsi="Times New Roman"/>
          <w:sz w:val="20"/>
          <w:szCs w:val="20"/>
          <w:color w:val="auto"/>
        </w:rPr>
        <w:t>creates during the term of his/her employment relationship as part of his/her duties is worldwide the sole property of the Company,</w:t>
      </w:r>
    </w:p>
    <w:p>
      <w:pPr>
        <w:spacing w:after="0" w:line="1"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including the right of reproduction, distribution, sale, the grant of usage rights – also of exclusive nature - to third parties, processing and further development. To the extent legally possible, Grantee transfers and assigns these rights to the Company, alternatively</w:t>
      </w:r>
    </w:p>
    <w:p>
      <w:pPr>
        <w:ind w:left="660"/>
        <w:spacing w:after="0" w:line="211" w:lineRule="auto"/>
        <w:rPr>
          <w:sz w:val="20"/>
          <w:szCs w:val="20"/>
          <w:color w:val="auto"/>
        </w:rPr>
      </w:pPr>
      <w:r>
        <w:rPr>
          <w:rFonts w:ascii="Times New Roman" w:cs="Times New Roman" w:eastAsia="Times New Roman" w:hAnsi="Times New Roman"/>
          <w:sz w:val="20"/>
          <w:szCs w:val="20"/>
          <w:color w:val="auto"/>
        </w:rPr>
        <w:t>Grantee grants the Company an exclusive, fully paid-up, royalty-free, world-wide license for all types of exploitation and for the</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entire period of protection of their respective intellectual property rights, in particular copyright. The Company is also entitled to make modifications and additions to the copyrightable works created by Grantee. Grantee waives the right to be named as the author</w:t>
      </w: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in connection with the work. The transfer of rights is deemed fully compensated by the remuneration received under the employment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075" w:right="339" w:bottom="1440" w:gutter="0" w:footer="0" w:header="0"/>
        </w:sectPr>
      </w:pPr>
    </w:p>
    <w:bookmarkStart w:id="60" w:name="page61"/>
    <w:bookmarkEnd w:id="60"/>
    <w:p>
      <w:pPr>
        <w:ind w:right="4000"/>
        <w:spacing w:after="0" w:line="452" w:lineRule="auto"/>
        <w:rPr>
          <w:sz w:val="20"/>
          <w:szCs w:val="20"/>
          <w:color w:val="auto"/>
        </w:rPr>
      </w:pPr>
      <w:r>
        <w:rPr>
          <w:rFonts w:ascii="Times New Roman" w:cs="Times New Roman" w:eastAsia="Times New Roman" w:hAnsi="Times New Roman"/>
          <w:sz w:val="19"/>
          <w:szCs w:val="19"/>
          <w:color w:val="auto"/>
        </w:rPr>
        <w:t>Section 2(e) is re-titled as “Post-Contractual Non-Compete Covenant, Contractual Penalty” The following provisions replace Sections 2(e) and 2(f) of the Confidentiality Provisions:</w:t>
      </w:r>
    </w:p>
    <w:p>
      <w:pPr>
        <w:spacing w:after="0" w:line="1" w:lineRule="exact"/>
        <w:rPr>
          <w:sz w:val="20"/>
          <w:szCs w:val="20"/>
          <w:color w:val="auto"/>
        </w:rPr>
      </w:pPr>
    </w:p>
    <w:p>
      <w:pPr>
        <w:jc w:val="both"/>
        <w:ind w:left="1060" w:hanging="404"/>
        <w:spacing w:after="0" w:line="230" w:lineRule="auto"/>
        <w:tabs>
          <w:tab w:leader="none" w:pos="10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is obliged, for a period of two years after the termination of the employment, not to engage in a business which is in competition with the Company’s Business. Also included are such areas of work, which are relevantly affected by the activities of Grantee under his/her employment contract.</w:t>
      </w:r>
    </w:p>
    <w:p>
      <w:pPr>
        <w:spacing w:after="0" w:line="149" w:lineRule="exact"/>
        <w:rPr>
          <w:sz w:val="20"/>
          <w:szCs w:val="20"/>
          <w:color w:val="auto"/>
        </w:rPr>
      </w:pPr>
    </w:p>
    <w:p>
      <w:pPr>
        <w:ind w:left="1060" w:hanging="404"/>
        <w:spacing w:after="0"/>
        <w:rPr>
          <w:sz w:val="20"/>
          <w:szCs w:val="20"/>
          <w:color w:val="auto"/>
        </w:rPr>
      </w:pPr>
      <w:r>
        <w:rPr>
          <w:rFonts w:ascii="Times New Roman" w:cs="Times New Roman" w:eastAsia="Times New Roman" w:hAnsi="Times New Roman"/>
          <w:sz w:val="20"/>
          <w:szCs w:val="20"/>
          <w:color w:val="auto"/>
        </w:rPr>
        <w:t>Should the areas of activity change during the term of employment, those activities Grantee was engaged in while performing his/her working duties during the past two years shall be deemed to be included in the non-compete covenant.</w:t>
      </w:r>
    </w:p>
    <w:p>
      <w:pPr>
        <w:spacing w:after="0" w:line="161" w:lineRule="exact"/>
        <w:rPr>
          <w:sz w:val="20"/>
          <w:szCs w:val="20"/>
          <w:color w:val="auto"/>
        </w:rPr>
      </w:pPr>
    </w:p>
    <w:p>
      <w:pPr>
        <w:ind w:left="1060" w:hanging="404"/>
        <w:spacing w:after="0" w:line="233" w:lineRule="auto"/>
        <w:tabs>
          <w:tab w:leader="none" w:pos="119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Similarly, Grantee is not permitted, during this period of time, to set up or to participate in any competing enterprise as a majority shareholder or as the holder of a blocking minority within such enterprise.</w:t>
      </w:r>
    </w:p>
    <w:p>
      <w:pPr>
        <w:spacing w:after="0" w:line="160" w:lineRule="exact"/>
        <w:rPr>
          <w:rFonts w:ascii="Times New Roman" w:cs="Times New Roman" w:eastAsia="Times New Roman" w:hAnsi="Times New Roman"/>
          <w:sz w:val="20"/>
          <w:szCs w:val="20"/>
          <w:color w:val="auto"/>
        </w:rPr>
      </w:pPr>
    </w:p>
    <w:p>
      <w:pPr>
        <w:jc w:val="both"/>
        <w:ind w:left="1060" w:hanging="404"/>
        <w:spacing w:after="0" w:line="222" w:lineRule="auto"/>
        <w:tabs>
          <w:tab w:leader="none" w:pos="11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two years after the termination of the employment relationship, Grantee is obliged not to carry out work for such clients who belonged to the customer/client list of the Company during the past two years before the termination of the employment relationship. The non-compete covenant also applies for the benefit of any businesses connected with the Company with which Grantee dealt either directly or indirectly.</w:t>
      </w:r>
    </w:p>
    <w:p>
      <w:pPr>
        <w:spacing w:after="0" w:line="161"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non-compete covenant applies for the Territory.</w:t>
      </w:r>
    </w:p>
    <w:p>
      <w:pPr>
        <w:spacing w:after="0" w:line="175" w:lineRule="exact"/>
        <w:rPr>
          <w:rFonts w:ascii="Times New Roman" w:cs="Times New Roman" w:eastAsia="Times New Roman" w:hAnsi="Times New Roman"/>
          <w:sz w:val="20"/>
          <w:szCs w:val="20"/>
          <w:color w:val="auto"/>
        </w:rPr>
      </w:pPr>
    </w:p>
    <w:p>
      <w:pPr>
        <w:ind w:left="1060" w:right="20" w:hanging="404"/>
        <w:spacing w:after="0"/>
        <w:tabs>
          <w:tab w:leader="none" w:pos="109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duration of the non-compete covenant, the Company is obliged to pay Grantee compensation in the amount of the legal minimum compensation. The compensation is to be paid in monthly instalments at the end of each month.</w:t>
      </w:r>
    </w:p>
    <w:p>
      <w:pPr>
        <w:spacing w:after="0" w:line="161" w:lineRule="exact"/>
        <w:rPr>
          <w:sz w:val="20"/>
          <w:szCs w:val="20"/>
          <w:color w:val="auto"/>
        </w:rPr>
      </w:pPr>
    </w:p>
    <w:p>
      <w:pPr>
        <w:jc w:val="right"/>
        <w:ind w:left="660"/>
        <w:spacing w:after="0" w:line="215" w:lineRule="auto"/>
        <w:rPr>
          <w:sz w:val="20"/>
          <w:szCs w:val="20"/>
          <w:color w:val="auto"/>
        </w:rPr>
      </w:pPr>
      <w:r>
        <w:rPr>
          <w:rFonts w:ascii="Times New Roman" w:cs="Times New Roman" w:eastAsia="Times New Roman" w:hAnsi="Times New Roman"/>
          <w:sz w:val="20"/>
          <w:szCs w:val="20"/>
          <w:color w:val="auto"/>
        </w:rPr>
        <w:t>In case the violation of the non-competition clause consists in a continuing obligation, in particular in the conclusion of an employment, service, agency or consultancy agreement with a company, which is in competition with the Company or in case</w:t>
      </w:r>
    </w:p>
    <w:p>
      <w:pPr>
        <w:spacing w:after="0" w:line="1" w:lineRule="exact"/>
        <w:rPr>
          <w:sz w:val="20"/>
          <w:szCs w:val="20"/>
          <w:color w:val="auto"/>
        </w:rPr>
      </w:pPr>
    </w:p>
    <w:p>
      <w:pPr>
        <w:ind w:left="1060"/>
        <w:spacing w:after="0" w:line="221" w:lineRule="auto"/>
        <w:rPr>
          <w:sz w:val="20"/>
          <w:szCs w:val="20"/>
          <w:color w:val="auto"/>
        </w:rPr>
      </w:pPr>
      <w:r>
        <w:rPr>
          <w:rFonts w:ascii="Times New Roman" w:cs="Times New Roman" w:eastAsia="Times New Roman" w:hAnsi="Times New Roman"/>
          <w:sz w:val="20"/>
          <w:szCs w:val="20"/>
          <w:color w:val="auto"/>
        </w:rPr>
        <w:t>Grantee maintains a capital interest in such, the contractual penalty shall accrue for each new month of activity or interest ("continuing violation").</w:t>
      </w:r>
    </w:p>
    <w:p>
      <w:pPr>
        <w:spacing w:after="0" w:line="162" w:lineRule="exact"/>
        <w:rPr>
          <w:sz w:val="20"/>
          <w:szCs w:val="20"/>
          <w:color w:val="auto"/>
        </w:rPr>
      </w:pPr>
    </w:p>
    <w:p>
      <w:pPr>
        <w:jc w:val="both"/>
        <w:ind w:left="1060" w:hanging="404"/>
        <w:spacing w:after="0" w:line="226" w:lineRule="auto"/>
        <w:tabs>
          <w:tab w:leader="none" w:pos="115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time Grantee breaches the obligations described under Sections 2(e)(i) to 2(e)(iv), he/she shall pay a contractual penalty in the amount of one monthly gross salary. The amount of the contractual penalty depends on the monthly gross base salary Grantee last received under the employment contract.</w:t>
      </w:r>
    </w:p>
    <w:p>
      <w:pPr>
        <w:spacing w:after="0" w:line="160" w:lineRule="exact"/>
        <w:rPr>
          <w:sz w:val="20"/>
          <w:szCs w:val="20"/>
          <w:color w:val="auto"/>
        </w:rPr>
      </w:pPr>
    </w:p>
    <w:p>
      <w:pPr>
        <w:ind w:left="1060" w:hanging="404"/>
        <w:spacing w:after="0"/>
        <w:tabs>
          <w:tab w:leader="none" w:pos="113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of breach of the non-competition clause, the Company's obligation to pay compensation according to Section 2(e)(v) shall be suspended.</w:t>
      </w:r>
    </w:p>
    <w:p>
      <w:pPr>
        <w:spacing w:after="0" w:line="147"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right to further damages shall not be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2(f) of the Confidentiality Provisions is deleted.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2(h) of the Confidentiality Provisions is deleted.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7 of the Confidentiality Provisions:</w:t>
      </w:r>
    </w:p>
    <w:p>
      <w:pPr>
        <w:spacing w:after="0" w:line="185" w:lineRule="exact"/>
        <w:rPr>
          <w:sz w:val="20"/>
          <w:szCs w:val="20"/>
          <w:color w:val="auto"/>
        </w:rPr>
      </w:pPr>
    </w:p>
    <w:p>
      <w:pPr>
        <w:ind w:left="74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Any changes of or amendments to the Confidentiality Provisions and any Exhibit, including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must be made in writing in order to become legally effective. This shall not apply to individual agreements.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 of the provisions hereafter, the "Company" means the local entity in Italy by whom Grantee is employed.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1(b)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075" w:right="339"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means technical or nontechnical data, a formula, a pattern, a compilation, a program, a device, a method, a</w:t>
      </w:r>
    </w:p>
    <w:p>
      <w:pPr>
        <w:jc w:val="both"/>
        <w:ind w:left="580"/>
        <w:spacing w:after="0" w:line="204" w:lineRule="auto"/>
        <w:rPr>
          <w:sz w:val="20"/>
          <w:szCs w:val="20"/>
          <w:color w:val="auto"/>
        </w:rPr>
      </w:pPr>
      <w:r>
        <w:rPr>
          <w:rFonts w:ascii="Times New Roman" w:cs="Times New Roman" w:eastAsia="Times New Roman" w:hAnsi="Times New Roman"/>
          <w:sz w:val="20"/>
          <w:szCs w:val="20"/>
          <w:color w:val="auto"/>
        </w:rPr>
        <w:t>technique, a drawing, a process, financial data, financial plans, product plans, or a list of actual or potential customers or suppliers which is not commonly known by or available to the public and which information: (A) derives economic value, actual or potential,</w:t>
      </w:r>
    </w:p>
    <w:p>
      <w:pPr>
        <w:spacing w:after="0" w:line="1" w:lineRule="exact"/>
        <w:rPr>
          <w:sz w:val="20"/>
          <w:szCs w:val="20"/>
          <w:color w:val="auto"/>
        </w:rPr>
      </w:pPr>
    </w:p>
    <w:p>
      <w:pPr>
        <w:ind w:left="580"/>
        <w:spacing w:after="0" w:line="228" w:lineRule="auto"/>
        <w:rPr>
          <w:sz w:val="20"/>
          <w:szCs w:val="20"/>
          <w:color w:val="auto"/>
        </w:rPr>
      </w:pPr>
      <w:r>
        <w:rPr>
          <w:rFonts w:ascii="Times New Roman" w:cs="Times New Roman" w:eastAsia="Times New Roman" w:hAnsi="Times New Roman"/>
          <w:sz w:val="20"/>
          <w:szCs w:val="20"/>
          <w:color w:val="auto"/>
        </w:rPr>
        <w:t>from not being generally known to, and not being readily ascertainable by proper means by, other persons who obtain economic value from its disclosure or use; and (B) is the subject of efforts that are reasonable under the circumstances to maintain its secrecy.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1(g) of the Confidentiality Provisions: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means the location in which the non-competition restriction will apply, hereby defined as the region(s) in Italy in which</w:t>
      </w:r>
    </w:p>
    <w:p>
      <w:pPr>
        <w:spacing w:after="0" w:line="10"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Grantee worked. Grantee acknowledges that the Company is licensed to do business in the Territory. Accordingly, Grantee agrees that these restrictions are reasonable and necessary to protect the Confidential Information, trade secrets, business relationships,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goodwill of the Company.</w:t>
      </w:r>
    </w:p>
    <w:p>
      <w:pPr>
        <w:spacing w:after="0" w:line="167"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20"/>
          <w:szCs w:val="20"/>
          <w:color w:val="auto"/>
        </w:rPr>
        <w:t>The duration of the obligations indicated under Section 2(e) through (h) of the Confidentiality Provisions is all meant to be for a period of twelve (12) months, and Grantee acknowledges and agrees that for twelve (12) months after the Date of Termination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his/her will be bound to such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1(h) of the Confidentiality Provisions:</w:t>
      </w:r>
    </w:p>
    <w:p>
      <w:pPr>
        <w:spacing w:after="0" w:line="171" w:lineRule="exact"/>
        <w:rPr>
          <w:sz w:val="20"/>
          <w:szCs w:val="20"/>
          <w:color w:val="auto"/>
        </w:rPr>
      </w:pPr>
    </w:p>
    <w:p>
      <w:pPr>
        <w:ind w:left="660" w:right="2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“Material Contact” </w:t>
      </w:r>
      <w:r>
        <w:rPr>
          <w:rFonts w:ascii="Times New Roman" w:cs="Times New Roman" w:eastAsia="Times New Roman" w:hAnsi="Times New Roman"/>
          <w:sz w:val="19"/>
          <w:szCs w:val="19"/>
          <w:color w:val="auto"/>
        </w:rPr>
        <w:t>means contact between an employee and each Customer or potential Customer: with whom or which Grantee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obtained confidential information in the ordinary course of business as a result of such employee’s association with the Company; </w:t>
      </w:r>
      <w:r>
        <w:rPr>
          <w:rFonts w:ascii="Times New Roman" w:cs="Times New Roman" w:eastAsia="Times New Roman" w:hAnsi="Times New Roman"/>
          <w:sz w:val="20"/>
          <w:szCs w:val="20"/>
          <w:u w:val="single" w:color="auto"/>
          <w:color w:val="auto"/>
        </w:rPr>
        <w:t>and/or</w:t>
      </w:r>
      <w:r>
        <w:rPr>
          <w:rFonts w:ascii="Times New Roman" w:cs="Times New Roman" w:eastAsia="Times New Roman" w:hAnsi="Times New Roman"/>
          <w:sz w:val="20"/>
          <w:szCs w:val="20"/>
          <w:color w:val="auto"/>
        </w:rPr>
        <w:t xml:space="preserve"> who receives products or services authorized by the Company, the sale or provision of which results or resulted 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compensation, commissions, or earnings for Grantee within two years prior to the date of the Date of Termination.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is added to Section 1(i)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for Cause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Terminated for Cause</w:t>
      </w:r>
      <w:r>
        <w:rPr>
          <w:rFonts w:ascii="Times New Roman" w:cs="Times New Roman" w:eastAsia="Times New Roman" w:hAnsi="Times New Roman"/>
          <w:sz w:val="20"/>
          <w:szCs w:val="20"/>
          <w:color w:val="auto"/>
        </w:rPr>
        <w:t>" means any disciplinary termination issued pursuant to Art. 7, Act no.</w:t>
      </w:r>
    </w:p>
    <w:p>
      <w:pPr>
        <w:ind w:left="660"/>
        <w:spacing w:after="0" w:line="221" w:lineRule="auto"/>
        <w:rPr>
          <w:sz w:val="20"/>
          <w:szCs w:val="20"/>
          <w:color w:val="auto"/>
        </w:rPr>
      </w:pPr>
      <w:r>
        <w:rPr>
          <w:rFonts w:ascii="Times New Roman" w:cs="Times New Roman" w:eastAsia="Times New Roman" w:hAnsi="Times New Roman"/>
          <w:sz w:val="20"/>
          <w:szCs w:val="20"/>
          <w:color w:val="auto"/>
        </w:rPr>
        <w:t>300/1970, for a disciplinary reason including but not limited to involuntary termination of Grantee by the Company for the reasons listed under Section 1(I) from letter (i) and (v).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2(d) of the Confidentiality Provisions:</w:t>
      </w:r>
    </w:p>
    <w:p>
      <w:pPr>
        <w:sectPr>
          <w:pgSz w:w="11900" w:h="16838" w:orient="portrait"/>
          <w:cols w:equalWidth="0" w:num="1">
            <w:col w:w="11240"/>
          </w:cols>
          <w:pgMar w:left="320" w:top="1070" w:right="339" w:bottom="1440" w:gutter="0" w:footer="0" w:header="0"/>
        </w:sectPr>
      </w:pPr>
    </w:p>
    <w:p>
      <w:pPr>
        <w:spacing w:after="0" w:line="185" w:lineRule="exact"/>
        <w:rPr>
          <w:sz w:val="20"/>
          <w:szCs w:val="20"/>
          <w:color w:val="auto"/>
        </w:rPr>
      </w:pPr>
    </w:p>
    <w:p>
      <w:pPr>
        <w:ind w:left="660"/>
        <w:spacing w:after="0" w:line="229" w:lineRule="auto"/>
        <w:rPr>
          <w:sz w:val="20"/>
          <w:szCs w:val="20"/>
          <w:color w:val="auto"/>
        </w:rPr>
      </w:pPr>
      <w:r>
        <w:rPr>
          <w:rFonts w:ascii="Times New Roman" w:cs="Times New Roman" w:eastAsia="Times New Roman" w:hAnsi="Times New Roman"/>
          <w:sz w:val="19"/>
          <w:szCs w:val="19"/>
          <w:b w:val="1"/>
          <w:bCs w:val="1"/>
          <w:u w:val="single" w:color="auto"/>
          <w:color w:val="auto"/>
        </w:rPr>
        <w:t>Inventions Retained and Licensed</w:t>
      </w:r>
      <w:r>
        <w:rPr>
          <w:rFonts w:ascii="Times New Roman" w:cs="Times New Roman" w:eastAsia="Times New Roman" w:hAnsi="Times New Roman"/>
          <w:sz w:val="19"/>
          <w:szCs w:val="19"/>
          <w:color w:val="auto"/>
        </w:rPr>
        <w:t>. Attached hereto,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developments, improvements, and trade secrets which</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hanging="25"/>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color w:val="auto"/>
        </w:rPr>
        <w:t>, is a list describing all inventions, original works of authorship,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were made by the Grantee prior to the Grantee's employment with the</w:t>
      </w:r>
    </w:p>
    <w:p>
      <w:pPr>
        <w:spacing w:after="0" w:line="2" w:lineRule="exact"/>
        <w:rPr>
          <w:sz w:val="20"/>
          <w:szCs w:val="20"/>
          <w:color w:val="auto"/>
        </w:rPr>
      </w:pPr>
    </w:p>
    <w:p>
      <w:pPr>
        <w:sectPr>
          <w:pgSz w:w="11900" w:h="16838" w:orient="portrait"/>
          <w:cols w:equalWidth="0" w:num="2">
            <w:col w:w="5160" w:space="80"/>
            <w:col w:w="6000"/>
          </w:cols>
          <w:pgMar w:left="320" w:top="1070" w:right="339" w:bottom="1440" w:gutter="0" w:footer="0" w:header="0"/>
          <w:type w:val="continuous"/>
        </w:sectPr>
      </w:pPr>
    </w:p>
    <w:p>
      <w:pPr>
        <w:ind w:left="660"/>
        <w:spacing w:after="0" w:line="211" w:lineRule="auto"/>
        <w:rPr>
          <w:sz w:val="20"/>
          <w:szCs w:val="20"/>
          <w:color w:val="auto"/>
        </w:rPr>
      </w:pPr>
      <w:r>
        <w:rPr>
          <w:rFonts w:ascii="Times New Roman" w:cs="Times New Roman" w:eastAsia="Times New Roman" w:hAnsi="Times New Roman"/>
          <w:sz w:val="20"/>
          <w:szCs w:val="20"/>
          <w:color w:val="auto"/>
        </w:rPr>
        <w:t>Company (collectively referred to as “</w:t>
      </w:r>
      <w:r>
        <w:rPr>
          <w:rFonts w:ascii="Times New Roman" w:cs="Times New Roman" w:eastAsia="Times New Roman" w:hAnsi="Times New Roman"/>
          <w:sz w:val="20"/>
          <w:szCs w:val="20"/>
          <w:b w:val="1"/>
          <w:bCs w:val="1"/>
          <w:color w:val="auto"/>
        </w:rPr>
        <w:t>Prior Inventions</w:t>
      </w:r>
      <w:r>
        <w:rPr>
          <w:rFonts w:ascii="Times New Roman" w:cs="Times New Roman" w:eastAsia="Times New Roman" w:hAnsi="Times New Roman"/>
          <w:sz w:val="20"/>
          <w:szCs w:val="20"/>
          <w:color w:val="auto"/>
        </w:rPr>
        <w:t>”), which belong to the Grantee, which relate to the Company’s proposed</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business, products or research and development, and which are not assigned to the Company hereunder; or, if </w:t>
      </w: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color w:val="auto"/>
        </w:rPr>
        <w:t xml:space="preserve"> is left blank, the Grantee hereby represents that there are no such Prior Inventions. If in the course of the Grantee’s employment with the</w:t>
      </w:r>
    </w:p>
    <w:p>
      <w:pPr>
        <w:ind w:left="660"/>
        <w:spacing w:after="0" w:line="223" w:lineRule="auto"/>
        <w:rPr>
          <w:sz w:val="20"/>
          <w:szCs w:val="20"/>
          <w:color w:val="auto"/>
        </w:rPr>
      </w:pPr>
      <w:r>
        <w:rPr>
          <w:rFonts w:ascii="Times New Roman" w:cs="Times New Roman" w:eastAsia="Times New Roman" w:hAnsi="Times New Roman"/>
          <w:sz w:val="19"/>
          <w:szCs w:val="19"/>
          <w:color w:val="auto"/>
        </w:rPr>
        <w:t>Company, the Grantee incorporates into a Company product, process or machine a Prior Invention owned by the Grantee or in which</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the Grantee has an interest, the Company is hereby granted and shall have a nonexclusive, royalty-free, irrevocable, perpetual, worldwide license to make, have made, modify, use and sell such Prior Invention as part of or in connection with such product,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process or machine.</w:t>
      </w:r>
    </w:p>
    <w:p>
      <w:pPr>
        <w:spacing w:after="0" w:line="163"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Assignment of Inventions. </w:t>
      </w:r>
      <w:r>
        <w:rPr>
          <w:rFonts w:ascii="Times New Roman" w:cs="Times New Roman" w:eastAsia="Times New Roman" w:hAnsi="Times New Roman"/>
          <w:sz w:val="20"/>
          <w:szCs w:val="20"/>
          <w:color w:val="auto"/>
        </w:rPr>
        <w:t>Grantee will make full and prompt disclosure to the Company of all inventions, discoveries, designs,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designations, developments, software, drawings, logos, sketches, models, articles, studies, reports, methods, modifications,</w:t>
      </w:r>
    </w:p>
    <w:p>
      <w:pPr>
        <w:ind w:left="660"/>
        <w:spacing w:after="0" w:line="213" w:lineRule="auto"/>
        <w:rPr>
          <w:sz w:val="20"/>
          <w:szCs w:val="20"/>
          <w:color w:val="auto"/>
        </w:rPr>
      </w:pPr>
      <w:r>
        <w:rPr>
          <w:rFonts w:ascii="Times New Roman" w:cs="Times New Roman" w:eastAsia="Times New Roman" w:hAnsi="Times New Roman"/>
          <w:sz w:val="20"/>
          <w:szCs w:val="20"/>
          <w:color w:val="auto"/>
        </w:rPr>
        <w:t>improvements, processes, algorithms, databases, computer programs, formulae, techniques, trade secrets, graphics or images, and</w:t>
      </w:r>
    </w:p>
    <w:p>
      <w:pPr>
        <w:ind w:left="660"/>
        <w:spacing w:after="0" w:line="215" w:lineRule="auto"/>
        <w:rPr>
          <w:sz w:val="20"/>
          <w:szCs w:val="20"/>
          <w:color w:val="auto"/>
        </w:rPr>
      </w:pPr>
      <w:r>
        <w:rPr>
          <w:rFonts w:ascii="Times New Roman" w:cs="Times New Roman" w:eastAsia="Times New Roman" w:hAnsi="Times New Roman"/>
          <w:sz w:val="19"/>
          <w:szCs w:val="19"/>
          <w:color w:val="auto"/>
        </w:rPr>
        <w:t>audio or visual works and other works of authorship (collectively “</w:t>
      </w:r>
      <w:r>
        <w:rPr>
          <w:rFonts w:ascii="Times New Roman" w:cs="Times New Roman" w:eastAsia="Times New Roman" w:hAnsi="Times New Roman"/>
          <w:sz w:val="19"/>
          <w:szCs w:val="19"/>
          <w:u w:val="single" w:color="auto"/>
          <w:color w:val="auto"/>
        </w:rPr>
        <w:t>Developments</w:t>
      </w:r>
      <w:r>
        <w:rPr>
          <w:rFonts w:ascii="Times New Roman" w:cs="Times New Roman" w:eastAsia="Times New Roman" w:hAnsi="Times New Roman"/>
          <w:sz w:val="19"/>
          <w:szCs w:val="19"/>
          <w:color w:val="auto"/>
        </w:rPr>
        <w:t>”), whether or not patentable or copyrightable, that are created, made, conceived or reduced to practice by Grantee (alone or jointly with others) or under his/her direction in the course</w:t>
      </w:r>
    </w:p>
    <w:p>
      <w:pPr>
        <w:ind w:left="660"/>
        <w:spacing w:after="0" w:line="211" w:lineRule="auto"/>
        <w:rPr>
          <w:sz w:val="20"/>
          <w:szCs w:val="20"/>
          <w:color w:val="auto"/>
        </w:rPr>
      </w:pPr>
      <w:r>
        <w:rPr>
          <w:rFonts w:ascii="Times New Roman" w:cs="Times New Roman" w:eastAsia="Times New Roman" w:hAnsi="Times New Roman"/>
          <w:sz w:val="20"/>
          <w:szCs w:val="20"/>
          <w:color w:val="auto"/>
        </w:rPr>
        <w:t>of Grantee’s employment. Grantee acknowledges and agree that, to the fullest extent permitted by law, (i) all Developments shall</w:t>
      </w:r>
    </w:p>
    <w:p>
      <w:pPr>
        <w:ind w:left="660"/>
        <w:spacing w:after="0" w:line="204" w:lineRule="auto"/>
        <w:rPr>
          <w:sz w:val="20"/>
          <w:szCs w:val="20"/>
          <w:color w:val="auto"/>
        </w:rPr>
      </w:pPr>
      <w:r>
        <w:rPr>
          <w:rFonts w:ascii="Times New Roman" w:cs="Times New Roman" w:eastAsia="Times New Roman" w:hAnsi="Times New Roman"/>
          <w:sz w:val="20"/>
          <w:szCs w:val="20"/>
          <w:color w:val="auto"/>
        </w:rPr>
        <w:t>automatically belong to, and shall be the sole property of the Company and that (ii) to the extent that any Development do not vest in the Company automatically, Grantee irrevocably hereby assign to the Company by way of present assignment, all right, title,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interest Grantee may have or may acquire in and to all Developments anywhere in the world.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070" w:right="339" w:bottom="1440" w:gutter="0" w:footer="0" w:header="0"/>
          <w:type w:val="continuous"/>
        </w:sectPr>
      </w:pPr>
    </w:p>
    <w:bookmarkStart w:id="62" w:name="page63"/>
    <w:bookmarkEnd w:id="62"/>
    <w:p>
      <w:pPr>
        <w:ind w:left="660"/>
        <w:spacing w:after="0"/>
        <w:rPr>
          <w:sz w:val="20"/>
          <w:szCs w:val="20"/>
          <w:color w:val="auto"/>
        </w:rPr>
      </w:pPr>
      <w:r>
        <w:rPr>
          <w:rFonts w:ascii="Times New Roman" w:cs="Times New Roman" w:eastAsia="Times New Roman" w:hAnsi="Times New Roman"/>
          <w:sz w:val="19"/>
          <w:szCs w:val="19"/>
          <w:color w:val="auto"/>
        </w:rPr>
        <w:t>particular, in accordance with the provisions of articles 12-bis and 12-ter of the Copyright Law no. 633/1941, Grantee acknowledges</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that the copyrights to any software, database and their documentation and to any industrial design developed by Grantee in the course of his/her employment contract belong as a matter of law to the Company. Furthermore, in accordance with article 64(1) of the</w:t>
      </w:r>
    </w:p>
    <w:p>
      <w:pPr>
        <w:ind w:left="660"/>
        <w:spacing w:after="0" w:line="222" w:lineRule="auto"/>
        <w:rPr>
          <w:sz w:val="20"/>
          <w:szCs w:val="20"/>
          <w:color w:val="auto"/>
        </w:rPr>
      </w:pPr>
      <w:r>
        <w:rPr>
          <w:rFonts w:ascii="Times New Roman" w:cs="Times New Roman" w:eastAsia="Times New Roman" w:hAnsi="Times New Roman"/>
          <w:sz w:val="19"/>
          <w:szCs w:val="19"/>
          <w:color w:val="auto"/>
        </w:rPr>
        <w:t>Legislative Decree no. 30/2005 (Industrial Property Code), Grantee further acknowledges that the inventions made within the context</w:t>
      </w:r>
    </w:p>
    <w:p>
      <w:pPr>
        <w:ind w:left="660"/>
        <w:spacing w:after="0" w:line="221" w:lineRule="auto"/>
        <w:rPr>
          <w:sz w:val="20"/>
          <w:szCs w:val="20"/>
          <w:color w:val="auto"/>
        </w:rPr>
      </w:pPr>
      <w:r>
        <w:rPr>
          <w:rFonts w:ascii="Times New Roman" w:cs="Times New Roman" w:eastAsia="Times New Roman" w:hAnsi="Times New Roman"/>
          <w:sz w:val="20"/>
          <w:szCs w:val="20"/>
          <w:color w:val="auto"/>
        </w:rPr>
        <w:t>of his/her employment providing for an “inventive activity” which corresponds to his/her actual duties, or, as part of studies or research which have been specifically entrusted to Grantee, and for which he/her is remunerated, belong to the Company as a right.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accordance with article 64(2) of the Industrial Property Code, which provides that the employee is entitled to receive an additional</w:t>
      </w:r>
    </w:p>
    <w:p>
      <w:pPr>
        <w:spacing w:after="0" w:line="6"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remuneration for the invention made during the performance of its employment duties but outside the scope of article 64(1), Grantee agrees that such additional remuneration will be due provided that the Company or its assignees patent the invention or use it under a</w:t>
      </w:r>
    </w:p>
    <w:p>
      <w:pPr>
        <w:ind w:left="640"/>
        <w:spacing w:after="0" w:line="228" w:lineRule="auto"/>
        <w:rPr>
          <w:sz w:val="20"/>
          <w:szCs w:val="20"/>
          <w:color w:val="auto"/>
        </w:rPr>
      </w:pPr>
      <w:r>
        <w:rPr>
          <w:rFonts w:ascii="Times New Roman" w:cs="Times New Roman" w:eastAsia="Times New Roman" w:hAnsi="Times New Roman"/>
          <w:sz w:val="20"/>
          <w:szCs w:val="20"/>
          <w:color w:val="auto"/>
        </w:rPr>
        <w:t>secrecy regime and will be determined pursuant to applicable law, taking into consideration the value of the invention, the duties and compensation of the employee and the contribution/assistance received by the Company in developing the invention.</w:t>
      </w:r>
    </w:p>
    <w:p>
      <w:pPr>
        <w:spacing w:after="0" w:line="149" w:lineRule="exact"/>
        <w:rPr>
          <w:sz w:val="20"/>
          <w:szCs w:val="20"/>
          <w:color w:val="auto"/>
        </w:rPr>
      </w:pPr>
    </w:p>
    <w:p>
      <w:pPr>
        <w:ind w:left="640"/>
        <w:spacing w:after="0" w:line="234" w:lineRule="auto"/>
        <w:rPr>
          <w:sz w:val="20"/>
          <w:szCs w:val="20"/>
          <w:color w:val="auto"/>
        </w:rPr>
      </w:pPr>
      <w:r>
        <w:rPr>
          <w:rFonts w:ascii="Times New Roman" w:cs="Times New Roman" w:eastAsia="Times New Roman" w:hAnsi="Times New Roman"/>
          <w:sz w:val="19"/>
          <w:szCs w:val="19"/>
          <w:color w:val="auto"/>
        </w:rPr>
        <w:t>Grantee further acknowledges that for all the other inventions created either (i) in the field of the Company’s activity, or (ii) by using knowledge or technologies or Company’s specific methods or information acquired by the Company, the Company may require that</w:t>
      </w:r>
    </w:p>
    <w:p>
      <w:pPr>
        <w:spacing w:after="0" w:line="1"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19"/>
          <w:szCs w:val="19"/>
          <w:color w:val="auto"/>
        </w:rPr>
        <w:t>all rights to ownership and use of such inventions and the patents protecting such inventions be assigned to it pursuant to article 64(3) of the Industrial Property Code and upon the payment of a consideration to be agreed between the parties taking into consideration</w:t>
      </w:r>
    </w:p>
    <w:p>
      <w:pPr>
        <w:ind w:left="640"/>
        <w:spacing w:after="0"/>
        <w:rPr>
          <w:sz w:val="20"/>
          <w:szCs w:val="20"/>
          <w:color w:val="auto"/>
        </w:rPr>
      </w:pPr>
      <w:r>
        <w:rPr>
          <w:rFonts w:ascii="Times New Roman" w:cs="Times New Roman" w:eastAsia="Times New Roman" w:hAnsi="Times New Roman"/>
          <w:sz w:val="20"/>
          <w:szCs w:val="20"/>
          <w:color w:val="auto"/>
        </w:rPr>
        <w:t>the help and support that the employee received from the Company in developing the invention.</w:t>
      </w:r>
    </w:p>
    <w:p>
      <w:pPr>
        <w:spacing w:after="0" w:line="167"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Grantee further undertakes to execute all documents and take all additional actions as may be requested by the Company to give full and proper effect to the present assignment, whether during or after the term of his/her employment.</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following change is made to Sections 2(f), 2(g), and 2(h): The phrase "twenty-four (24) months after the Date of Termination" is replaced with "twelve (12) months after the Date of Termination".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2(i):</w:t>
      </w:r>
    </w:p>
    <w:p>
      <w:pPr>
        <w:spacing w:after="0" w:line="185" w:lineRule="exact"/>
        <w:rPr>
          <w:sz w:val="20"/>
          <w:szCs w:val="20"/>
          <w:color w:val="auto"/>
        </w:rPr>
      </w:pPr>
    </w:p>
    <w:p>
      <w:pPr>
        <w:ind w:left="640"/>
        <w:spacing w:after="0" w:line="229" w:lineRule="auto"/>
        <w:rPr>
          <w:sz w:val="20"/>
          <w:szCs w:val="20"/>
          <w:color w:val="auto"/>
        </w:rPr>
      </w:pPr>
      <w:r>
        <w:rPr>
          <w:rFonts w:ascii="Times New Roman" w:cs="Times New Roman" w:eastAsia="Times New Roman" w:hAnsi="Times New Roman"/>
          <w:sz w:val="19"/>
          <w:szCs w:val="19"/>
          <w:b w:val="1"/>
          <w:bCs w:val="1"/>
          <w:color w:val="auto"/>
        </w:rPr>
        <w:t>Injunctive Relief</w:t>
      </w:r>
      <w:r>
        <w:rPr>
          <w:rFonts w:ascii="Times New Roman" w:cs="Times New Roman" w:eastAsia="Times New Roman" w:hAnsi="Times New Roman"/>
          <w:sz w:val="19"/>
          <w:szCs w:val="19"/>
          <w:color w:val="auto"/>
        </w:rPr>
        <w:t>. Grantee acknowledges that if he/she breaches or threatens to breach any of the provisions of this Section 2, his/her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actions may cause irreparable harm and damage to the Company. Accordingly, if Grantee breaches or threatens to breach any of the</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provisions of this Section 2, the Company shall be entitled to seek injunctive relief (</w:t>
      </w:r>
      <w:r>
        <w:rPr>
          <w:rFonts w:ascii="Times New Roman" w:cs="Times New Roman" w:eastAsia="Times New Roman" w:hAnsi="Times New Roman"/>
          <w:sz w:val="20"/>
          <w:szCs w:val="20"/>
          <w:i w:val="1"/>
          <w:iCs w:val="1"/>
          <w:color w:val="auto"/>
        </w:rPr>
        <w:t>provvedimento cautelare</w:t>
      </w:r>
      <w:r>
        <w:rPr>
          <w:rFonts w:ascii="Times New Roman" w:cs="Times New Roman" w:eastAsia="Times New Roman" w:hAnsi="Times New Roman"/>
          <w:sz w:val="20"/>
          <w:szCs w:val="20"/>
          <w:color w:val="auto"/>
        </w:rPr>
        <w:t>) as well as a Court's order for specific performance, in addition to any other rights or remedies the Company may have.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new Sections 2(j) through (m) are added after Section 2(i) of the Confidentiality Provisions:</w:t>
      </w:r>
    </w:p>
    <w:p>
      <w:pPr>
        <w:spacing w:after="0" w:line="185" w:lineRule="exact"/>
        <w:rPr>
          <w:sz w:val="20"/>
          <w:szCs w:val="20"/>
          <w:color w:val="auto"/>
        </w:rPr>
      </w:pPr>
    </w:p>
    <w:p>
      <w:pPr>
        <w:jc w:val="both"/>
        <w:ind w:left="640" w:firstLine="3"/>
        <w:spacing w:after="0" w:line="217" w:lineRule="auto"/>
        <w:tabs>
          <w:tab w:leader="none" w:pos="97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As consideration for the post termination non-competition and non- solicitation obligations under Section 2 ((e),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 (g), and (h)) under the condition that Grantee complies with such obligations, Grantee will receive a monthly gross indemnity as determined by the Company pursuant to local law, to be no less than thirty percent (30%) of his/her fixed gross monthly salary received the last full month of employment (excluding any variable or bonus pay), multiplied for the number of months of duration of the obligations under Section 2 ((e), (f), (g), and (h)), it being understood that this indemnity will be subject to social security contributions.</w:t>
      </w:r>
    </w:p>
    <w:p>
      <w:pPr>
        <w:spacing w:after="0" w:line="156" w:lineRule="exact"/>
        <w:rPr>
          <w:rFonts w:ascii="Times New Roman" w:cs="Times New Roman" w:eastAsia="Times New Roman" w:hAnsi="Times New Roman"/>
          <w:sz w:val="20"/>
          <w:szCs w:val="20"/>
          <w:color w:val="auto"/>
        </w:rPr>
      </w:pPr>
    </w:p>
    <w:p>
      <w:pPr>
        <w:jc w:val="both"/>
        <w:ind w:left="640" w:firstLine="3"/>
        <w:spacing w:after="0" w:line="217" w:lineRule="auto"/>
        <w:tabs>
          <w:tab w:leader="none" w:pos="104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Reduction In Scope Or Withdrawal</w:t>
      </w:r>
      <w:r>
        <w:rPr>
          <w:rFonts w:ascii="Times New Roman" w:cs="Times New Roman" w:eastAsia="Times New Roman" w:hAnsi="Times New Roman"/>
          <w:sz w:val="20"/>
          <w:szCs w:val="20"/>
          <w:color w:val="auto"/>
        </w:rPr>
        <w:t>. It is agreed that, in any case, the Company shall be entitled, at the time of 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employment agreement, either to reduce the scope or the duration of the period of application of the non-competition and non-solicitation covenant, or to waive the latter, provided however that it informs Grantee thereof by registered letter with return receipt requested no later than within three (3) days following the notification of the termination of the employment agreement and no later than Grantee’s last day of effective work. In such an event, Grantee will receive from the Company an indemnity equal to one gross fixed monthly salary (as resulting at the date of termination).</w:t>
      </w:r>
    </w:p>
    <w:p>
      <w:pPr>
        <w:spacing w:after="0" w:line="156" w:lineRule="exact"/>
        <w:rPr>
          <w:rFonts w:ascii="Times New Roman" w:cs="Times New Roman" w:eastAsia="Times New Roman" w:hAnsi="Times New Roman"/>
          <w:sz w:val="20"/>
          <w:szCs w:val="20"/>
          <w:color w:val="auto"/>
        </w:rPr>
      </w:pPr>
    </w:p>
    <w:p>
      <w:pPr>
        <w:ind w:left="640" w:firstLine="3"/>
        <w:spacing w:after="0" w:line="245" w:lineRule="auto"/>
        <w:tabs>
          <w:tab w:leader="none" w:pos="110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Damages. </w:t>
      </w:r>
      <w:r>
        <w:rPr>
          <w:rFonts w:ascii="Times New Roman" w:cs="Times New Roman" w:eastAsia="Times New Roman" w:hAnsi="Times New Roman"/>
          <w:sz w:val="20"/>
          <w:szCs w:val="20"/>
          <w:color w:val="auto"/>
        </w:rPr>
        <w:t>If Grantee breaches the post-employment non-competition and non-solicitation obligations, the Company will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longer be required to pay the gross monthly indemnity provided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075" w:right="339"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9"/>
          <w:szCs w:val="19"/>
          <w:color w:val="auto"/>
        </w:rPr>
        <w:t>Section 2(j) and Grantee will be required to reimburse the Company for any amount that he/she may have been granted in this respect</w:t>
      </w:r>
    </w:p>
    <w:p>
      <w:pPr>
        <w:spacing w:after="0" w:line="6" w:lineRule="exact"/>
        <w:rPr>
          <w:sz w:val="20"/>
          <w:szCs w:val="20"/>
          <w:color w:val="auto"/>
        </w:rPr>
      </w:pPr>
    </w:p>
    <w:p>
      <w:pPr>
        <w:ind w:left="640" w:right="20"/>
        <w:spacing w:after="0" w:line="221" w:lineRule="auto"/>
        <w:rPr>
          <w:sz w:val="20"/>
          <w:szCs w:val="20"/>
          <w:color w:val="auto"/>
        </w:rPr>
      </w:pPr>
      <w:r>
        <w:rPr>
          <w:rFonts w:ascii="Times New Roman" w:cs="Times New Roman" w:eastAsia="Times New Roman" w:hAnsi="Times New Roman"/>
          <w:sz w:val="20"/>
          <w:szCs w:val="20"/>
          <w:color w:val="auto"/>
        </w:rPr>
        <w:t>as well as may be required to pay any further damages or be requested to cease any activity in breach of these obligations through an injunctive relief per Section 2(i).</w:t>
      </w:r>
    </w:p>
    <w:p>
      <w:pPr>
        <w:spacing w:after="0" w:line="158" w:lineRule="exact"/>
        <w:rPr>
          <w:sz w:val="20"/>
          <w:szCs w:val="20"/>
          <w:color w:val="auto"/>
        </w:rPr>
      </w:pPr>
    </w:p>
    <w:p>
      <w:pPr>
        <w:jc w:val="both"/>
        <w:ind w:left="660" w:hanging="4"/>
        <w:spacing w:after="0" w:line="220" w:lineRule="auto"/>
        <w:tabs>
          <w:tab w:leader="none" w:pos="108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Legitimacy. </w:t>
      </w:r>
      <w:r>
        <w:rPr>
          <w:rFonts w:ascii="Times New Roman" w:cs="Times New Roman" w:eastAsia="Times New Roman" w:hAnsi="Times New Roman"/>
          <w:sz w:val="20"/>
          <w:szCs w:val="20"/>
          <w:color w:val="auto"/>
        </w:rPr>
        <w:t>Given the extreme sensitiveness of the know-how and technical and commercial information to which Grantee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access in the framework of his/her functions and the extremely competitive and sensitive nature of the Company’s activities, the parties expressly agree on the necessity of the non-competition and non-solicitation obligation in order to protect the Company’s legitimate interests. Moreover, Grantee acknowledges that, in light of his/her training, the provision does not hinder his/her capacity to find new employment.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1(b) of the Confidentiality Provisions: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has the meaning set forth under Article 84 of the Mexican Industrial Property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1(d)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means Acuity Brands, Inc., along with its Subsidiaries or other Affiliates, including but not limited to Acuity Brands</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Lighting de Mexico S. de R.L. de C.V., and Castlight de Mexico SA de CV, with the understanding that the sole and exclusive employer of Grantee is the Mexican legal entity by whom he/she is employed.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1(h) of the Confidentiality Provisions:</w:t>
      </w:r>
    </w:p>
    <w:p>
      <w:pPr>
        <w:spacing w:after="0" w:line="185" w:lineRule="exact"/>
        <w:rPr>
          <w:sz w:val="20"/>
          <w:szCs w:val="20"/>
          <w:color w:val="auto"/>
        </w:rPr>
      </w:pPr>
    </w:p>
    <w:p>
      <w:pPr>
        <w:ind w:left="660" w:right="2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“Material Contact” </w:t>
      </w:r>
      <w:r>
        <w:rPr>
          <w:rFonts w:ascii="Times New Roman" w:cs="Times New Roman" w:eastAsia="Times New Roman" w:hAnsi="Times New Roman"/>
          <w:sz w:val="19"/>
          <w:szCs w:val="19"/>
          <w:color w:val="auto"/>
        </w:rPr>
        <w:t>means contact between an employee and each Customer or potential Customer: with whom or which Grantee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dealt on behalf of the Company; whose dealings with the Company were coordinated or supervised by Grantee; about whom Grantee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 xml:space="preserve">obtained confidential information in the ordinary course of business as a result of such employee’s association with the Company; </w:t>
      </w:r>
      <w:r>
        <w:rPr>
          <w:rFonts w:ascii="Times New Roman" w:cs="Times New Roman" w:eastAsia="Times New Roman" w:hAnsi="Times New Roman"/>
          <w:sz w:val="20"/>
          <w:szCs w:val="20"/>
          <w:u w:val="single" w:color="auto"/>
          <w:color w:val="auto"/>
        </w:rPr>
        <w:t>and/or</w:t>
      </w:r>
      <w:r>
        <w:rPr>
          <w:rFonts w:ascii="Times New Roman" w:cs="Times New Roman" w:eastAsia="Times New Roman" w:hAnsi="Times New Roman"/>
          <w:sz w:val="20"/>
          <w:szCs w:val="20"/>
          <w:color w:val="auto"/>
        </w:rPr>
        <w:t xml:space="preserve"> who receives products or services authorized by the Company, the sale or provision of which results or resulted in</w:t>
      </w:r>
    </w:p>
    <w:p>
      <w:pPr>
        <w:spacing w:after="0" w:line="1" w:lineRule="exact"/>
        <w:rPr>
          <w:sz w:val="20"/>
          <w:szCs w:val="20"/>
          <w:color w:val="auto"/>
        </w:rPr>
      </w:pPr>
    </w:p>
    <w:p>
      <w:pPr>
        <w:ind w:right="1260" w:firstLine="648"/>
        <w:spacing w:after="0" w:line="424" w:lineRule="auto"/>
        <w:rPr>
          <w:sz w:val="20"/>
          <w:szCs w:val="20"/>
          <w:color w:val="auto"/>
        </w:rPr>
      </w:pPr>
      <w:r>
        <w:rPr>
          <w:rFonts w:ascii="Times New Roman" w:cs="Times New Roman" w:eastAsia="Times New Roman" w:hAnsi="Times New Roman"/>
          <w:sz w:val="20"/>
          <w:szCs w:val="20"/>
          <w:color w:val="auto"/>
        </w:rPr>
        <w:t xml:space="preserve">compensation, commissions, or earnings for Grantee within two (2) years prior to the date of the Date of Termination. Section 1(i) </w:t>
      </w:r>
      <w:r>
        <w:rPr>
          <w:rFonts w:ascii="Times New Roman" w:cs="Times New Roman" w:eastAsia="Times New Roman" w:hAnsi="Times New Roman"/>
          <w:sz w:val="20"/>
          <w:szCs w:val="20"/>
          <w:b w:val="1"/>
          <w:bCs w:val="1"/>
          <w:color w:val="auto"/>
        </w:rPr>
        <w:t>(“Termination for Cause” or “Terminated for Cause”</w:t>
      </w:r>
      <w:r>
        <w:rPr>
          <w:rFonts w:ascii="Times New Roman" w:cs="Times New Roman" w:eastAsia="Times New Roman" w:hAnsi="Times New Roman"/>
          <w:sz w:val="20"/>
          <w:szCs w:val="20"/>
          <w:color w:val="auto"/>
        </w:rPr>
        <w:t>) of the Confidentiality Provisions is hereby deleted. The following provision shall be added to Section 2(b), at the end of first paragraph:</w:t>
      </w:r>
    </w:p>
    <w:p>
      <w:pPr>
        <w:ind w:left="640"/>
        <w:spacing w:after="0" w:line="235" w:lineRule="auto"/>
        <w:rPr>
          <w:sz w:val="20"/>
          <w:szCs w:val="20"/>
          <w:color w:val="auto"/>
        </w:rPr>
      </w:pPr>
      <w:r>
        <w:rPr>
          <w:rFonts w:ascii="Times New Roman" w:cs="Times New Roman" w:eastAsia="Times New Roman" w:hAnsi="Times New Roman"/>
          <w:sz w:val="20"/>
          <w:szCs w:val="20"/>
          <w:color w:val="auto"/>
        </w:rPr>
        <w:t>“Furthermore, Grantee expressly agrees and acknowledges that all Confidential Information and Trade Secrets, constitutes (i) an</w:t>
      </w:r>
    </w:p>
    <w:p>
      <w:pPr>
        <w:ind w:left="640"/>
        <w:spacing w:after="0" w:line="221" w:lineRule="auto"/>
        <w:rPr>
          <w:sz w:val="20"/>
          <w:szCs w:val="20"/>
          <w:color w:val="auto"/>
        </w:rPr>
      </w:pPr>
      <w:r>
        <w:rPr>
          <w:rFonts w:ascii="Times New Roman" w:cs="Times New Roman" w:eastAsia="Times New Roman" w:hAnsi="Times New Roman"/>
          <w:sz w:val="20"/>
          <w:szCs w:val="20"/>
          <w:color w:val="auto"/>
        </w:rPr>
        <w:t>industrial secret under the Mexican Industrial Property Law and (ii) an industrial and trade secret under Articles 213 of the Criminal Code of the Federal District of Mexico, 210 and 211 of the Federal Criminal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shall be added to Section 2(b), at the end of the second paragraph:</w:t>
      </w:r>
    </w:p>
    <w:p>
      <w:pPr>
        <w:spacing w:after="0" w:line="189" w:lineRule="exact"/>
        <w:rPr>
          <w:sz w:val="20"/>
          <w:szCs w:val="20"/>
          <w:color w:val="auto"/>
        </w:rPr>
      </w:pPr>
    </w:p>
    <w:p>
      <w:pPr>
        <w:ind w:left="640"/>
        <w:spacing w:after="0" w:line="227" w:lineRule="auto"/>
        <w:rPr>
          <w:sz w:val="20"/>
          <w:szCs w:val="20"/>
          <w:color w:val="auto"/>
        </w:rPr>
      </w:pPr>
      <w:r>
        <w:rPr>
          <w:rFonts w:ascii="Times New Roman" w:cs="Times New Roman" w:eastAsia="Times New Roman" w:hAnsi="Times New Roman"/>
          <w:sz w:val="19"/>
          <w:szCs w:val="19"/>
          <w:color w:val="auto"/>
        </w:rPr>
        <w:t>“Grantee agrees to keep the Company free and clear from any claim or lawsuit that may be brought up against it by Grantee’s former employers or third parties for alleged or actual breach of confidentiality or trade secrets information obligations undertaken by</w:t>
      </w:r>
    </w:p>
    <w:p>
      <w:pPr>
        <w:ind w:left="640"/>
        <w:spacing w:after="0" w:line="211" w:lineRule="auto"/>
        <w:rPr>
          <w:sz w:val="20"/>
          <w:szCs w:val="20"/>
          <w:color w:val="auto"/>
        </w:rPr>
      </w:pPr>
      <w:r>
        <w:rPr>
          <w:rFonts w:ascii="Times New Roman" w:cs="Times New Roman" w:eastAsia="Times New Roman" w:hAnsi="Times New Roman"/>
          <w:sz w:val="20"/>
          <w:szCs w:val="20"/>
          <w:color w:val="auto"/>
        </w:rPr>
        <w:t>Grantee during the course of his/her employment with former employers or during the course of former relationships with third</w:t>
      </w:r>
    </w:p>
    <w:p>
      <w:pPr>
        <w:spacing w:after="0" w:line="1" w:lineRule="exact"/>
        <w:rPr>
          <w:sz w:val="20"/>
          <w:szCs w:val="20"/>
          <w:color w:val="auto"/>
        </w:rPr>
      </w:pPr>
    </w:p>
    <w:p>
      <w:pPr>
        <w:ind w:left="640"/>
        <w:spacing w:after="0" w:line="221" w:lineRule="auto"/>
        <w:rPr>
          <w:sz w:val="20"/>
          <w:szCs w:val="20"/>
          <w:color w:val="auto"/>
        </w:rPr>
      </w:pPr>
      <w:r>
        <w:rPr>
          <w:rFonts w:ascii="Times New Roman" w:cs="Times New Roman" w:eastAsia="Times New Roman" w:hAnsi="Times New Roman"/>
          <w:sz w:val="20"/>
          <w:szCs w:val="20"/>
          <w:color w:val="auto"/>
        </w:rPr>
        <w:t>parties. Likewise, Grantee will be responsible for paying any damages that he/she may cause to the Company due the breach of such confidentiality or trade secrets information obligations assumed with former employers and/or with third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shall be added to Section 2(d) of the Confidentiality Provisions:</w:t>
      </w:r>
    </w:p>
    <w:p>
      <w:pPr>
        <w:spacing w:after="0" w:line="189" w:lineRule="exact"/>
        <w:rPr>
          <w:sz w:val="20"/>
          <w:szCs w:val="20"/>
          <w:color w:val="auto"/>
        </w:rPr>
      </w:pPr>
    </w:p>
    <w:p>
      <w:pPr>
        <w:ind w:left="640"/>
        <w:spacing w:after="0" w:line="215" w:lineRule="auto"/>
        <w:rPr>
          <w:sz w:val="20"/>
          <w:szCs w:val="20"/>
          <w:color w:val="auto"/>
        </w:rPr>
      </w:pPr>
      <w:r>
        <w:rPr>
          <w:rFonts w:ascii="Times New Roman" w:cs="Times New Roman" w:eastAsia="Times New Roman" w:hAnsi="Times New Roman"/>
          <w:sz w:val="20"/>
          <w:szCs w:val="20"/>
          <w:color w:val="auto"/>
        </w:rPr>
        <w:t>“Grantee acknowledges that any Invention he/she may conceive or reduce to practice during his/her employment with the Company and that relate to the Company’s current or future business are and shall be the Company’s sole and exclusive property and that</w:t>
      </w:r>
    </w:p>
    <w:p>
      <w:pPr>
        <w:spacing w:after="0" w:line="1" w:lineRule="exact"/>
        <w:rPr>
          <w:sz w:val="20"/>
          <w:szCs w:val="20"/>
          <w:color w:val="auto"/>
        </w:rPr>
      </w:pPr>
    </w:p>
    <w:p>
      <w:pPr>
        <w:ind w:left="640" w:right="20"/>
        <w:spacing w:after="0" w:line="228" w:lineRule="auto"/>
        <w:rPr>
          <w:sz w:val="20"/>
          <w:szCs w:val="20"/>
          <w:color w:val="auto"/>
        </w:rPr>
      </w:pPr>
      <w:r>
        <w:rPr>
          <w:rFonts w:ascii="Times New Roman" w:cs="Times New Roman" w:eastAsia="Times New Roman" w:hAnsi="Times New Roman"/>
          <w:sz w:val="20"/>
          <w:szCs w:val="20"/>
          <w:color w:val="auto"/>
        </w:rPr>
        <w:t>Grantee shall not have any patrimonial or other ownership rights in the work developed, expressly agreeing that he/she will not be entitled to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075" w:right="339" w:bottom="1440" w:gutter="0" w:footer="0" w:header="0"/>
        </w:sectPr>
      </w:pPr>
    </w:p>
    <w:bookmarkStart w:id="64" w:name="page65"/>
    <w:bookmarkEnd w:id="64"/>
    <w:p>
      <w:pPr>
        <w:ind w:left="640"/>
        <w:spacing w:after="0"/>
        <w:rPr>
          <w:sz w:val="20"/>
          <w:szCs w:val="20"/>
          <w:color w:val="auto"/>
        </w:rPr>
      </w:pPr>
      <w:r>
        <w:rPr>
          <w:rFonts w:ascii="Times New Roman" w:cs="Times New Roman" w:eastAsia="Times New Roman" w:hAnsi="Times New Roman"/>
          <w:sz w:val="20"/>
          <w:szCs w:val="20"/>
          <w:color w:val="auto"/>
        </w:rPr>
        <w:t>of royalties or any other right derived from such work, as they are already included in Grantee’s compensation referred to in his/her</w:t>
      </w:r>
    </w:p>
    <w:p>
      <w:pPr>
        <w:ind w:left="640"/>
        <w:spacing w:after="0" w:line="215" w:lineRule="auto"/>
        <w:rPr>
          <w:sz w:val="20"/>
          <w:szCs w:val="20"/>
          <w:color w:val="auto"/>
        </w:rPr>
      </w:pPr>
      <w:r>
        <w:rPr>
          <w:rFonts w:ascii="Times New Roman" w:cs="Times New Roman" w:eastAsia="Times New Roman" w:hAnsi="Times New Roman"/>
          <w:sz w:val="19"/>
          <w:szCs w:val="19"/>
          <w:color w:val="auto"/>
        </w:rPr>
        <w:t>employment contract with the Company. In addition, Grantee expressly authorizes the modification, adaptation, transport, translation, representation, exhibition and any use, total or partial, of the developed work, with the sole exception of his/her non-economic or</w:t>
      </w:r>
    </w:p>
    <w:p>
      <w:pPr>
        <w:ind w:left="640"/>
        <w:spacing w:after="0" w:line="228" w:lineRule="auto"/>
        <w:rPr>
          <w:sz w:val="20"/>
          <w:szCs w:val="20"/>
          <w:color w:val="auto"/>
        </w:rPr>
      </w:pPr>
      <w:r>
        <w:rPr>
          <w:rFonts w:ascii="Times New Roman" w:cs="Times New Roman" w:eastAsia="Times New Roman" w:hAnsi="Times New Roman"/>
          <w:sz w:val="20"/>
          <w:szCs w:val="20"/>
          <w:color w:val="auto"/>
        </w:rPr>
        <w:t>moral rights. Grantee will take all necessary steps to assign any property right to the Company at the Company’s expense, but without further compensation to Grantee.”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Grantee acknowledges and agrees that during his/her employment, and for twelve (12) months after the Date of</w:t>
      </w:r>
    </w:p>
    <w:p>
      <w:pPr>
        <w:ind w:left="660"/>
        <w:spacing w:after="0" w:line="204" w:lineRule="auto"/>
        <w:rPr>
          <w:sz w:val="20"/>
          <w:szCs w:val="20"/>
          <w:color w:val="auto"/>
        </w:rPr>
      </w:pPr>
      <w:r>
        <w:rPr>
          <w:rFonts w:ascii="Times New Roman" w:cs="Times New Roman" w:eastAsia="Times New Roman" w:hAnsi="Times New Roman"/>
          <w:sz w:val="20"/>
          <w:szCs w:val="20"/>
          <w:color w:val="auto"/>
        </w:rPr>
        <w:t>Termination, he/she has not and will not, directly or indirectly, engage in, provide, or perform any Employee Services on behalf of any person or entity (or, if organized into divisions or units, any distinct division or operating unit) in the Territory that derives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revenue from providing goods or services substantially similar to those which comprise the Company’s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replaced Section 2(i) of the Confidentiality Provisions:</w:t>
      </w:r>
    </w:p>
    <w:p>
      <w:pPr>
        <w:spacing w:after="0" w:line="171" w:lineRule="exact"/>
        <w:rPr>
          <w:sz w:val="20"/>
          <w:szCs w:val="20"/>
          <w:color w:val="auto"/>
        </w:rPr>
      </w:pPr>
    </w:p>
    <w:p>
      <w:pPr>
        <w:ind w:left="660" w:right="2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Injunctive Relief. </w:t>
      </w:r>
      <w:r>
        <w:rPr>
          <w:rFonts w:ascii="Times New Roman" w:cs="Times New Roman" w:eastAsia="Times New Roman" w:hAnsi="Times New Roman"/>
          <w:sz w:val="19"/>
          <w:szCs w:val="19"/>
          <w:color w:val="auto"/>
        </w:rPr>
        <w:t>Grantee acknowledges that if he/she breaches or threatens to breach any of the provisions of this Section 2, his/her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actions may cause irreparable harm and damage to the Company which could not be compensated in damages. Accordingly, if</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Grantee breaches or threatens to breach any of the provisions of this Section 2, the Company shall be entitled to seek injunctive relief, in addition to any other rights or remedies the Company may have. The existence of any claim or cause of action by Grantee</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against the Company, whether predicated on the Confidentiality Provisions or otherwise, shall not constitute a defense to the enforcement by the Company of Grantee’s agreements under this Section 2.</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Grantee accepts that if he/she breaches any of the obligations set out in Sections 2(a), (b), (c), (d) related to the disclosure of</w:t>
      </w:r>
    </w:p>
    <w:p>
      <w:pPr>
        <w:ind w:left="660"/>
        <w:spacing w:after="0" w:line="221" w:lineRule="auto"/>
        <w:rPr>
          <w:sz w:val="20"/>
          <w:szCs w:val="20"/>
          <w:color w:val="auto"/>
        </w:rPr>
      </w:pPr>
      <w:r>
        <w:rPr>
          <w:rFonts w:ascii="Times New Roman" w:cs="Times New Roman" w:eastAsia="Times New Roman" w:hAnsi="Times New Roman"/>
          <w:sz w:val="20"/>
          <w:szCs w:val="20"/>
          <w:color w:val="auto"/>
        </w:rPr>
        <w:t>Confidential Information, he/she shall be liable under applicable laws, including criminal liability referred to in Article 223(IV), (V), and (VI) of the Industrial Property Law.</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breach of any of the obligations assumed by virtue of Section 2(e), (f), (g), and (h), during the term of the employment</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relationship between the parties, will be considered disobedience to work, and therefore, a cause for termination of the employment relationship of Grantee, without any liability for the Company, whatsoever. Both parties agree that if Grantee breaches any of the</w:t>
      </w:r>
    </w:p>
    <w:p>
      <w:pPr>
        <w:spacing w:after="0" w:line="1" w:lineRule="exact"/>
        <w:rPr>
          <w:sz w:val="20"/>
          <w:szCs w:val="20"/>
          <w:color w:val="auto"/>
        </w:rPr>
      </w:pP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obligations, terms or conditions set out in Section 2 (e), (f), (g), and (h), after the termination of his/her employment relationship with the Company, Grantee:</w:t>
      </w:r>
    </w:p>
    <w:p>
      <w:pPr>
        <w:spacing w:after="0" w:line="149" w:lineRule="exact"/>
        <w:rPr>
          <w:sz w:val="20"/>
          <w:szCs w:val="20"/>
          <w:color w:val="auto"/>
        </w:rPr>
      </w:pPr>
    </w:p>
    <w:p>
      <w:pPr>
        <w:jc w:val="both"/>
        <w:ind w:left="1620" w:hanging="341"/>
        <w:spacing w:after="0" w:line="222" w:lineRule="auto"/>
        <w:tabs>
          <w:tab w:leader="none" w:pos="176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will have no right to the Payment referred in Section 2(j)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as modified by these special provisions, and must then repay to the Company the total amount of the payments made in accordance with Section 2(j)(ii) after the termination of the employment relationship between the parties, if such breach occurs or is discovered after any Payments (as defined below) have been made.</w:t>
      </w:r>
    </w:p>
    <w:p>
      <w:pPr>
        <w:spacing w:after="0" w:line="161" w:lineRule="exact"/>
        <w:rPr>
          <w:rFonts w:ascii="Times New Roman" w:cs="Times New Roman" w:eastAsia="Times New Roman" w:hAnsi="Times New Roman"/>
          <w:sz w:val="20"/>
          <w:szCs w:val="20"/>
          <w:color w:val="auto"/>
        </w:rPr>
      </w:pPr>
    </w:p>
    <w:p>
      <w:pPr>
        <w:jc w:val="both"/>
        <w:ind w:left="1620" w:hanging="341"/>
        <w:spacing w:after="0" w:line="220" w:lineRule="auto"/>
        <w:tabs>
          <w:tab w:leader="none" w:pos="173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he/she must pay to the Company liquidated damages equivalent to fifty percent (50%) of the gross amount paid to Grantee in consideration for the non-competition clause herein. The payment of liquidated damages shall be in addition to any other legal remedies that might be available to the Company, including moral damages, and nothing in this Section shall operate so as to prevent or limit the Company from seeking any other relief, including equitable or injunctive relief.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provisions are added as Section 2(j) to the Confidentiality Provisions: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Consideration for Non-Competition and Non-Solicitation Obligations.</w:t>
      </w:r>
    </w:p>
    <w:p>
      <w:pPr>
        <w:spacing w:after="0" w:line="193" w:lineRule="exact"/>
        <w:rPr>
          <w:sz w:val="20"/>
          <w:szCs w:val="20"/>
          <w:color w:val="auto"/>
        </w:rPr>
      </w:pPr>
    </w:p>
    <w:p>
      <w:pPr>
        <w:jc w:val="both"/>
        <w:ind w:left="640" w:firstLine="639"/>
        <w:spacing w:after="0" w:line="217" w:lineRule="auto"/>
        <w:tabs>
          <w:tab w:leader="none" w:pos="175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effective term of the employment relationship between the Company and Grantee, the latter will not be entitled to any additional remuneration for the obligations assumed herein, but the payment of the monthly gross base salary and benefits, as agreed upon in the individual employment agreement executed between the Company and Grantee, since the obligations assumed herein represent orders given by the Company, as the employer, and are part of the obligations related to the work for which Grantee is hired.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070" w:right="339" w:bottom="1440" w:gutter="0" w:footer="0" w:header="0"/>
        </w:sectPr>
      </w:pPr>
    </w:p>
    <w:bookmarkStart w:id="65" w:name="page66"/>
    <w:bookmarkEnd w:id="65"/>
    <w:p>
      <w:pPr>
        <w:jc w:val="both"/>
        <w:ind w:left="640" w:firstLine="639"/>
        <w:spacing w:after="0" w:line="226" w:lineRule="auto"/>
        <w:tabs>
          <w:tab w:leader="none" w:pos="1715"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fair and equal consideration for the execution of the obligations assumed under Sections 2(e), (f), (g), and (h) of this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upon termination of the labor relationship between the Company and Grantee, the latter hereby accepts that the Company will pay him/her a gross amount equal to fifty percent (50%) of his/her last annual gross </w:t>
      </w:r>
      <w:r>
        <w:rPr>
          <w:rFonts w:ascii="Times New Roman" w:cs="Times New Roman" w:eastAsia="Times New Roman" w:hAnsi="Times New Roman"/>
          <w:sz w:val="19"/>
          <w:szCs w:val="19"/>
          <w:u w:val="single" w:color="auto"/>
          <w:color w:val="auto"/>
        </w:rPr>
        <w:t>base</w:t>
      </w:r>
      <w:r>
        <w:rPr>
          <w:rFonts w:ascii="Times New Roman" w:cs="Times New Roman" w:eastAsia="Times New Roman" w:hAnsi="Times New Roman"/>
          <w:sz w:val="19"/>
          <w:szCs w:val="19"/>
          <w:color w:val="auto"/>
        </w:rPr>
        <w:t xml:space="preserve"> salary as of the termination date of his/her employment relationship with the Company (without considering other labor benefits paid, whether in paid in cash or in kind, such as a Christmas bonus, vacation premium, and without considering any compensation derived from the 2012 Omnibus Stock Incentive Compensation Plan) (hereinafter the “Payment”), subject to the corresponding applicable tax withholdings. Such payment, will be paid by the Company to Grantee proportionally in monthly installments, according to the dates established by the Company.</w:t>
      </w:r>
    </w:p>
    <w:p>
      <w:pPr>
        <w:spacing w:after="0" w:line="166" w:lineRule="exact"/>
        <w:rPr>
          <w:rFonts w:ascii="Times New Roman" w:cs="Times New Roman" w:eastAsia="Times New Roman" w:hAnsi="Times New Roman"/>
          <w:sz w:val="19"/>
          <w:szCs w:val="19"/>
          <w:color w:val="auto"/>
        </w:rPr>
      </w:pPr>
    </w:p>
    <w:p>
      <w:pPr>
        <w:jc w:val="both"/>
        <w:ind w:left="640" w:firstLine="639"/>
        <w:spacing w:after="0" w:line="213" w:lineRule="auto"/>
        <w:tabs>
          <w:tab w:leader="none" w:pos="177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Payment shall be considered as full consideration in exchange for the strict compliance with the future obligations that Grantee assumes upon termination of his/her employment relationship with the Company, pursuant to the terms of these Confidentiality Provisions. Both parties agree that the Company shall determine whether Grantee has fully complied with the Confidentiality Provision at its sole reasonable discretion. Grantee expressly acknowledges that the Payment of the consideration after the term of the employment relationship, referred in this Section, is independent from the employment relationship he/she has with the Company, and that the payments made after the term of the employment relationship between the Company and Grantee will not imply in any manner whatsoever, the continuation of such employment relationship or the beginning of a new labor relationship between the Company and Grantee.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7 of the Confidentiality Provisions:</w:t>
      </w:r>
    </w:p>
    <w:p>
      <w:pPr>
        <w:spacing w:after="0" w:line="185"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both parties hereto, which makes specific reference to the Confidentiality Provisions. However, this Section does</w:t>
      </w:r>
    </w:p>
    <w:p>
      <w:pPr>
        <w:spacing w:after="0" w:line="2"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not affect a court of competent jurisdiction or arbitrator`s ability to modify the Confidentiality Provisions as applicable under local law in the event that either party initiates legal proceedings that relate in any way to this Confidentiality Provisions, including 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action brought by either party seeking to enforce any provision set forth herein.</w:t>
      </w:r>
    </w:p>
    <w:p>
      <w:pPr>
        <w:spacing w:after="0" w:line="167"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20"/>
          <w:szCs w:val="20"/>
          <w:color w:val="auto"/>
        </w:rPr>
        <w:t>Both parties expressly acknowledge and agree that the Company reserves the right, at its sole discretion, to reduce or waive the enforcement of the restricted period, as referred to in Section 2 above, and the Company may relieve at any time Grantee from</w:t>
      </w:r>
    </w:p>
    <w:p>
      <w:pPr>
        <w:ind w:left="660"/>
        <w:spacing w:after="0" w:line="224" w:lineRule="auto"/>
        <w:rPr>
          <w:sz w:val="20"/>
          <w:szCs w:val="20"/>
          <w:color w:val="auto"/>
        </w:rPr>
      </w:pPr>
      <w:r>
        <w:rPr>
          <w:rFonts w:ascii="Times New Roman" w:cs="Times New Roman" w:eastAsia="Times New Roman" w:hAnsi="Times New Roman"/>
          <w:sz w:val="19"/>
          <w:szCs w:val="19"/>
          <w:color w:val="auto"/>
        </w:rPr>
        <w:t>his/her obligations under this Agreement. If the Company, at its sole discretion, decides to waive or reduce the restricted period of the</w:t>
      </w:r>
    </w:p>
    <w:p>
      <w:pPr>
        <w:ind w:left="660"/>
        <w:spacing w:after="0" w:line="215" w:lineRule="auto"/>
        <w:rPr>
          <w:sz w:val="20"/>
          <w:szCs w:val="20"/>
          <w:color w:val="auto"/>
        </w:rPr>
      </w:pPr>
      <w:r>
        <w:rPr>
          <w:rFonts w:ascii="Times New Roman" w:cs="Times New Roman" w:eastAsia="Times New Roman" w:hAnsi="Times New Roman"/>
          <w:sz w:val="19"/>
          <w:szCs w:val="19"/>
          <w:color w:val="auto"/>
        </w:rPr>
        <w:t>obligations assumed in Section 2(e), (f), (g), and (h), for any reason, it will inform Grantee in writing, with the understanding that the Company will not be responsible to pay or make further payments of any compensation, as set forth in Section 2(j)(ii), for the entire</w:t>
      </w:r>
    </w:p>
    <w:p>
      <w:pPr>
        <w:ind w:left="660"/>
        <w:spacing w:after="0" w:line="211" w:lineRule="auto"/>
        <w:rPr>
          <w:sz w:val="20"/>
          <w:szCs w:val="20"/>
          <w:color w:val="auto"/>
        </w:rPr>
      </w:pPr>
      <w:r>
        <w:rPr>
          <w:rFonts w:ascii="Times New Roman" w:cs="Times New Roman" w:eastAsia="Times New Roman" w:hAnsi="Times New Roman"/>
          <w:sz w:val="20"/>
          <w:szCs w:val="20"/>
          <w:color w:val="auto"/>
        </w:rPr>
        <w:t>restricted period or the remaining restricted period, as applicable, at the time the Company waives enforcement. If the Company</w:t>
      </w:r>
    </w:p>
    <w:p>
      <w:pPr>
        <w:ind w:left="660"/>
        <w:spacing w:after="0" w:line="215" w:lineRule="auto"/>
        <w:rPr>
          <w:sz w:val="20"/>
          <w:szCs w:val="20"/>
          <w:color w:val="auto"/>
        </w:rPr>
      </w:pPr>
      <w:r>
        <w:rPr>
          <w:rFonts w:ascii="Times New Roman" w:cs="Times New Roman" w:eastAsia="Times New Roman" w:hAnsi="Times New Roman"/>
          <w:sz w:val="19"/>
          <w:szCs w:val="19"/>
          <w:color w:val="auto"/>
        </w:rPr>
        <w:t>waives the entire enforcement of the restrictive period established after the term of the labor relationship, no compensation will be paid to Grantee under this Agreement, and Grantee acknowledges that the Company will not be liable as a consequence of such non-</w:t>
      </w:r>
    </w:p>
    <w:p>
      <w:pPr>
        <w:ind w:left="660"/>
        <w:spacing w:after="0"/>
        <w:rPr>
          <w:sz w:val="20"/>
          <w:szCs w:val="20"/>
          <w:color w:val="auto"/>
        </w:rPr>
      </w:pPr>
      <w:r>
        <w:rPr>
          <w:rFonts w:ascii="Times New Roman" w:cs="Times New Roman" w:eastAsia="Times New Roman" w:hAnsi="Times New Roman"/>
          <w:sz w:val="20"/>
          <w:szCs w:val="20"/>
          <w:color w:val="auto"/>
        </w:rPr>
        <w:t>payment.”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8 of the Confidentiality Provisions:</w:t>
      </w:r>
    </w:p>
    <w:p>
      <w:pPr>
        <w:spacing w:after="0" w:line="171" w:lineRule="exact"/>
        <w:rPr>
          <w:sz w:val="20"/>
          <w:szCs w:val="20"/>
          <w:color w:val="auto"/>
        </w:rPr>
      </w:pPr>
    </w:p>
    <w:p>
      <w:pPr>
        <w:jc w:val="both"/>
        <w:ind w:left="660"/>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Governing Law and Venue. </w:t>
      </w:r>
      <w:r>
        <w:rPr>
          <w:rFonts w:ascii="Times New Roman" w:cs="Times New Roman" w:eastAsia="Times New Roman" w:hAnsi="Times New Roman"/>
          <w:sz w:val="20"/>
          <w:szCs w:val="20"/>
          <w:color w:val="auto"/>
        </w:rPr>
        <w:t>The validity and effect of the Confidentiality Provisions shall be governed by and construed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enforced in accordance with the laws of United Mexican States, without regard to conflicts of law. Any and all disputes relating to,</w:t>
      </w:r>
    </w:p>
    <w:p>
      <w:pPr>
        <w:spacing w:after="0" w:line="2"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concerning or arising from the Confidentiality Provisions, or relating to, concerning or arising from the relationship between the parties evidenced by the Confidentiality Provisions, shall be brought and heard exclusively in competent courts of Mexico City,</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expressly waiving any other jurisdiction that may correspond to them by reason of their present or future domiciles or for any other cause.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1(b) of the Confidentiality Provisions: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has the meaning set forth under applicable local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1(h)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075"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“Material Contact” </w:t>
      </w:r>
      <w:r>
        <w:rPr>
          <w:rFonts w:ascii="Times New Roman" w:cs="Times New Roman" w:eastAsia="Times New Roman" w:hAnsi="Times New Roman"/>
          <w:sz w:val="20"/>
          <w:szCs w:val="20"/>
          <w:color w:val="auto"/>
        </w:rPr>
        <w:t>shall include contacts between an employee and each Customer or potential Customer: with whom or which</w:t>
      </w:r>
    </w:p>
    <w:p>
      <w:pPr>
        <w:ind w:left="660"/>
        <w:spacing w:after="0" w:line="215" w:lineRule="auto"/>
        <w:rPr>
          <w:sz w:val="20"/>
          <w:szCs w:val="20"/>
          <w:color w:val="auto"/>
        </w:rPr>
      </w:pPr>
      <w:r>
        <w:rPr>
          <w:rFonts w:ascii="Times New Roman" w:cs="Times New Roman" w:eastAsia="Times New Roman" w:hAnsi="Times New Roman"/>
          <w:sz w:val="19"/>
          <w:szCs w:val="19"/>
          <w:color w:val="auto"/>
        </w:rPr>
        <w:t>Grantee dealt on behalf of the Company; whose dealings with the Company were coordinated or supervised by Grantee; about whom Grantee obtained confidential information in the ordinary course of business as a result of such employee’s association with the</w:t>
      </w:r>
    </w:p>
    <w:p>
      <w:pPr>
        <w:ind w:left="660"/>
        <w:spacing w:after="0" w:line="228" w:lineRule="auto"/>
        <w:rPr>
          <w:sz w:val="20"/>
          <w:szCs w:val="20"/>
          <w:color w:val="auto"/>
        </w:rPr>
      </w:pPr>
      <w:r>
        <w:rPr>
          <w:rFonts w:ascii="Times New Roman" w:cs="Times New Roman" w:eastAsia="Times New Roman" w:hAnsi="Times New Roman"/>
          <w:sz w:val="20"/>
          <w:szCs w:val="20"/>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1(i)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“Termination for Cause” or “Terminated for Cause” </w:t>
      </w:r>
      <w:r>
        <w:rPr>
          <w:rFonts w:ascii="Times New Roman" w:cs="Times New Roman" w:eastAsia="Times New Roman" w:hAnsi="Times New Roman"/>
          <w:sz w:val="20"/>
          <w:szCs w:val="20"/>
          <w:color w:val="auto"/>
        </w:rPr>
        <w:t>shall entail any reasonable grounds the Company may have within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meaning of article 7:669 paragraph 3 subsection (d), (e), (g), and (i) of the Dutch Civil Code and article 7:678 of the Dutch Civil Code. Examples of this involuntary termination of Grantee by the Company are the following reasons:</w:t>
      </w:r>
    </w:p>
    <w:p>
      <w:pPr>
        <w:spacing w:after="0" w:line="162" w:lineRule="exact"/>
        <w:rPr>
          <w:sz w:val="20"/>
          <w:szCs w:val="20"/>
          <w:color w:val="auto"/>
        </w:rPr>
      </w:pPr>
    </w:p>
    <w:p>
      <w:pPr>
        <w:ind w:left="1280" w:hanging="1"/>
        <w:spacing w:after="0"/>
        <w:tabs>
          <w:tab w:leader="none" w:pos="162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by Grantee which constitute an indictable offense, a felony or any crime involving dishonesty, theft, fraud or moral turpitude;</w:t>
      </w:r>
    </w:p>
    <w:p>
      <w:pPr>
        <w:spacing w:after="0" w:line="147" w:lineRule="exact"/>
        <w:rPr>
          <w:rFonts w:ascii="Times New Roman" w:cs="Times New Roman" w:eastAsia="Times New Roman" w:hAnsi="Times New Roman"/>
          <w:sz w:val="20"/>
          <w:szCs w:val="20"/>
          <w:color w:val="auto"/>
        </w:rPr>
      </w:pPr>
    </w:p>
    <w:p>
      <w:pPr>
        <w:ind w:left="1280" w:hanging="1"/>
        <w:spacing w:after="0"/>
        <w:tabs>
          <w:tab w:leader="none" w:pos="164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by Grantee which are determined, in the good faith judgment of the Company, to be in violation of written policies of the Company;</w:t>
      </w:r>
    </w:p>
    <w:p>
      <w:pPr>
        <w:spacing w:after="0" w:line="161" w:lineRule="exact"/>
        <w:rPr>
          <w:rFonts w:ascii="Times New Roman" w:cs="Times New Roman" w:eastAsia="Times New Roman" w:hAnsi="Times New Roman"/>
          <w:sz w:val="20"/>
          <w:szCs w:val="20"/>
          <w:color w:val="auto"/>
        </w:rPr>
      </w:pPr>
    </w:p>
    <w:p>
      <w:pPr>
        <w:ind w:left="1280" w:right="20" w:hanging="1"/>
        <w:spacing w:after="0" w:line="233" w:lineRule="auto"/>
        <w:tabs>
          <w:tab w:leader="none" w:pos="169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an act or acts of dishonesty by Grantee resulting or intended to result directly or indirectly in gain or personal enrichment to Grantee at the expense of the Company;</w:t>
      </w:r>
    </w:p>
    <w:p>
      <w:pPr>
        <w:spacing w:after="0" w:line="160" w:lineRule="exact"/>
        <w:rPr>
          <w:rFonts w:ascii="Times New Roman" w:cs="Times New Roman" w:eastAsia="Times New Roman" w:hAnsi="Times New Roman"/>
          <w:sz w:val="20"/>
          <w:szCs w:val="20"/>
          <w:color w:val="auto"/>
        </w:rPr>
      </w:pPr>
    </w:p>
    <w:p>
      <w:pPr>
        <w:jc w:val="both"/>
        <w:ind w:left="1280" w:hanging="1"/>
        <w:spacing w:after="0" w:line="222" w:lineRule="auto"/>
        <w:tabs>
          <w:tab w:leader="none" w:pos="166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willful and continued failure by Grantee to substantially perform the duties assigned to Grantee (other than any such failure resulting from incapacity due to mental or physical illness constituting a Disability), after a demand in writing for substantial performance of such duties is delivered by the Company, which demand specifically identifies the manner in which the Company believes that Grantee has not substantially performed his or her duties; or</w:t>
      </w:r>
    </w:p>
    <w:p>
      <w:pPr>
        <w:spacing w:after="0" w:line="148" w:lineRule="exact"/>
        <w:rPr>
          <w:rFonts w:ascii="Times New Roman" w:cs="Times New Roman" w:eastAsia="Times New Roman" w:hAnsi="Times New Roman"/>
          <w:sz w:val="20"/>
          <w:szCs w:val="20"/>
          <w:color w:val="auto"/>
        </w:rPr>
      </w:pPr>
    </w:p>
    <w:p>
      <w:pPr>
        <w:ind w:left="1280" w:hanging="1"/>
        <w:spacing w:after="0"/>
        <w:tabs>
          <w:tab w:leader="none" w:pos="173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termination shall have been the result of the unauthorized disclosure by Grantee of the Company’s Confidential Information or violation of any other provision of the Confidentiality Provisions.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changes in made in Section 2(e) of the Confidentiality Provisions: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References to “Confidential Severance Agreement and Release” will be replaced by “settlement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2(i) of the Confidentiality Provisions:</w:t>
      </w:r>
    </w:p>
    <w:p>
      <w:pPr>
        <w:spacing w:after="0" w:line="185" w:lineRule="exact"/>
        <w:rPr>
          <w:sz w:val="20"/>
          <w:szCs w:val="20"/>
          <w:color w:val="auto"/>
        </w:rPr>
      </w:pPr>
    </w:p>
    <w:p>
      <w:pPr>
        <w:jc w:val="both"/>
        <w:ind w:left="660"/>
        <w:spacing w:after="0" w:line="229" w:lineRule="auto"/>
        <w:rPr>
          <w:sz w:val="20"/>
          <w:szCs w:val="20"/>
          <w:color w:val="auto"/>
        </w:rPr>
      </w:pPr>
      <w:r>
        <w:rPr>
          <w:rFonts w:ascii="Times New Roman" w:cs="Times New Roman" w:eastAsia="Times New Roman" w:hAnsi="Times New Roman"/>
          <w:sz w:val="19"/>
          <w:szCs w:val="19"/>
          <w:b w:val="1"/>
          <w:bCs w:val="1"/>
          <w:color w:val="auto"/>
        </w:rPr>
        <w:t>Injunctive Relief</w:t>
      </w:r>
      <w:r>
        <w:rPr>
          <w:rFonts w:ascii="Times New Roman" w:cs="Times New Roman" w:eastAsia="Times New Roman" w:hAnsi="Times New Roman"/>
          <w:sz w:val="19"/>
          <w:szCs w:val="19"/>
          <w:color w:val="auto"/>
        </w:rPr>
        <w:t>. Grantee acknowledges that if he/she breaches or threatens to breach any of the provisions of this Section 2, his/her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actions may cause irreparable harm and damage to the Company which could not be compensated in damages. Accordingly, if</w:t>
      </w:r>
    </w:p>
    <w:p>
      <w:pPr>
        <w:spacing w:after="0" w:line="1"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Grantee breaches or threatens to breach any of the provisions of this Section 2, the Company shall be entitled to seek injunctive relief, instead of any other rights or remedies the Company may have.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5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Provisions Severable</w:t>
      </w:r>
      <w:r>
        <w:rPr>
          <w:rFonts w:ascii="Times New Roman" w:cs="Times New Roman" w:eastAsia="Times New Roman" w:hAnsi="Times New Roman"/>
          <w:sz w:val="20"/>
          <w:szCs w:val="20"/>
          <w:color w:val="auto"/>
        </w:rPr>
        <w:t>. If any provision or covenant, or any part thereof, contained in the Confidentiality Provisions is held by any</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court to be invalid, illegal, or unenforceable, either in whole or in part, such invalidity, illegality or unenforceability shall not affect the validity, legality or enforceability of the remaining provisions or covenants, or any part thereof, in the Confidentiality Provisions,</w:t>
      </w:r>
    </w:p>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all of which shall remain in full force and effect. Each and every provision, paragraph and subparagraph of Section 2 above is severable from the other provisions, paragraphs and subparagraphs and constitutes a separate and distinct covenant.</w:t>
      </w:r>
    </w:p>
    <w:p>
      <w:pPr>
        <w:spacing w:after="0" w:line="149"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20"/>
          <w:szCs w:val="20"/>
          <w:color w:val="auto"/>
        </w:rPr>
        <w:t xml:space="preserve">The restrictive covenants set forth in Section 2 of the Confidentiality Provisions represent the entire agreement of the parties with respect to the subject matter thereof and supersede any prior agreement with respect thereto; provided, however, that the restrictive covenants described in this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070"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0"/>
          <w:szCs w:val="20"/>
          <w:color w:val="auto"/>
        </w:rPr>
        <w:t>supersede those set forth in either: (a) any Executive Severance Agreement applicable to Grantee, if any, (b) any Confidentiality,</w:t>
      </w: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Inventions and Non-Solicitation Agreement to which Grantee is a party, if any, or (c) any restrictive covenants to which Grantee is a party under any employment agreement or offer letter, if 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7 of the Confidentiality Provisions:</w:t>
      </w:r>
    </w:p>
    <w:p>
      <w:pPr>
        <w:spacing w:after="0" w:line="185"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both parties hereto, which makes specific reference to the Confidentiality Provisions. However, this Section does</w:t>
      </w:r>
    </w:p>
    <w:p>
      <w:pPr>
        <w:ind w:left="660"/>
        <w:spacing w:after="0" w:line="213" w:lineRule="auto"/>
        <w:rPr>
          <w:sz w:val="20"/>
          <w:szCs w:val="20"/>
          <w:color w:val="auto"/>
        </w:rPr>
      </w:pPr>
      <w:r>
        <w:rPr>
          <w:rFonts w:ascii="Times New Roman" w:cs="Times New Roman" w:eastAsia="Times New Roman" w:hAnsi="Times New Roman"/>
          <w:sz w:val="20"/>
          <w:szCs w:val="20"/>
          <w:color w:val="auto"/>
        </w:rPr>
        <w:t>not affect a court of competent jurisdiction or arbitrator`s ability to modify the Confidentiality Provisions, in the event that either</w:t>
      </w:r>
    </w:p>
    <w:p>
      <w:pPr>
        <w:ind w:left="660"/>
        <w:spacing w:after="0" w:line="221" w:lineRule="auto"/>
        <w:rPr>
          <w:sz w:val="20"/>
          <w:szCs w:val="20"/>
          <w:color w:val="auto"/>
        </w:rPr>
      </w:pPr>
      <w:r>
        <w:rPr>
          <w:rFonts w:ascii="Times New Roman" w:cs="Times New Roman" w:eastAsia="Times New Roman" w:hAnsi="Times New Roman"/>
          <w:sz w:val="20"/>
          <w:szCs w:val="20"/>
          <w:color w:val="auto"/>
        </w:rPr>
        <w:t>party initiates legal proceedings that relate in any way to this Confidentiality Provisions, including any action brought by either party seeking to enforce any provision set forth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8 of the Confidentiality Provisions:</w:t>
      </w:r>
    </w:p>
    <w:p>
      <w:pPr>
        <w:spacing w:after="0" w:line="185" w:lineRule="exact"/>
        <w:rPr>
          <w:sz w:val="20"/>
          <w:szCs w:val="20"/>
          <w:color w:val="auto"/>
        </w:rPr>
      </w:pPr>
    </w:p>
    <w:p>
      <w:pPr>
        <w:ind w:left="660"/>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Governing Law and Venue. </w:t>
      </w:r>
      <w:r>
        <w:rPr>
          <w:rFonts w:ascii="Times New Roman" w:cs="Times New Roman" w:eastAsia="Times New Roman" w:hAnsi="Times New Roman"/>
          <w:sz w:val="20"/>
          <w:szCs w:val="20"/>
          <w:color w:val="auto"/>
        </w:rPr>
        <w:t>The validity and effect of the Confidentiality Provisions shall be governed by and construed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enforced in accordance with applicable local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1(b) of the Confidentiality Provisions: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 xml:space="preserve">“Trade Secrets” </w:t>
      </w:r>
      <w:r>
        <w:rPr>
          <w:rFonts w:ascii="Times New Roman" w:cs="Times New Roman" w:eastAsia="Times New Roman" w:hAnsi="Times New Roman"/>
          <w:sz w:val="20"/>
          <w:szCs w:val="20"/>
          <w:color w:val="auto"/>
        </w:rPr>
        <w:t>means information which meets all of the following requirements:</w:t>
      </w:r>
    </w:p>
    <w:p>
      <w:pPr>
        <w:spacing w:after="0" w:line="193" w:lineRule="exact"/>
        <w:rPr>
          <w:sz w:val="20"/>
          <w:szCs w:val="20"/>
          <w:color w:val="auto"/>
        </w:rPr>
      </w:pPr>
    </w:p>
    <w:p>
      <w:pPr>
        <w:ind w:left="1280" w:hanging="1"/>
        <w:spacing w:after="0"/>
        <w:tabs>
          <w:tab w:leader="none" w:pos="155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secret in the sense that it is not, as a body or in the precise configuration and assembly of its components, generally known among or readily accessible to persons within the circles that normally deal with the kind of information in question;</w:t>
      </w:r>
    </w:p>
    <w:p>
      <w:pPr>
        <w:spacing w:after="0" w:line="147" w:lineRule="exact"/>
        <w:rPr>
          <w:rFonts w:ascii="Times New Roman" w:cs="Times New Roman" w:eastAsia="Times New Roman" w:hAnsi="Times New Roman"/>
          <w:sz w:val="20"/>
          <w:szCs w:val="20"/>
          <w:color w:val="auto"/>
        </w:rPr>
      </w:pPr>
    </w:p>
    <w:p>
      <w:pPr>
        <w:ind w:left="1560" w:hanging="281"/>
        <w:spacing w:after="0"/>
        <w:tabs>
          <w:tab w:leader="none" w:pos="15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commercial value because it is secret; and</w:t>
      </w:r>
    </w:p>
    <w:p>
      <w:pPr>
        <w:spacing w:after="0" w:line="188" w:lineRule="exact"/>
        <w:rPr>
          <w:rFonts w:ascii="Times New Roman" w:cs="Times New Roman" w:eastAsia="Times New Roman" w:hAnsi="Times New Roman"/>
          <w:sz w:val="20"/>
          <w:szCs w:val="20"/>
          <w:color w:val="auto"/>
        </w:rPr>
      </w:pPr>
    </w:p>
    <w:p>
      <w:pPr>
        <w:ind w:left="1280" w:hanging="1"/>
        <w:spacing w:after="0" w:line="233" w:lineRule="auto"/>
        <w:tabs>
          <w:tab w:leader="none" w:pos="156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subject to reasonable steps under the circumstances, by the person lawfully in control of the information, to keep it secret.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1(c) of the Confidentiality Provisions:</w:t>
      </w:r>
    </w:p>
    <w:p>
      <w:pPr>
        <w:spacing w:after="0" w:line="185"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“Customers” </w:t>
      </w:r>
      <w:r>
        <w:rPr>
          <w:rFonts w:ascii="Times New Roman" w:cs="Times New Roman" w:eastAsia="Times New Roman" w:hAnsi="Times New Roman"/>
          <w:sz w:val="20"/>
          <w:szCs w:val="20"/>
          <w:color w:val="auto"/>
        </w:rPr>
        <w:t>means those entities and/or individuals which, within the twelve month period preceding the Date of Termination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term is defined in Restricted Stock Unit Agreement): (i) Grantee had material contact on behalf of the Company; (ii) about</w:t>
      </w:r>
    </w:p>
    <w:p>
      <w:pPr>
        <w:ind w:left="660"/>
        <w:spacing w:after="0" w:line="213" w:lineRule="auto"/>
        <w:rPr>
          <w:sz w:val="20"/>
          <w:szCs w:val="20"/>
          <w:color w:val="auto"/>
        </w:rPr>
      </w:pPr>
      <w:r>
        <w:rPr>
          <w:rFonts w:ascii="Times New Roman" w:cs="Times New Roman" w:eastAsia="Times New Roman" w:hAnsi="Times New Roman"/>
          <w:sz w:val="20"/>
          <w:szCs w:val="20"/>
          <w:color w:val="auto"/>
        </w:rPr>
        <w:t>whom Grantee acquired, directly or indirectly, Confidential Information or Trade Secrets as a result of his/her employment with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Company; and/or (iii) Grantee exercised oversight or responsibility of subordinates who engaged in Material Contact on behalf of the Company. Additionally, “Customers” references only those entities and/or individuals with whom the Company currently has a</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business relationship, or with whom it expended resources to have or resume the same during the twelve-month period referenced herein.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1(h)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“Material Contact” </w:t>
      </w:r>
      <w:r>
        <w:rPr>
          <w:rFonts w:ascii="Times New Roman" w:cs="Times New Roman" w:eastAsia="Times New Roman" w:hAnsi="Times New Roman"/>
          <w:sz w:val="20"/>
          <w:szCs w:val="20"/>
          <w:color w:val="auto"/>
        </w:rPr>
        <w:t>means material contact between an employee and each Customer or potential Customer: with whom or which</w:t>
      </w:r>
    </w:p>
    <w:p>
      <w:pPr>
        <w:ind w:left="660"/>
        <w:spacing w:after="0" w:line="215" w:lineRule="auto"/>
        <w:rPr>
          <w:sz w:val="20"/>
          <w:szCs w:val="20"/>
          <w:color w:val="auto"/>
        </w:rPr>
      </w:pPr>
      <w:r>
        <w:rPr>
          <w:rFonts w:ascii="Times New Roman" w:cs="Times New Roman" w:eastAsia="Times New Roman" w:hAnsi="Times New Roman"/>
          <w:sz w:val="19"/>
          <w:szCs w:val="19"/>
          <w:color w:val="auto"/>
        </w:rPr>
        <w:t>Grantee dealt on behalf of the Company; whose dealings with the Company were coordinated or supervised by Grantee; about whom Grantee obtained confidential information in the ordinary course of business as a result of such employee’s association with the</w:t>
      </w:r>
    </w:p>
    <w:p>
      <w:pPr>
        <w:ind w:left="660"/>
        <w:spacing w:after="0" w:line="228" w:lineRule="auto"/>
        <w:rPr>
          <w:sz w:val="20"/>
          <w:szCs w:val="20"/>
          <w:color w:val="auto"/>
        </w:rPr>
      </w:pPr>
      <w:r>
        <w:rPr>
          <w:rFonts w:ascii="Times New Roman" w:cs="Times New Roman" w:eastAsia="Times New Roman" w:hAnsi="Times New Roman"/>
          <w:sz w:val="20"/>
          <w:szCs w:val="20"/>
          <w:color w:val="auto"/>
        </w:rPr>
        <w:t>Company; and/or who receives products or services authorized by the Company, the sale or provision of which results or resulted in compensation, commissions, or earnings for Grantee within two years prior to the date of the Date of Termination.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1(i) (“Termination for Cause” or “Terminated for Cause”) of the Confidentiality Provisions is hereby deleted.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1(j) of the Confidentiality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070"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“Inventions” and “Intellectual Property” </w:t>
      </w:r>
      <w:r>
        <w:rPr>
          <w:rFonts w:ascii="Times New Roman" w:cs="Times New Roman" w:eastAsia="Times New Roman" w:hAnsi="Times New Roman"/>
          <w:sz w:val="20"/>
          <w:szCs w:val="20"/>
          <w:color w:val="auto"/>
        </w:rPr>
        <w:t>The term “Invention” means contributions, discoveries, improvements, ideas, designs,</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designations, developments, methods, modifications, improvements, processes, algorithms, databases, computer programs, formulae, techniques, trade secrets, graphics or images, and audio or visual works, written text, software, code, and other works of authorship,</w:t>
      </w:r>
    </w:p>
    <w:p>
      <w:pPr>
        <w:ind w:left="660"/>
        <w:spacing w:after="0" w:line="204" w:lineRule="auto"/>
        <w:rPr>
          <w:sz w:val="20"/>
          <w:szCs w:val="20"/>
          <w:color w:val="auto"/>
        </w:rPr>
      </w:pPr>
      <w:r>
        <w:rPr>
          <w:rFonts w:ascii="Times New Roman" w:cs="Times New Roman" w:eastAsia="Times New Roman" w:hAnsi="Times New Roman"/>
          <w:sz w:val="20"/>
          <w:szCs w:val="20"/>
          <w:color w:val="auto"/>
        </w:rPr>
        <w:t>whether or not patentable or copyrightable, whether or not recorded in any medium and: (i) which relate directly to the business of the Company, or (ii) which result from any work performed by Grantee or by Grantee’s fellow employees for the Company, or</w:t>
      </w:r>
    </w:p>
    <w:p>
      <w:pPr>
        <w:spacing w:after="0" w:line="1" w:lineRule="exact"/>
        <w:rPr>
          <w:sz w:val="20"/>
          <w:szCs w:val="20"/>
          <w:color w:val="auto"/>
        </w:rPr>
      </w:pPr>
    </w:p>
    <w:p>
      <w:pPr>
        <w:jc w:val="both"/>
        <w:ind w:left="660" w:hanging="4"/>
        <w:spacing w:after="0" w:line="212" w:lineRule="auto"/>
        <w:tabs>
          <w:tab w:leader="none" w:pos="102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equipment, supplies, facilities, Confidential Information or Trade Secrets of the Company are used, or (iv) which is developed on the Company’s time. The term “Intellectual Property” means all patents, rights in inventions, supplementary protection certificates, utility models, rights in designs, trademarks, service marks, trade and business names, logos, get up and trade dress and all associated goodwill, rights to sue for passing off and/or for unfair competition, copyright, moral rights and related rights, rights in computer software, rights in databases, topography rights, domain names, rights in information (including know-how and trade secrets) and the right to use, and protect the confidentiality of, confidential information, image rights, rights of personality, and all other similar or equivalent rights subsisting now or in the future in any part of the world, in each case whether registered or unregistered and including all applications for, and renewals or extensions of, and rights to claim priority from, such rights for their full term and the right to sue for damages for past and current infringement in respect of any of the same.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2(d)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Grantee does hereby assign and transfer to the Company and its successors and assigns the entire right, title and interest</w:t>
      </w:r>
    </w:p>
    <w:p>
      <w:pPr>
        <w:jc w:val="both"/>
        <w:ind w:left="660"/>
        <w:spacing w:after="0" w:line="215" w:lineRule="auto"/>
        <w:rPr>
          <w:sz w:val="20"/>
          <w:szCs w:val="20"/>
          <w:color w:val="auto"/>
        </w:rPr>
      </w:pPr>
      <w:r>
        <w:rPr>
          <w:rFonts w:ascii="Times New Roman" w:cs="Times New Roman" w:eastAsia="Times New Roman" w:hAnsi="Times New Roman"/>
          <w:sz w:val="19"/>
          <w:szCs w:val="19"/>
          <w:color w:val="auto"/>
        </w:rPr>
        <w:t>in any Invention which is or was made or conceived, either solely or jointly with others, during his/her employment with the Company, including after the Date of Termination. To the extent that any Intellectual Property which is or was created or conceived,</w:t>
      </w:r>
    </w:p>
    <w:p>
      <w:pPr>
        <w:ind w:left="660"/>
        <w:spacing w:after="0" w:line="215" w:lineRule="auto"/>
        <w:rPr>
          <w:sz w:val="20"/>
          <w:szCs w:val="20"/>
          <w:color w:val="auto"/>
        </w:rPr>
      </w:pPr>
      <w:r>
        <w:rPr>
          <w:rFonts w:ascii="Times New Roman" w:cs="Times New Roman" w:eastAsia="Times New Roman" w:hAnsi="Times New Roman"/>
          <w:sz w:val="19"/>
          <w:szCs w:val="19"/>
          <w:color w:val="auto"/>
        </w:rPr>
        <w:t>either solely or jointly with others, during his/her employment with the Company does not vest in the Company automatically and/or pending any assignment of such Intellectual Property, Grantee shall hold such Intellectual Property on trust for the Company. Grantee</w:t>
      </w:r>
    </w:p>
    <w:p>
      <w:pPr>
        <w:ind w:left="660"/>
        <w:spacing w:after="0" w:line="211" w:lineRule="auto"/>
        <w:rPr>
          <w:sz w:val="20"/>
          <w:szCs w:val="20"/>
          <w:color w:val="auto"/>
        </w:rPr>
      </w:pPr>
      <w:r>
        <w:rPr>
          <w:rFonts w:ascii="Times New Roman" w:cs="Times New Roman" w:eastAsia="Times New Roman" w:hAnsi="Times New Roman"/>
          <w:sz w:val="20"/>
          <w:szCs w:val="20"/>
          <w:color w:val="auto"/>
        </w:rPr>
        <w:t>hereby irrevocably and unconditionally waives all claims to any moral rights or other special rights which it may have or accrue in</w:t>
      </w:r>
    </w:p>
    <w:p>
      <w:pPr>
        <w:ind w:left="660"/>
        <w:spacing w:after="0" w:line="204" w:lineRule="auto"/>
        <w:rPr>
          <w:sz w:val="20"/>
          <w:szCs w:val="20"/>
          <w:color w:val="auto"/>
        </w:rPr>
      </w:pPr>
      <w:r>
        <w:rPr>
          <w:rFonts w:ascii="Times New Roman" w:cs="Times New Roman" w:eastAsia="Times New Roman" w:hAnsi="Times New Roman"/>
          <w:sz w:val="20"/>
          <w:szCs w:val="20"/>
          <w:color w:val="auto"/>
        </w:rPr>
        <w:t>any Inventions or Intellectual Property. Grantee attests that he/she has disclosed (or promptly will disclose, if after the Date of Termination) to the Company all Inventions. Grantee will, if requested, promptly execute and deliver to the Company a specific</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assignment of title for any such Invention or Intellectual Property right and will at the expense of the Company, take all reasonably required action by the Company to patent, copyright or otherwise protect the Invention.”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2(e)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Grantee acknowledges and agrees that during his/her employment, and for twelve (12) months after the Date of</w:t>
      </w:r>
    </w:p>
    <w:p>
      <w:pPr>
        <w:ind w:left="660"/>
        <w:spacing w:after="0" w:line="215" w:lineRule="auto"/>
        <w:rPr>
          <w:sz w:val="20"/>
          <w:szCs w:val="20"/>
          <w:color w:val="auto"/>
        </w:rPr>
      </w:pPr>
      <w:r>
        <w:rPr>
          <w:rFonts w:ascii="Times New Roman" w:cs="Times New Roman" w:eastAsia="Times New Roman" w:hAnsi="Times New Roman"/>
          <w:sz w:val="19"/>
          <w:szCs w:val="19"/>
          <w:color w:val="auto"/>
        </w:rPr>
        <w:t>Termination, he/she has not and will not, directly or indirectly, in competition with the Company, engage in, provide, or perform any Employee Services on behalf of any person or entity (or, if organized into divisions or units, any distinct division or operating unit) in</w:t>
      </w:r>
    </w:p>
    <w:p>
      <w:pPr>
        <w:ind w:left="660"/>
        <w:spacing w:after="0" w:line="228" w:lineRule="auto"/>
        <w:rPr>
          <w:sz w:val="20"/>
          <w:szCs w:val="20"/>
          <w:color w:val="auto"/>
        </w:rPr>
      </w:pPr>
      <w:r>
        <w:rPr>
          <w:rFonts w:ascii="Times New Roman" w:cs="Times New Roman" w:eastAsia="Times New Roman" w:hAnsi="Times New Roman"/>
          <w:sz w:val="20"/>
          <w:szCs w:val="20"/>
          <w:color w:val="auto"/>
        </w:rPr>
        <w:t>the Territory that derives revenue from providing goods or services substantially similar to those which comprise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2(f) of the Confidentiality Provisions: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Non-Solicitation of Customers. </w:t>
      </w:r>
      <w:r>
        <w:rPr>
          <w:rFonts w:ascii="Times New Roman" w:cs="Times New Roman" w:eastAsia="Times New Roman" w:hAnsi="Times New Roman"/>
          <w:sz w:val="19"/>
          <w:szCs w:val="19"/>
          <w:color w:val="auto"/>
        </w:rPr>
        <w:t>Grantee acknowledges and agrees that during his/her employment, and for twelve (12) months after</w:t>
      </w:r>
    </w:p>
    <w:p>
      <w:pPr>
        <w:spacing w:after="0" w:line="10"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the Date of Termination, Grantee has not and will not directly or indirectly solicit Customers (as defined in Section 1(c) above) with whom he/she had Material Contact (as defined above) for the purpose of providing goods and/or services competitive with the</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Company’s Business with which Grantee was materially concerned in the period of twelve (12) months prior to the Date of Termination</w:t>
      </w:r>
      <w:r>
        <w:rPr>
          <w:rFonts w:ascii="Times New Roman" w:cs="Times New Roman" w:eastAsia="Times New Roman" w:hAnsi="Times New Roman"/>
          <w:sz w:val="20"/>
          <w:szCs w:val="20"/>
          <w:i w:val="1"/>
          <w:iCs w:val="1"/>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2(g) of the Confidentiality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Non-Solicitation of Employees and Agents. </w:t>
      </w:r>
      <w:r>
        <w:rPr>
          <w:rFonts w:ascii="Times New Roman" w:cs="Times New Roman" w:eastAsia="Times New Roman" w:hAnsi="Times New Roman"/>
          <w:sz w:val="20"/>
          <w:szCs w:val="20"/>
          <w:color w:val="auto"/>
        </w:rPr>
        <w:t>Grantee acknowledges and agrees that during his/her employment, and for a period of</w:t>
      </w:r>
    </w:p>
    <w:p>
      <w:pPr>
        <w:ind w:left="660"/>
        <w:spacing w:after="0" w:line="215" w:lineRule="auto"/>
        <w:rPr>
          <w:sz w:val="20"/>
          <w:szCs w:val="20"/>
          <w:color w:val="auto"/>
        </w:rPr>
      </w:pPr>
      <w:r>
        <w:rPr>
          <w:rFonts w:ascii="Times New Roman" w:cs="Times New Roman" w:eastAsia="Times New Roman" w:hAnsi="Times New Roman"/>
          <w:sz w:val="19"/>
          <w:szCs w:val="19"/>
          <w:color w:val="auto"/>
        </w:rPr>
        <w:t>twelve (12) months after the Date of Termination, Grantee has not and will not, directly or indirectly, whether on behalf of Grantee or others, solicit, lure or attempt to hire away any of the Company’s employees or agents with whom Grantee has material contact or</w:t>
      </w:r>
    </w:p>
    <w:p>
      <w:pPr>
        <w:ind w:left="660"/>
        <w:spacing w:after="0"/>
        <w:rPr>
          <w:sz w:val="20"/>
          <w:szCs w:val="20"/>
          <w:color w:val="auto"/>
        </w:rPr>
      </w:pPr>
      <w:r>
        <w:rPr>
          <w:rFonts w:ascii="Times New Roman" w:cs="Times New Roman" w:eastAsia="Times New Roman" w:hAnsi="Times New Roman"/>
          <w:sz w:val="20"/>
          <w:szCs w:val="20"/>
          <w:color w:val="auto"/>
        </w:rPr>
        <w:t>managed in a direct line management capacity in the period of twelve (12) months prior to the Date of Termination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070"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20"/>
          <w:szCs w:val="20"/>
          <w:color w:val="auto"/>
        </w:rPr>
        <w:t>who had Material Contact with Customers in performing his/her duties of employment with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2(h) of the Confidentiality Provisions:</w:t>
      </w:r>
    </w:p>
    <w:p>
      <w:pPr>
        <w:spacing w:after="0" w:line="171"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Non-Solicitation of Sales Agents. </w:t>
      </w:r>
      <w:r>
        <w:rPr>
          <w:rFonts w:ascii="Times New Roman" w:cs="Times New Roman" w:eastAsia="Times New Roman" w:hAnsi="Times New Roman"/>
          <w:sz w:val="19"/>
          <w:szCs w:val="19"/>
          <w:color w:val="auto"/>
        </w:rPr>
        <w:t>Grantee acknowledges and agrees that during his/her employment, and for a period of twelve (12)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months after the Date of Termination, Grantee has not and will not, directly or indirectly, whether on behalf of Grantee or others,</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solicit any of the Company’s Sales Agents for the purpose of disrupting their relationship with the Company and/or selling and/or facilitating the sale of products competitive with the Company’s Business with which Grantee was materially concerned in the period</w:t>
      </w:r>
    </w:p>
    <w:p>
      <w:pPr>
        <w:ind w:left="660"/>
        <w:spacing w:after="0" w:line="211" w:lineRule="auto"/>
        <w:rPr>
          <w:sz w:val="20"/>
          <w:szCs w:val="20"/>
          <w:color w:val="auto"/>
        </w:rPr>
      </w:pPr>
      <w:r>
        <w:rPr>
          <w:rFonts w:ascii="Times New Roman" w:cs="Times New Roman" w:eastAsia="Times New Roman" w:hAnsi="Times New Roman"/>
          <w:sz w:val="20"/>
          <w:szCs w:val="20"/>
          <w:color w:val="auto"/>
        </w:rPr>
        <w:t>of twelve (12) months prior to the Date of Termination. For purposes of this Section 2, a “Sales Agent” is any third-party agency,</w:t>
      </w:r>
    </w:p>
    <w:p>
      <w:pPr>
        <w:ind w:left="660"/>
        <w:spacing w:after="0" w:line="215" w:lineRule="auto"/>
        <w:rPr>
          <w:sz w:val="20"/>
          <w:szCs w:val="20"/>
          <w:color w:val="auto"/>
        </w:rPr>
      </w:pPr>
      <w:r>
        <w:rPr>
          <w:rFonts w:ascii="Times New Roman" w:cs="Times New Roman" w:eastAsia="Times New Roman" w:hAnsi="Times New Roman"/>
          <w:sz w:val="19"/>
          <w:szCs w:val="19"/>
          <w:color w:val="auto"/>
        </w:rPr>
        <w:t>and/or its representatives, with which or whom the Company has contracted for the purpose of facilitating the sale of the Company’s products during the last twelve (12) months of Grantee’s employment with the Company and with whom Grantee had material</w:t>
      </w:r>
    </w:p>
    <w:p>
      <w:pPr>
        <w:ind w:left="660"/>
        <w:spacing w:after="0"/>
        <w:rPr>
          <w:sz w:val="20"/>
          <w:szCs w:val="20"/>
          <w:color w:val="auto"/>
        </w:rPr>
      </w:pPr>
      <w:r>
        <w:rPr>
          <w:rFonts w:ascii="Times New Roman" w:cs="Times New Roman" w:eastAsia="Times New Roman" w:hAnsi="Times New Roman"/>
          <w:sz w:val="20"/>
          <w:szCs w:val="20"/>
          <w:color w:val="auto"/>
        </w:rPr>
        <w:t>contact or responsibility in his capacity as an employee of the Company during that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7 of the Confidentiality Provisions:</w:t>
      </w:r>
    </w:p>
    <w:p>
      <w:pPr>
        <w:spacing w:after="0" w:line="171" w:lineRule="exact"/>
        <w:rPr>
          <w:sz w:val="20"/>
          <w:szCs w:val="20"/>
          <w:color w:val="auto"/>
        </w:rPr>
      </w:pPr>
    </w:p>
    <w:p>
      <w:pPr>
        <w:ind w:left="660"/>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Amendments and Modifications. </w:t>
      </w:r>
      <w:r>
        <w:rPr>
          <w:rFonts w:ascii="Times New Roman" w:cs="Times New Roman" w:eastAsia="Times New Roman" w:hAnsi="Times New Roman"/>
          <w:sz w:val="20"/>
          <w:szCs w:val="20"/>
          <w:color w:val="auto"/>
        </w:rPr>
        <w:t>The Confidentiality Provisions and any Exhibit hereto may be amended or modified only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signed by both parties hereto, which makes specific reference to the Confidentiality Provisions. However, this Section does</w:t>
      </w:r>
    </w:p>
    <w:p>
      <w:pPr>
        <w:spacing w:after="0" w:line="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not affect a court of competent jurisdiction or arbitrator`s ability to modify the Confidentiality Provisions in the event that either party initiates legal proceedings that relate in any way to this Confidentiality Provisions, including any action brought by either party</w:t>
      </w:r>
    </w:p>
    <w:p>
      <w:pPr>
        <w:ind w:left="660"/>
        <w:spacing w:after="0"/>
        <w:rPr>
          <w:sz w:val="20"/>
          <w:szCs w:val="20"/>
          <w:color w:val="auto"/>
        </w:rPr>
      </w:pPr>
      <w:r>
        <w:rPr>
          <w:rFonts w:ascii="Times New Roman" w:cs="Times New Roman" w:eastAsia="Times New Roman" w:hAnsi="Times New Roman"/>
          <w:sz w:val="20"/>
          <w:szCs w:val="20"/>
          <w:color w:val="auto"/>
        </w:rPr>
        <w:t>seeking to enforce any provision set forth 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 replaces Section 8 of the Confidentiality Provisions:</w:t>
      </w:r>
    </w:p>
    <w:p>
      <w:pPr>
        <w:spacing w:after="0" w:line="166" w:lineRule="exact"/>
        <w:rPr>
          <w:sz w:val="20"/>
          <w:szCs w:val="20"/>
          <w:color w:val="auto"/>
        </w:rPr>
      </w:pPr>
    </w:p>
    <w:p>
      <w:pPr>
        <w:ind w:left="660"/>
        <w:spacing w:after="0"/>
        <w:tabs>
          <w:tab w:leader="none" w:pos="3180" w:val="left"/>
        </w:tabs>
        <w:rPr>
          <w:sz w:val="20"/>
          <w:szCs w:val="20"/>
          <w:color w:val="auto"/>
        </w:rPr>
      </w:pPr>
      <w:r>
        <w:rPr>
          <w:rFonts w:ascii="Times New Roman" w:cs="Times New Roman" w:eastAsia="Times New Roman" w:hAnsi="Times New Roman"/>
          <w:sz w:val="20"/>
          <w:szCs w:val="20"/>
          <w:b w:val="1"/>
          <w:bCs w:val="1"/>
          <w:color w:val="auto"/>
        </w:rPr>
        <w:t>Governing Law and Venue.</w:t>
      </w:r>
      <w:r>
        <w:rPr>
          <w:sz w:val="20"/>
          <w:szCs w:val="20"/>
          <w:color w:val="auto"/>
        </w:rPr>
        <w:tab/>
      </w:r>
      <w:r>
        <w:rPr>
          <w:rFonts w:ascii="Times New Roman" w:cs="Times New Roman" w:eastAsia="Times New Roman" w:hAnsi="Times New Roman"/>
          <w:sz w:val="20"/>
          <w:szCs w:val="20"/>
          <w:color w:val="auto"/>
        </w:rPr>
        <w:t>The validity and effect of the Confidentiality Provisions shall be governed by and construed and</w:t>
      </w:r>
    </w:p>
    <w:p>
      <w:pPr>
        <w:ind w:left="660"/>
        <w:spacing w:after="0" w:line="204" w:lineRule="auto"/>
        <w:rPr>
          <w:sz w:val="20"/>
          <w:szCs w:val="20"/>
          <w:color w:val="auto"/>
        </w:rPr>
      </w:pPr>
      <w:r>
        <w:rPr>
          <w:rFonts w:ascii="Times New Roman" w:cs="Times New Roman" w:eastAsia="Times New Roman" w:hAnsi="Times New Roman"/>
          <w:sz w:val="20"/>
          <w:szCs w:val="20"/>
          <w:color w:val="auto"/>
        </w:rPr>
        <w:t>enforced in accordance with the laws of England and Wales. Any and all disputes relating to, concerning or arising from the Confidentiality Provisions, or relating to, concerning or arising from the relationship between the parties evidenced by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Confidentiality Provisions, shall be brought and heard exclusively in the Courts of England and Wales. Each of the parties hereby</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represents and agrees that such party is subject to the personal jurisdiction of said courts; hereby irrevocably consents to the jurisdiction of such courts in any legal or equitable proceedings related to, concerning or arising from such dispute, and waives, to</w:t>
      </w:r>
    </w:p>
    <w:p>
      <w:pPr>
        <w:ind w:left="660"/>
        <w:spacing w:after="0" w:line="211" w:lineRule="auto"/>
        <w:rPr>
          <w:sz w:val="20"/>
          <w:szCs w:val="20"/>
          <w:color w:val="auto"/>
        </w:rPr>
      </w:pPr>
      <w:r>
        <w:rPr>
          <w:rFonts w:ascii="Times New Roman" w:cs="Times New Roman" w:eastAsia="Times New Roman" w:hAnsi="Times New Roman"/>
          <w:sz w:val="20"/>
          <w:szCs w:val="20"/>
          <w:color w:val="auto"/>
        </w:rPr>
        <w:t>the fullest extent permitted by law, any objection which such party may now or hereafter have that the laying of the venue of any</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legal or equitable proceedings related to, concerning or arising from such dispute which is brought in such courts is improper or that such proceedings have been brought in an inconvenient forum.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following provisions are deleted in their entirety: Sections 10 </w:t>
      </w:r>
      <w:r>
        <w:rPr>
          <w:rFonts w:ascii="Times New Roman" w:cs="Times New Roman" w:eastAsia="Times New Roman" w:hAnsi="Times New Roman"/>
          <w:sz w:val="20"/>
          <w:szCs w:val="20"/>
          <w:b w:val="1"/>
          <w:bCs w:val="1"/>
          <w:color w:val="auto"/>
        </w:rPr>
        <w:t>(“Tender Back Provision”</w:t>
      </w:r>
      <w:r>
        <w:rPr>
          <w:rFonts w:ascii="Times New Roman" w:cs="Times New Roman" w:eastAsia="Times New Roman" w:hAnsi="Times New Roman"/>
          <w:sz w:val="20"/>
          <w:szCs w:val="20"/>
          <w:color w:val="auto"/>
        </w:rPr>
        <w:t xml:space="preserve">) and Section 11 </w:t>
      </w:r>
      <w:r>
        <w:rPr>
          <w:rFonts w:ascii="Times New Roman" w:cs="Times New Roman" w:eastAsia="Times New Roman" w:hAnsi="Times New Roman"/>
          <w:sz w:val="20"/>
          <w:szCs w:val="20"/>
          <w:b w:val="1"/>
          <w:bCs w:val="1"/>
          <w:color w:val="auto"/>
        </w:rPr>
        <w:t>(“Tolling Period”</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following new Section 13 is inserted as follows:</w:t>
      </w:r>
    </w:p>
    <w:p>
      <w:pPr>
        <w:spacing w:after="0" w:line="171"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Subsidiaries. </w:t>
      </w:r>
      <w:r>
        <w:rPr>
          <w:rFonts w:ascii="Times New Roman" w:cs="Times New Roman" w:eastAsia="Times New Roman" w:hAnsi="Times New Roman"/>
          <w:sz w:val="19"/>
          <w:szCs w:val="19"/>
          <w:color w:val="auto"/>
        </w:rPr>
        <w:t>The provisions of Sections 2(e) through Section 2(h) shall only apply in respect of those subsidiaries to whom Grantee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his services, for whom he was responsible or with whom he was otherwise materially concerned in the period of twelve</w:t>
      </w:r>
    </w:p>
    <w:p>
      <w:pPr>
        <w:spacing w:after="0" w:line="1" w:lineRule="exact"/>
        <w:rPr>
          <w:sz w:val="20"/>
          <w:szCs w:val="20"/>
          <w:color w:val="auto"/>
        </w:rPr>
      </w:pPr>
    </w:p>
    <w:p>
      <w:pPr>
        <w:jc w:val="both"/>
        <w:ind w:left="660" w:hanging="4"/>
        <w:spacing w:after="0" w:line="216" w:lineRule="auto"/>
        <w:tabs>
          <w:tab w:leader="none" w:pos="104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prior to the Date of Termination. The obligations under those provisions shall, with respect to each subsidiary, constitute a distinct and separate covenant and the invalidity or unenforceability of any such covenant shall not affect the validity or enforceability of the covenants in favor of any other Company. In relation to each subsidiary referred to in this Section 13, the Company contracts as trustee and agent for the benefit of each such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07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200" w:hanging="644"/>
        <w:spacing w:after="0" w:line="268"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200" w:hanging="644"/>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2022, as filed with the Securities and Exchange Commission on the date hereof (the “Report”), the undersigned, the Chairman, President and Chief Executive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2022, as filed with the Securities and Exchange Commission on the date hereof (the “Report”), the undersigned, the Senior Vice President and Chief Financial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lowerRoman"/>
      <w:start w:val="2"/>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90"/>
    </w:lvl>
    <w:lvl w:ilvl="1">
      <w:lvlJc w:val="left"/>
      <w:lvlText w:val="%2."/>
      <w:numFmt w:val="decimal"/>
      <w:start w:val="5"/>
    </w:lvl>
    <w:lvl w:ilvl="2">
      <w:lvlJc w:val="left"/>
      <w:lvlText w:val="%3)"/>
      <w:numFmt w:val="lowerLetter"/>
      <w:start w:val="1"/>
    </w:lvl>
  </w:abstractNum>
  <w:abstractNum w:abstractNumId="11">
    <w:nsid w:val="5072367"/>
    <w:multiLevelType w:val="hybridMultilevel"/>
    <w:lvl w:ilvl="0">
      <w:lvlJc w:val="left"/>
      <w:lvlText w:val="%1."/>
      <w:numFmt w:val="decimal"/>
      <w:start w:val="6"/>
    </w:lvl>
  </w:abstractNum>
  <w:abstractNum w:abstractNumId="12">
    <w:nsid w:val="3804823E"/>
    <w:multiLevelType w:val="hybridMultilevel"/>
    <w:lvl w:ilvl="0">
      <w:lvlJc w:val="left"/>
      <w:lvlText w:val="%1."/>
      <w:numFmt w:val="decimal"/>
      <w:start w:val="13"/>
    </w:lvl>
    <w:lvl w:ilvl="1">
      <w:lvlJc w:val="left"/>
      <w:lvlText w:val="%2)"/>
      <w:numFmt w:val="lowerLetter"/>
      <w:start w:val="1"/>
    </w:lvl>
  </w:abstractNum>
  <w:abstractNum w:abstractNumId="13">
    <w:nsid w:val="77465F0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8"/>
    </w:lvl>
    <w:lvl w:ilvl="3">
      <w:lvlJc w:val="left"/>
      <w:lvlText w:val="%4"/>
      <w:numFmt w:val="lowerRoman"/>
      <w:start w:val="1"/>
    </w:lvl>
  </w:abstractNum>
  <w:abstractNum w:abstractNumId="14">
    <w:nsid w:val="7724C67E"/>
    <w:multiLevelType w:val="hybridMultilevel"/>
    <w:lvl w:ilvl="0">
      <w:lvlJc w:val="left"/>
      <w:lvlText w:val="%1"/>
      <w:numFmt w:val="lowerRoman"/>
      <w:start w:val="1"/>
    </w:lvl>
    <w:lvl w:ilvl="1">
      <w:lvlJc w:val="left"/>
      <w:lvlText w:val="%2."/>
      <w:numFmt w:val="decimal"/>
      <w:start w:val="17"/>
    </w:lvl>
    <w:lvl w:ilvl="2">
      <w:lvlJc w:val="left"/>
      <w:lvlText w:val="%3)"/>
      <w:numFmt w:val="lowerLetter"/>
      <w:start w:val="1"/>
    </w:lvl>
    <w:lvl w:ilvl="3">
      <w:lvlJc w:val="left"/>
      <w:lvlText w:val="(%4)"/>
      <w:numFmt w:val="lowerRoman"/>
      <w:start w:val="1"/>
    </w:lvl>
  </w:abstractNum>
  <w:abstractNum w:abstractNumId="15">
    <w:nsid w:val="5C482A9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6">
    <w:nsid w:val="2463B9EA"/>
    <w:multiLevelType w:val="hybridMultilevel"/>
    <w:lvl w:ilvl="0">
      <w:lvlJc w:val="left"/>
      <w:lvlText w:val="%1"/>
      <w:numFmt w:val="decimal"/>
      <w:start w:val="1"/>
    </w:lvl>
    <w:lvl w:ilvl="1">
      <w:lvlJc w:val="left"/>
      <w:lvlText w:val="%2)"/>
      <w:numFmt w:val="lowerLetter"/>
      <w:start w:val="5"/>
    </w:lvl>
  </w:abstractNum>
  <w:abstractNum w:abstractNumId="17">
    <w:nsid w:val="5E884ADC"/>
    <w:multiLevelType w:val="hybridMultilevel"/>
    <w:lvl w:ilvl="0">
      <w:lvlJc w:val="left"/>
      <w:lvlText w:val="%1."/>
      <w:numFmt w:val="decimal"/>
      <w:start w:val="18"/>
    </w:lvl>
    <w:lvl w:ilvl="1">
      <w:lvlJc w:val="left"/>
      <w:lvlText w:val="%2"/>
      <w:numFmt w:val="lowerLetter"/>
      <w:start w:val="1"/>
    </w:lvl>
  </w:abstractNum>
  <w:abstractNum w:abstractNumId="18">
    <w:nsid w:val="51EAD36B"/>
    <w:multiLevelType w:val="hybridMultilevel"/>
    <w:lvl w:ilvl="0">
      <w:lvlJc w:val="left"/>
      <w:lvlText w:val="%1."/>
      <w:numFmt w:val="decimal"/>
      <w:start w:val="19"/>
    </w:lvl>
  </w:abstractNum>
  <w:abstractNum w:abstractNumId="19">
    <w:nsid w:val="2D517796"/>
    <w:multiLevelType w:val="hybridMultilevel"/>
    <w:lvl w:ilvl="0">
      <w:lvlJc w:val="left"/>
      <w:lvlText w:val="%1."/>
      <w:numFmt w:val="decimal"/>
      <w:start w:val="20"/>
    </w:lvl>
  </w:abstractNum>
  <w:abstractNum w:abstractNumId="20">
    <w:nsid w:val="580BD78F"/>
    <w:multiLevelType w:val="hybridMultilevel"/>
    <w:lvl w:ilvl="0">
      <w:lvlJc w:val="left"/>
      <w:lvlText w:val="%1."/>
      <w:numFmt w:val="decimal"/>
      <w:start w:val="27"/>
    </w:lvl>
  </w:abstractNum>
  <w:abstractNum w:abstractNumId="21">
    <w:nsid w:val="153EA438"/>
    <w:multiLevelType w:val="hybridMultilevel"/>
    <w:lvl w:ilvl="0">
      <w:lvlJc w:val="left"/>
      <w:lvlText w:val="%1)"/>
      <w:numFmt w:val="lowerLetter"/>
      <w:start w:val="1"/>
    </w:lvl>
  </w:abstractNum>
  <w:abstractNum w:abstractNumId="22">
    <w:nsid w:val="3855585C"/>
    <w:multiLevelType w:val="hybridMultilevel"/>
    <w:lvl w:ilvl="0">
      <w:lvlJc w:val="left"/>
      <w:lvlText w:val="%1)"/>
      <w:numFmt w:val="lowerLetter"/>
      <w:start w:val="2"/>
    </w:lvl>
  </w:abstractNum>
  <w:abstractNum w:abstractNumId="23">
    <w:nsid w:val="70A64E2A"/>
    <w:multiLevelType w:val="hybridMultilevel"/>
    <w:lvl w:ilvl="0">
      <w:lvlJc w:val="left"/>
      <w:lvlText w:val="%1)"/>
      <w:numFmt w:val="lowerLetter"/>
      <w:start w:val="4"/>
    </w:lvl>
  </w:abstractNum>
  <w:abstractNum w:abstractNumId="24">
    <w:nsid w:val="6A2342EC"/>
    <w:multiLevelType w:val="hybridMultilevel"/>
    <w:lvl w:ilvl="0">
      <w:lvlJc w:val="left"/>
      <w:lvlText w:val="%1"/>
      <w:numFmt w:val="lowerLetter"/>
      <w:start w:val="1"/>
    </w:lvl>
    <w:lvl w:ilvl="1">
      <w:lvlJc w:val="left"/>
      <w:lvlText w:val="%2)"/>
      <w:numFmt w:val="lowerLetter"/>
      <w:start w:val="5"/>
    </w:lvl>
  </w:abstractNum>
  <w:abstractNum w:abstractNumId="25">
    <w:nsid w:val="2A487CB0"/>
    <w:multiLevelType w:val="hybridMultilevel"/>
    <w:lvl w:ilvl="0">
      <w:lvlJc w:val="left"/>
      <w:lvlText w:val="(%1)"/>
      <w:numFmt w:val="lowerLetter"/>
      <w:start w:val="5"/>
    </w:lvl>
    <w:lvl w:ilvl="1">
      <w:lvlJc w:val="left"/>
      <w:lvlText w:val="%2"/>
      <w:numFmt w:val="lowerLetter"/>
      <w:start w:val="1"/>
    </w:lvl>
  </w:abstractNum>
  <w:abstractNum w:abstractNumId="26">
    <w:nsid w:val="1D4ED43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7">
    <w:nsid w:val="725A06FB"/>
    <w:multiLevelType w:val="hybridMultilevel"/>
    <w:lvl w:ilvl="0">
      <w:lvlJc w:val="left"/>
      <w:lvlText w:val="%1"/>
      <w:numFmt w:val="upperLetter"/>
      <w:start w:val="1"/>
    </w:lvl>
    <w:lvl w:ilvl="1">
      <w:lvlJc w:val="left"/>
      <w:lvlText w:val="%2)"/>
      <w:numFmt w:val="lowerLetter"/>
      <w:start w:val="1"/>
    </w:lvl>
  </w:abstractNum>
  <w:abstractNum w:abstractNumId="28">
    <w:nsid w:val="2CD89A32"/>
    <w:multiLevelType w:val="hybridMultilevel"/>
    <w:lvl w:ilvl="0">
      <w:lvlJc w:val="left"/>
      <w:lvlText w:val="%1."/>
      <w:numFmt w:val="upperLetter"/>
      <w:start w:val="2"/>
    </w:lvl>
    <w:lvl w:ilvl="1">
      <w:lvlJc w:val="left"/>
      <w:lvlText w:val="%2"/>
      <w:numFmt w:val="lowerLetter"/>
      <w:start w:val="1"/>
    </w:lvl>
  </w:abstractNum>
  <w:abstractNum w:abstractNumId="29">
    <w:nsid w:val="57E4CCAF"/>
    <w:multiLevelType w:val="hybridMultilevel"/>
    <w:lvl w:ilvl="0">
      <w:lvlJc w:val="left"/>
      <w:lvlText w:val="%1."/>
      <w:numFmt w:val="upperLetter"/>
      <w:start w:val="4"/>
    </w:lvl>
  </w:abstractNum>
  <w:abstractNum w:abstractNumId="30">
    <w:nsid w:val="7A6D8D3C"/>
    <w:multiLevelType w:val="hybridMultilevel"/>
    <w:lvl w:ilvl="0">
      <w:lvlJc w:val="left"/>
      <w:lvlText w:val="%1."/>
      <w:numFmt w:val="lowerRoman"/>
      <w:start w:val="3"/>
    </w:lvl>
  </w:abstractNum>
  <w:abstractNum w:abstractNumId="31">
    <w:nsid w:val="4B588F54"/>
    <w:multiLevelType w:val="hybridMultilevel"/>
    <w:lvl w:ilvl="0">
      <w:lvlJc w:val="left"/>
      <w:lvlText w:val="%1."/>
      <w:numFmt w:val="lowerRoman"/>
      <w:start w:val="4"/>
    </w:lvl>
  </w:abstractNum>
  <w:abstractNum w:abstractNumId="32">
    <w:nsid w:val="542289EC"/>
    <w:multiLevelType w:val="hybridMultilevel"/>
    <w:lvl w:ilvl="0">
      <w:lvlJc w:val="left"/>
      <w:lvlText w:val="%1"/>
      <w:numFmt w:val="decimal"/>
      <w:start w:val="1"/>
    </w:lvl>
    <w:lvl w:ilvl="1">
      <w:lvlJc w:val="left"/>
      <w:lvlText w:val="%2."/>
      <w:numFmt w:val="upperLetter"/>
      <w:start w:val="10"/>
    </w:lvl>
  </w:abstractNum>
  <w:abstractNum w:abstractNumId="33">
    <w:nsid w:val="6DE91B18"/>
    <w:multiLevelType w:val="hybridMultilevel"/>
    <w:lvl w:ilvl="0">
      <w:lvlJc w:val="left"/>
      <w:lvlText w:val="%1."/>
      <w:numFmt w:val="decimal"/>
      <w:start w:val="2"/>
    </w:lvl>
    <w:lvl w:ilvl="1">
      <w:lvlJc w:val="left"/>
      <w:lvlText w:val="%2."/>
      <w:numFmt w:val="upperLetter"/>
      <w:start w:val="11"/>
    </w:lvl>
  </w:abstractNum>
  <w:abstractNum w:abstractNumId="34">
    <w:nsid w:val="38437FDB"/>
    <w:multiLevelType w:val="hybridMultilevel"/>
    <w:lvl w:ilvl="0">
      <w:lvlJc w:val="left"/>
      <w:lvlText w:val="%1."/>
      <w:numFmt w:val="upperLetter"/>
      <w:start w:val="14"/>
    </w:lvl>
  </w:abstractNum>
  <w:abstractNum w:abstractNumId="35">
    <w:nsid w:val="7644A45C"/>
    <w:multiLevelType w:val="hybridMultilevel"/>
    <w:lvl w:ilvl="0">
      <w:lvlJc w:val="left"/>
      <w:lvlText w:val="%1."/>
      <w:numFmt w:val="lowerRoman"/>
      <w:start w:val="3"/>
    </w:lvl>
  </w:abstractNum>
  <w:abstractNum w:abstractNumId="36">
    <w:nsid w:val="32FFF902"/>
    <w:multiLevelType w:val="hybridMultilevel"/>
    <w:lvl w:ilvl="0">
      <w:lvlJc w:val="left"/>
      <w:lvlText w:val="%1."/>
      <w:numFmt w:val="upperLetter"/>
      <w:start w:val="16"/>
    </w:lvl>
  </w:abstractNum>
  <w:abstractNum w:abstractNumId="37">
    <w:nsid w:val="684A481A"/>
    <w:multiLevelType w:val="hybridMultilevel"/>
    <w:lvl w:ilvl="0">
      <w:lvlJc w:val="left"/>
      <w:lvlText w:val="%1."/>
      <w:numFmt w:val="decimal"/>
      <w:start w:val="3"/>
    </w:lvl>
  </w:abstractNum>
  <w:abstractNum w:abstractNumId="38">
    <w:nsid w:val="579478FE"/>
    <w:multiLevelType w:val="hybridMultilevel"/>
    <w:lvl w:ilvl="0">
      <w:lvlJc w:val="left"/>
      <w:lvlText w:val="%1."/>
      <w:numFmt w:val="decimal"/>
      <w:start w:val="5"/>
    </w:lvl>
  </w:abstractNum>
  <w:abstractNum w:abstractNumId="39">
    <w:nsid w:val="749ABB43"/>
    <w:multiLevelType w:val="hybridMultilevel"/>
    <w:lvl w:ilvl="0">
      <w:lvlJc w:val="left"/>
      <w:lvlText w:val="%1."/>
      <w:numFmt w:val="decimal"/>
      <w:start w:val="6"/>
    </w:lvl>
  </w:abstractNum>
  <w:abstractNum w:abstractNumId="40">
    <w:nsid w:val="3DC240FB"/>
    <w:multiLevelType w:val="hybridMultilevel"/>
    <w:lvl w:ilvl="0">
      <w:lvlJc w:val="left"/>
      <w:lvlText w:val="%1."/>
      <w:numFmt w:val="decimal"/>
      <w:start w:val="9"/>
    </w:lvl>
  </w:abstractNum>
  <w:abstractNum w:abstractNumId="41">
    <w:nsid w:val="1BA026FA"/>
    <w:multiLevelType w:val="hybridMultilevel"/>
    <w:lvl w:ilvl="0">
      <w:lvlJc w:val="left"/>
      <w:lvlText w:val="(%1)"/>
      <w:numFmt w:val="lowerRoman"/>
      <w:start w:val="1"/>
    </w:lvl>
  </w:abstractNum>
  <w:abstractNum w:abstractNumId="42">
    <w:nsid w:val="79A1DEAA"/>
    <w:multiLevelType w:val="hybridMultilevel"/>
    <w:lvl w:ilvl="0">
      <w:lvlJc w:val="left"/>
      <w:lvlText w:val="(%1)"/>
      <w:numFmt w:val="lowerRoman"/>
      <w:start w:val="2"/>
    </w:lvl>
  </w:abstractNum>
  <w:abstractNum w:abstractNumId="43">
    <w:nsid w:val="75C6C33A"/>
    <w:multiLevelType w:val="hybridMultilevel"/>
    <w:lvl w:ilvl="0">
      <w:lvlJc w:val="left"/>
      <w:lvlText w:val="(%1)"/>
      <w:numFmt w:val="lowerRoman"/>
      <w:start w:val="1"/>
    </w:lvl>
  </w:abstractNum>
  <w:abstractNum w:abstractNumId="44">
    <w:nsid w:val="12E685FB"/>
    <w:multiLevelType w:val="hybridMultilevel"/>
    <w:lvl w:ilvl="0">
      <w:lvlJc w:val="left"/>
      <w:lvlText w:val="(%1)"/>
      <w:numFmt w:val="lowerRoman"/>
      <w:start w:val="2"/>
    </w:lvl>
  </w:abstractNum>
  <w:abstractNum w:abstractNumId="45">
    <w:nsid w:val="70C6A529"/>
    <w:multiLevelType w:val="hybridMultilevel"/>
    <w:lvl w:ilvl="0">
      <w:lvlJc w:val="left"/>
      <w:lvlText w:val="(%1)"/>
      <w:numFmt w:val="lowerRoman"/>
      <w:start w:val="6"/>
    </w:lvl>
  </w:abstractNum>
  <w:abstractNum w:abstractNumId="46">
    <w:nsid w:val="520EEDD1"/>
    <w:multiLevelType w:val="hybridMultilevel"/>
    <w:lvl w:ilvl="0">
      <w:lvlJc w:val="left"/>
      <w:lvlText w:val="(%1)"/>
      <w:numFmt w:val="lowerRoman"/>
      <w:start w:val="6"/>
    </w:lvl>
  </w:abstractNum>
  <w:abstractNum w:abstractNumId="47">
    <w:nsid w:val="374A3FE6"/>
    <w:multiLevelType w:val="hybridMultilevel"/>
    <w:lvl w:ilvl="0">
      <w:lvlJc w:val="left"/>
      <w:lvlText w:val="%1."/>
      <w:numFmt w:val="upperLetter"/>
      <w:start w:val="10"/>
    </w:lvl>
  </w:abstractNum>
  <w:abstractNum w:abstractNumId="48">
    <w:nsid w:val="4F4EF005"/>
    <w:multiLevelType w:val="hybridMultilevel"/>
    <w:lvl w:ilvl="0">
      <w:lvlJc w:val="left"/>
      <w:lvlText w:val="%1."/>
      <w:numFmt w:val="upperLetter"/>
      <w:start w:val="13"/>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Roman"/>
      <w:start w:val="1"/>
    </w:lvl>
  </w:abstractNum>
  <w:abstractNum w:abstractNumId="51">
    <w:nsid w:val="275AC794"/>
    <w:multiLevelType w:val="hybridMultilevel"/>
    <w:lvl w:ilvl="0">
      <w:lvlJc w:val="left"/>
      <w:lvlText w:val="(%1)"/>
      <w:numFmt w:val="lowerRoman"/>
      <w:start w:val="2"/>
    </w:lvl>
  </w:abstractNum>
  <w:abstractNum w:abstractNumId="52">
    <w:nsid w:val="39386575"/>
    <w:multiLevelType w:val="hybridMultilevel"/>
    <w:lvl w:ilvl="0">
      <w:lvlJc w:val="left"/>
      <w:lvlText w:val="%1."/>
      <w:numFmt w:val="lowerRoman"/>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Roman"/>
      <w:start w:val="3"/>
    </w:lvl>
  </w:abstractNum>
  <w:abstractNum w:abstractNumId="55">
    <w:nsid w:val="235BA861"/>
    <w:multiLevelType w:val="hybridMultilevel"/>
    <w:lvl w:ilvl="0">
      <w:lvlJc w:val="left"/>
      <w:lvlText w:val="(%1)"/>
      <w:numFmt w:val="decimal"/>
      <w:start w:val="12"/>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jpeg"/><Relationship Id="rId66" Type="http://schemas.openxmlformats.org/officeDocument/2006/relationships/image" Target="media/image53.jpe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56" Type="http://schemas.openxmlformats.org/officeDocument/2006/relationships/hyperlink" Target="http://www.sec.gov/Archives/edgar/data/1144215/000119312507208062/dex31.htm" TargetMode="External"/><Relationship Id="rId57" Type="http://schemas.openxmlformats.org/officeDocument/2006/relationships/hyperlink" Target="http://www.sec.gov/Archives/edgar/data/1144215/000119312507208062/dex32.htm" TargetMode="External"/><Relationship Id="rId58" Type="http://schemas.openxmlformats.org/officeDocument/2006/relationships/hyperlink" Target="http://www.sec.gov/Archives/edgar/data/1144215/000114421517000005/ex3ccertificateofamendment.htm" TargetMode="External"/><Relationship Id="rId59" Type="http://schemas.openxmlformats.org/officeDocument/2006/relationships/hyperlink" Target="http://www.sec.gov/Archives/edgar/data/1144215/000114421521000008/ayi-20201130xex3d.htm" TargetMode="External"/><Relationship Id="rId60" Type="http://schemas.openxmlformats.org/officeDocument/2006/relationships/hyperlink" Target="http://www.sec.gov/Archives/edgar/data/1144215/000114421521000008/ayi-20201130xex3e.htm" TargetMode="External"/><Relationship Id="rId61" Type="http://schemas.openxmlformats.org/officeDocument/2006/relationships/hyperlink" Target="http://www.sec.gov/Archives/edgar/data/1144215/000114421522000097/ayi-2022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2023-01-09T06:40:06Z</dcterms:created>
  <dcterms:modified xsi:type="dcterms:W3CDTF">2023-01-09T06:40:06Z</dcterms:modified>
</cp:coreProperties>
</file>