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24" w:lineRule="exact"/>
        <w:rPr>
          <w:sz w:val="24"/>
          <w:szCs w:val="24"/>
          <w:color w:val="auto"/>
        </w:rPr>
      </w:pPr>
    </w:p>
    <w:p>
      <w:pPr>
        <w:ind w:left="11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560" w:hanging="2782"/>
        <w:spacing w:after="0" w:line="442" w:lineRule="auto"/>
        <w:tabs>
          <w:tab w:leader="none" w:pos="25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440" w:hanging="3082"/>
        <w:spacing w:after="0" w:line="374" w:lineRule="auto"/>
        <w:tabs>
          <w:tab w:leader="none" w:pos="242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ACUITY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jc w:val="center"/>
              <w:ind w:left="8"/>
              <w:spacing w:after="0"/>
              <w:rPr>
                <w:sz w:val="20"/>
                <w:szCs w:val="20"/>
                <w:color w:val="auto"/>
              </w:rPr>
            </w:pPr>
            <w:r>
              <w:rPr>
                <w:rFonts w:ascii="Arial" w:cs="Arial" w:eastAsia="Arial" w:hAnsi="Arial"/>
                <w:sz w:val="14"/>
                <w:szCs w:val="14"/>
                <w:b w:val="1"/>
                <w:bCs w:val="1"/>
                <w:color w:val="auto"/>
              </w:rPr>
              <w:t>Delaware</w:t>
            </w:r>
          </w:p>
        </w:tc>
        <w:tc>
          <w:tcPr>
            <w:tcW w:w="3120" w:type="dxa"/>
            <w:vAlign w:val="bottom"/>
            <w:gridSpan w:val="5"/>
          </w:tcPr>
          <w:p>
            <w:pPr>
              <w:jc w:val="center"/>
              <w:ind w:left="837"/>
              <w:spacing w:after="0"/>
              <w:rPr>
                <w:sz w:val="20"/>
                <w:szCs w:val="20"/>
                <w:color w:val="auto"/>
              </w:rPr>
            </w:pPr>
            <w:r>
              <w:rPr>
                <w:rFonts w:ascii="Arial" w:cs="Arial" w:eastAsia="Arial" w:hAnsi="Arial"/>
                <w:sz w:val="14"/>
                <w:szCs w:val="14"/>
                <w:b w:val="1"/>
                <w:bCs w:val="1"/>
                <w:color w:val="auto"/>
              </w:rPr>
              <w:t>001-16583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20" w:type="dxa"/>
            <w:vAlign w:val="bottom"/>
          </w:tcPr>
          <w:p>
            <w:pPr>
              <w:jc w:val="right"/>
              <w:ind w:right="1388"/>
              <w:spacing w:after="0"/>
              <w:rPr>
                <w:sz w:val="20"/>
                <w:szCs w:val="20"/>
                <w:color w:val="auto"/>
              </w:rPr>
            </w:pPr>
            <w:r>
              <w:rPr>
                <w:rFonts w:ascii="Arial" w:cs="Arial" w:eastAsia="Arial" w:hAnsi="Arial"/>
                <w:sz w:val="14"/>
                <w:szCs w:val="14"/>
                <w:b w:val="1"/>
                <w:bCs w:val="1"/>
                <w:color w:val="auto"/>
              </w:rPr>
              <w:t>58-2632672</w:t>
            </w:r>
          </w:p>
        </w:tc>
        <w:tc>
          <w:tcPr>
            <w:tcW w:w="0" w:type="dxa"/>
            <w:vAlign w:val="bottom"/>
          </w:tcPr>
          <w:p>
            <w:pPr>
              <w:spacing w:after="0"/>
              <w:rPr>
                <w:sz w:val="1"/>
                <w:szCs w:val="1"/>
                <w:color w:val="auto"/>
              </w:rPr>
            </w:pPr>
          </w:p>
        </w:tc>
      </w:tr>
      <w:tr>
        <w:trPr>
          <w:trHeight w:val="149"/>
        </w:trPr>
        <w:tc>
          <w:tcPr>
            <w:tcW w:w="3600" w:type="dxa"/>
            <w:vAlign w:val="bottom"/>
            <w:tcBorders>
              <w:top w:val="single" w:sz="8" w:color="auto"/>
            </w:tcBorders>
          </w:tcPr>
          <w:p>
            <w:pPr>
              <w:jc w:val="center"/>
              <w:ind w:left="8"/>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center"/>
              <w:ind w:right="720"/>
              <w:spacing w:after="0" w:line="149" w:lineRule="exact"/>
              <w:rPr>
                <w:sz w:val="20"/>
                <w:szCs w:val="20"/>
                <w:color w:val="auto"/>
              </w:rPr>
            </w:pPr>
            <w:r>
              <w:rPr>
                <w:rFonts w:ascii="Arial" w:cs="Arial" w:eastAsia="Arial" w:hAnsi="Arial"/>
                <w:sz w:val="14"/>
                <w:szCs w:val="14"/>
                <w:i w:val="1"/>
                <w:iCs w:val="1"/>
                <w:color w:val="auto"/>
              </w:rPr>
              <w:t>(Commission File Number)</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jc w:val="center"/>
              <w:ind w:right="408"/>
              <w:spacing w:after="0" w:line="149" w:lineRule="exact"/>
              <w:rPr>
                <w:sz w:val="20"/>
                <w:szCs w:val="20"/>
                <w:color w:val="auto"/>
              </w:rPr>
            </w:pPr>
            <w:r>
              <w:rPr>
                <w:rFonts w:ascii="Arial" w:cs="Arial" w:eastAsia="Arial" w:hAnsi="Arial"/>
                <w:sz w:val="14"/>
                <w:szCs w:val="14"/>
                <w:i w:val="1"/>
                <w:iCs w:val="1"/>
                <w:color w:val="auto"/>
              </w:rPr>
              <w:t>(I.R.S. Employer Identification Number)</w:t>
            </w:r>
          </w:p>
        </w:tc>
        <w:tc>
          <w:tcPr>
            <w:tcW w:w="0" w:type="dxa"/>
            <w:vAlign w:val="bottom"/>
          </w:tcPr>
          <w:p>
            <w:pPr>
              <w:spacing w:after="0"/>
              <w:rPr>
                <w:sz w:val="1"/>
                <w:szCs w:val="1"/>
                <w:color w:val="auto"/>
              </w:rPr>
            </w:pPr>
          </w:p>
        </w:tc>
      </w:tr>
      <w:tr>
        <w:trPr>
          <w:trHeight w:val="188"/>
        </w:trPr>
        <w:tc>
          <w:tcPr>
            <w:tcW w:w="3600" w:type="dxa"/>
            <w:vAlign w:val="bottom"/>
          </w:tcPr>
          <w:p>
            <w:pPr>
              <w:jc w:val="center"/>
              <w:ind w:left="8"/>
              <w:spacing w:after="0"/>
              <w:rPr>
                <w:sz w:val="20"/>
                <w:szCs w:val="20"/>
                <w:color w:val="auto"/>
              </w:rPr>
            </w:pPr>
            <w:r>
              <w:rPr>
                <w:rFonts w:ascii="Arial" w:cs="Arial" w:eastAsia="Arial" w:hAnsi="Arial"/>
                <w:sz w:val="14"/>
                <w:szCs w:val="14"/>
                <w:i w:val="1"/>
                <w:iCs w:val="1"/>
                <w:color w:val="auto"/>
              </w:rPr>
              <w:t>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18"/>
                <w:szCs w:val="18"/>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1170 Peachtree Street, N.E., Suite 1200, Atlanta, Georgia 30309</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3120" w:type="dxa"/>
            <w:vAlign w:val="bottom"/>
            <w:gridSpan w:val="5"/>
          </w:tcPr>
          <w:p>
            <w:pPr>
              <w:jc w:val="center"/>
              <w:ind w:left="877"/>
              <w:spacing w:after="0"/>
              <w:rPr>
                <w:sz w:val="20"/>
                <w:szCs w:val="20"/>
                <w:color w:val="auto"/>
              </w:rPr>
            </w:pPr>
            <w:r>
              <w:rPr>
                <w:rFonts w:ascii="Arial" w:cs="Arial" w:eastAsia="Arial" w:hAnsi="Arial"/>
                <w:sz w:val="14"/>
                <w:szCs w:val="14"/>
                <w:b w:val="1"/>
                <w:bCs w:val="1"/>
                <w:color w:val="auto"/>
              </w:rPr>
              <w:t>(404) 853-1400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600" w:type="dxa"/>
            <w:vAlign w:val="bottom"/>
          </w:tcPr>
          <w:p>
            <w:pPr>
              <w:spacing w:after="0"/>
              <w:rPr>
                <w:sz w:val="22"/>
                <w:szCs w:val="22"/>
                <w:color w:val="auto"/>
              </w:rPr>
            </w:pPr>
          </w:p>
        </w:tc>
        <w:tc>
          <w:tcPr>
            <w:tcW w:w="442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60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600" w:type="dxa"/>
            <w:vAlign w:val="bottom"/>
          </w:tcPr>
          <w:p>
            <w:pPr>
              <w:jc w:val="center"/>
              <w:ind w:left="728"/>
              <w:spacing w:after="0"/>
              <w:rPr>
                <w:sz w:val="20"/>
                <w:szCs w:val="20"/>
                <w:color w:val="auto"/>
              </w:rPr>
            </w:pPr>
            <w:r>
              <w:rPr>
                <w:rFonts w:ascii="Arial" w:cs="Arial" w:eastAsia="Arial" w:hAnsi="Arial"/>
                <w:sz w:val="14"/>
                <w:szCs w:val="14"/>
                <w:color w:val="auto"/>
              </w:rPr>
              <w:t>Common stock, $0.01 par value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color w:val="auto"/>
                <w:w w:val="97"/>
              </w:rPr>
              <w:t>AYI</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332"/>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600" w:type="dxa"/>
            <w:vAlign w:val="bottom"/>
          </w:tcPr>
          <w:p>
            <w:pPr>
              <w:spacing w:after="0"/>
              <w:rPr>
                <w:sz w:val="10"/>
                <w:szCs w:val="10"/>
                <w:color w:val="auto"/>
              </w:rPr>
            </w:pPr>
          </w:p>
        </w:tc>
        <w:tc>
          <w:tcPr>
            <w:tcW w:w="3840" w:type="dxa"/>
            <w:vAlign w:val="bottom"/>
            <w:gridSpan w:val="7"/>
          </w:tcPr>
          <w:p>
            <w:pPr>
              <w:jc w:val="center"/>
              <w:ind w:left="137"/>
              <w:spacing w:after="0" w:line="121" w:lineRule="exact"/>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20" w:type="dxa"/>
            <w:vAlign w:val="bottom"/>
            <w:vMerge w:val="restart"/>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22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242" w:right="339" w:bottom="1440" w:gutter="0" w:footer="0" w:header="0"/>
        </w:sectPr>
      </w:pP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w:t>
      </w:r>
    </w:p>
    <w:p>
      <w:pPr>
        <w:spacing w:after="0" w:line="14" w:lineRule="exact"/>
        <w:rPr>
          <w:sz w:val="24"/>
          <w:szCs w:val="24"/>
          <w:color w:val="auto"/>
        </w:rPr>
      </w:pPr>
    </w:p>
    <w:p>
      <w:pPr>
        <w:spacing w:after="0" w:line="161" w:lineRule="exact"/>
        <w:tabs>
          <w:tab w:leader="none" w:pos="122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past</w:t>
      </w:r>
    </w:p>
    <w:p>
      <w:pPr>
        <w:spacing w:after="0" w:line="209" w:lineRule="exact"/>
        <w:rPr>
          <w:sz w:val="24"/>
          <w:szCs w:val="24"/>
          <w:color w:val="auto"/>
        </w:rPr>
      </w:pPr>
    </w:p>
    <w:p>
      <w:pPr>
        <w:sectPr>
          <w:pgSz w:w="11900" w:h="16838" w:orient="portrait"/>
          <w:cols w:equalWidth="0" w:num="2">
            <w:col w:w="10580" w:space="80"/>
            <w:col w:w="580"/>
          </w:cols>
          <w:pgMar w:left="320" w:top="242" w:right="339" w:bottom="1440" w:gutter="0" w:footer="0" w:header="0"/>
          <w:type w:val="continuous"/>
        </w:sectPr>
      </w:pPr>
    </w:p>
    <w:p>
      <w:pPr>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2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type w:val="continuous"/>
        </w:sectPr>
      </w:pPr>
    </w:p>
    <w:p>
      <w:pPr>
        <w:spacing w:after="0" w:line="31" w:lineRule="exact"/>
        <w:rPr>
          <w:sz w:val="24"/>
          <w:szCs w:val="24"/>
          <w:color w:val="auto"/>
        </w:rPr>
      </w:pPr>
    </w:p>
    <w:p>
      <w:pPr>
        <w:ind w:left="20" w:right="4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1" w:lineRule="exact"/>
        <w:tabs>
          <w:tab w:leader="none" w:pos="3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Accelerated Filer</w:t>
      </w:r>
    </w:p>
    <w:p>
      <w:pPr>
        <w:spacing w:after="0" w:line="81" w:lineRule="exact"/>
        <w:rPr>
          <w:sz w:val="24"/>
          <w:szCs w:val="24"/>
          <w:color w:val="auto"/>
        </w:rPr>
      </w:pPr>
    </w:p>
    <w:p>
      <w:pPr>
        <w:spacing w:after="0" w:line="161" w:lineRule="exact"/>
        <w:tabs>
          <w:tab w:leader="none" w:pos="3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Emerging Growth Company</w:t>
      </w:r>
    </w:p>
    <w:p>
      <w:pPr>
        <w:spacing w:after="0" w:line="20" w:lineRule="exact"/>
        <w:rPr>
          <w:sz w:val="24"/>
          <w:szCs w:val="24"/>
          <w:color w:val="auto"/>
        </w:rPr>
      </w:pPr>
      <w:r>
        <w:rPr>
          <w:sz w:val="24"/>
          <w:szCs w:val="24"/>
          <w:color w:val="auto"/>
        </w:rPr>
        <w:br w:type="column"/>
      </w:r>
    </w:p>
    <w:p>
      <w:pPr>
        <w:spacing w:after="0" w:line="141" w:lineRule="exact"/>
        <w:tabs>
          <w:tab w:leader="none" w:pos="3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411" w:lineRule="exact"/>
        <w:rPr>
          <w:sz w:val="24"/>
          <w:szCs w:val="24"/>
          <w:color w:val="auto"/>
        </w:rPr>
      </w:pPr>
    </w:p>
    <w:p>
      <w:pPr>
        <w:sectPr>
          <w:pgSz w:w="11900" w:h="16838" w:orient="portrait"/>
          <w:cols w:equalWidth="0" w:num="4">
            <w:col w:w="2280" w:space="720"/>
            <w:col w:w="2680" w:space="720"/>
            <w:col w:w="2640" w:space="720"/>
            <w:col w:w="1480"/>
          </w:cols>
          <w:pgMar w:left="320" w:top="242" w:right="339" w:bottom="1440" w:gutter="0" w:footer="0" w:header="0"/>
          <w:type w:val="continuous"/>
        </w:sectPr>
      </w:pPr>
    </w:p>
    <w:p>
      <w:pPr>
        <w:ind w:right="300"/>
        <w:spacing w:after="0" w:line="19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181"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71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262" w:lineRule="auto"/>
        <w:rPr>
          <w:sz w:val="20"/>
          <w:szCs w:val="20"/>
          <w:color w:val="auto"/>
        </w:rPr>
      </w:pPr>
      <w:r>
        <w:rPr>
          <w:rFonts w:ascii="Arial" w:cs="Arial" w:eastAsia="Arial" w:hAnsi="Arial"/>
          <w:sz w:val="14"/>
          <w:szCs w:val="14"/>
          <w:color w:val="auto"/>
        </w:rPr>
        <w:t>Based on the closing price of the Registrant’s common stock of $297.13 as quoted on the New York Stock Exchange on February 28, 2025, the aggregate market value of the voting stock held by non-affiliates of the registrant was $8.9 billion.</w:t>
      </w: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30,612,970 shares as of October 23, 2025.</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Location in Form 10-K</w:t>
            </w: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2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5"/>
        </w:trPr>
        <w:tc>
          <w:tcPr>
            <w:tcW w:w="5440" w:type="dxa"/>
            <w:vAlign w:val="bottom"/>
            <w:gridSpan w:val="3"/>
          </w:tcPr>
          <w:p>
            <w:pPr>
              <w:jc w:val="center"/>
              <w:ind w:right="60"/>
              <w:spacing w:after="0"/>
              <w:rPr>
                <w:sz w:val="20"/>
                <w:szCs w:val="20"/>
                <w:color w:val="auto"/>
              </w:rPr>
            </w:pPr>
            <w:r>
              <w:rPr>
                <w:rFonts w:ascii="Arial" w:cs="Arial" w:eastAsia="Arial" w:hAnsi="Arial"/>
                <w:sz w:val="14"/>
                <w:szCs w:val="14"/>
                <w:color w:val="auto"/>
              </w:rPr>
              <w:t>Part II, Item 5; Part III, Items 10, 11, 12, 13, and 14</w:t>
            </w:r>
          </w:p>
        </w:tc>
        <w:tc>
          <w:tcPr>
            <w:tcW w:w="5800" w:type="dxa"/>
            <w:vAlign w:val="bottom"/>
            <w:gridSpan w:val="3"/>
          </w:tcPr>
          <w:p>
            <w:pPr>
              <w:jc w:val="center"/>
              <w:ind w:left="108"/>
              <w:spacing w:after="0"/>
              <w:rPr>
                <w:sz w:val="20"/>
                <w:szCs w:val="20"/>
                <w:color w:val="auto"/>
              </w:rPr>
            </w:pPr>
            <w:r>
              <w:rPr>
                <w:rFonts w:ascii="Arial" w:cs="Arial" w:eastAsia="Arial" w:hAnsi="Arial"/>
                <w:sz w:val="14"/>
                <w:szCs w:val="14"/>
                <w:color w:val="auto"/>
              </w:rPr>
              <w:t>Proxy Statement for 2026 Annual Meeting of Stockholders</w:t>
            </w:r>
          </w:p>
        </w:tc>
      </w:tr>
      <w:tr>
        <w:trPr>
          <w:trHeight w:val="116"/>
        </w:trPr>
        <w:tc>
          <w:tcPr>
            <w:tcW w:w="19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938"/>
        </w:trPr>
        <w:tc>
          <w:tcPr>
            <w:tcW w:w="19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gridSpan w:val="14"/>
          </w:tcPr>
          <w:p>
            <w:pPr>
              <w:jc w:val="center"/>
              <w:ind w:right="3980"/>
              <w:spacing w:after="0"/>
              <w:rPr>
                <w:sz w:val="20"/>
                <w:szCs w:val="20"/>
                <w:color w:val="auto"/>
              </w:rPr>
            </w:pPr>
            <w:r>
              <w:rPr>
                <w:rFonts w:ascii="Arial" w:cs="Arial" w:eastAsia="Arial" w:hAnsi="Arial"/>
                <w:sz w:val="18"/>
                <w:szCs w:val="18"/>
                <w:b w:val="1"/>
                <w:bCs w:val="1"/>
                <w:color w:val="auto"/>
                <w:w w:val="99"/>
              </w:rPr>
              <w:t>ACUITY INC.</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14"/>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80" w:type="dxa"/>
            <w:vAlign w:val="bottom"/>
            <w:gridSpan w:val="10"/>
          </w:tcPr>
          <w:p>
            <w:pPr>
              <w:jc w:val="center"/>
              <w:ind w:right="4820"/>
              <w:spacing w:after="0" w:line="144" w:lineRule="exact"/>
              <w:rPr>
                <w:sz w:val="20"/>
                <w:szCs w:val="20"/>
                <w:color w:val="auto"/>
              </w:rPr>
            </w:pPr>
            <w:r>
              <w:rPr>
                <w:rFonts w:ascii="Arial" w:cs="Arial" w:eastAsia="Arial" w:hAnsi="Arial"/>
                <w:sz w:val="14"/>
                <w:szCs w:val="14"/>
                <w:b w:val="1"/>
                <w:bCs w:val="1"/>
                <w:color w:val="0000FF"/>
              </w:rPr>
              <w:t>Part I</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4620" w:type="dxa"/>
            <w:vAlign w:val="bottom"/>
            <w:gridSpan w:val="19"/>
          </w:tcPr>
          <w:p>
            <w:pPr>
              <w:spacing w:after="0"/>
              <w:rPr>
                <w:sz w:val="20"/>
                <w:szCs w:val="20"/>
                <w:color w:val="auto"/>
              </w:rPr>
            </w:pPr>
            <w:r>
              <w:rPr>
                <w:rFonts w:ascii="Arial" w:cs="Arial" w:eastAsia="Arial" w:hAnsi="Arial"/>
                <w:sz w:val="14"/>
                <w:szCs w:val="14"/>
                <w:color w:val="0000FF"/>
              </w:rPr>
              <w:t>Business.</w:t>
            </w:r>
          </w:p>
        </w:tc>
        <w:tc>
          <w:tcPr>
            <w:tcW w:w="360" w:type="dxa"/>
            <w:vAlign w:val="bottom"/>
            <w:tcBorders>
              <w:top w:val="single" w:sz="8" w:color="0000FF"/>
            </w:tcBorders>
            <w:gridSpan w:val="2"/>
          </w:tcPr>
          <w:p>
            <w:pPr>
              <w:spacing w:after="0"/>
              <w:rPr>
                <w:sz w:val="15"/>
                <w:szCs w:val="15"/>
                <w:color w:val="auto"/>
              </w:rPr>
            </w:pPr>
          </w:p>
        </w:tc>
        <w:tc>
          <w:tcPr>
            <w:tcW w:w="4820" w:type="dxa"/>
            <w:vAlign w:val="bottom"/>
            <w:gridSpan w:val="8"/>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1"/>
              </w:rPr>
              <w:t>Item 1A.</w:t>
            </w:r>
          </w:p>
        </w:tc>
        <w:tc>
          <w:tcPr>
            <w:tcW w:w="26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Risk Factors.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1"/>
              </w:rPr>
              <w:t>Item 1B.</w:t>
            </w:r>
          </w:p>
        </w:tc>
        <w:tc>
          <w:tcPr>
            <w:tcW w:w="26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Unresolved Staff Comments.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0"/>
              </w:rPr>
              <w:t>Item 1C.</w:t>
            </w:r>
          </w:p>
        </w:tc>
        <w:tc>
          <w:tcPr>
            <w:tcW w:w="260" w:type="dxa"/>
            <w:vAlign w:val="bottom"/>
            <w:gridSpan w:val="2"/>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0000FF"/>
              </w:rPr>
              <w:t>Cybersecurity.</w:t>
            </w:r>
          </w:p>
        </w:tc>
        <w:tc>
          <w:tcPr>
            <w:tcW w:w="920" w:type="dxa"/>
            <w:vAlign w:val="bottom"/>
            <w:gridSpan w:val="6"/>
          </w:tcPr>
          <w:p>
            <w:pPr>
              <w:spacing w:after="0"/>
              <w:rPr>
                <w:sz w:val="15"/>
                <w:szCs w:val="15"/>
                <w:color w:val="auto"/>
              </w:rPr>
            </w:pPr>
          </w:p>
        </w:tc>
        <w:tc>
          <w:tcPr>
            <w:tcW w:w="7960" w:type="dxa"/>
            <w:vAlign w:val="bottom"/>
            <w:gridSpan w:val="19"/>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260" w:type="dxa"/>
            <w:vAlign w:val="bottom"/>
            <w:gridSpan w:val="2"/>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0000FF"/>
              </w:rPr>
              <w:t>Properties.</w:t>
            </w:r>
          </w:p>
        </w:tc>
        <w:tc>
          <w:tcPr>
            <w:tcW w:w="8880" w:type="dxa"/>
            <w:vAlign w:val="bottom"/>
            <w:gridSpan w:val="25"/>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9800" w:type="dxa"/>
            <w:vAlign w:val="bottom"/>
            <w:gridSpan w:val="29"/>
          </w:tcPr>
          <w:p>
            <w:pPr>
              <w:spacing w:after="0"/>
              <w:rPr>
                <w:sz w:val="20"/>
                <w:szCs w:val="20"/>
                <w:color w:val="auto"/>
              </w:rPr>
            </w:pPr>
            <w:r>
              <w:rPr>
                <w:rFonts w:ascii="Arial" w:cs="Arial" w:eastAsia="Arial" w:hAnsi="Arial"/>
                <w:sz w:val="14"/>
                <w:szCs w:val="14"/>
                <w:color w:val="0000FF"/>
              </w:rPr>
              <w:t>Legal Proceedings.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Mine Safety Disclosures.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18</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tcPr>
          <w:p>
            <w:pPr>
              <w:jc w:val="center"/>
              <w:ind w:right="4800"/>
              <w:spacing w:after="0"/>
              <w:rPr>
                <w:sz w:val="20"/>
                <w:szCs w:val="20"/>
                <w:color w:val="auto"/>
              </w:rPr>
            </w:pPr>
            <w:r>
              <w:rPr>
                <w:rFonts w:ascii="Arial" w:cs="Arial" w:eastAsia="Arial" w:hAnsi="Arial"/>
                <w:sz w:val="14"/>
                <w:szCs w:val="14"/>
                <w:b w:val="1"/>
                <w:bCs w:val="1"/>
                <w:color w:val="0000FF"/>
              </w:rPr>
              <w:t>Part 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9800" w:type="dxa"/>
            <w:vAlign w:val="bottom"/>
            <w:gridSpan w:val="29"/>
          </w:tcPr>
          <w:p>
            <w:pPr>
              <w:spacing w:after="0"/>
              <w:rPr>
                <w:sz w:val="20"/>
                <w:szCs w:val="20"/>
                <w:color w:val="auto"/>
              </w:rPr>
            </w:pPr>
            <w:r>
              <w:rPr>
                <w:rFonts w:ascii="Arial" w:cs="Arial" w:eastAsia="Arial" w:hAnsi="Arial"/>
                <w:sz w:val="14"/>
                <w:szCs w:val="14"/>
                <w:color w:val="0000FF"/>
              </w:rPr>
              <w:t>[Reserved]</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20</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7.</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21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7A.</w:t>
            </w:r>
          </w:p>
        </w:tc>
        <w:tc>
          <w:tcPr>
            <w:tcW w:w="9800" w:type="dxa"/>
            <w:vAlign w:val="bottom"/>
            <w:gridSpan w:val="2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29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8.</w:t>
            </w:r>
          </w:p>
        </w:tc>
        <w:tc>
          <w:tcPr>
            <w:tcW w:w="260" w:type="dxa"/>
            <w:vAlign w:val="bottom"/>
            <w:gridSpan w:val="2"/>
          </w:tcPr>
          <w:p>
            <w:pPr>
              <w:spacing w:after="0"/>
              <w:rPr>
                <w:sz w:val="15"/>
                <w:szCs w:val="15"/>
                <w:color w:val="auto"/>
              </w:rPr>
            </w:pPr>
          </w:p>
        </w:tc>
        <w:tc>
          <w:tcPr>
            <w:tcW w:w="3820" w:type="dxa"/>
            <w:vAlign w:val="bottom"/>
            <w:gridSpan w:val="15"/>
          </w:tcPr>
          <w:p>
            <w:pPr>
              <w:spacing w:after="0"/>
              <w:rPr>
                <w:sz w:val="20"/>
                <w:szCs w:val="20"/>
                <w:color w:val="auto"/>
              </w:rPr>
            </w:pPr>
            <w:r>
              <w:rPr>
                <w:rFonts w:ascii="Arial" w:cs="Arial" w:eastAsia="Arial" w:hAnsi="Arial"/>
                <w:sz w:val="14"/>
                <w:szCs w:val="14"/>
                <w:color w:val="0000FF"/>
              </w:rPr>
              <w:t>Financial Statements and Supplementary Data.</w:t>
            </w:r>
          </w:p>
        </w:tc>
        <w:tc>
          <w:tcPr>
            <w:tcW w:w="5980" w:type="dxa"/>
            <w:vAlign w:val="bottom"/>
            <w:gridSpan w:val="14"/>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31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9.</w:t>
            </w:r>
          </w:p>
        </w:tc>
        <w:tc>
          <w:tcPr>
            <w:tcW w:w="9800" w:type="dxa"/>
            <w:vAlign w:val="bottom"/>
            <w:gridSpan w:val="29"/>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1"/>
              </w:rPr>
              <w:t>Item 9A.</w:t>
            </w:r>
          </w:p>
        </w:tc>
        <w:tc>
          <w:tcPr>
            <w:tcW w:w="26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Controls and Procedures.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1"/>
              </w:rPr>
              <w:t>Item 9B.</w:t>
            </w:r>
          </w:p>
        </w:tc>
        <w:tc>
          <w:tcPr>
            <w:tcW w:w="260" w:type="dxa"/>
            <w:vAlign w:val="bottom"/>
            <w:gridSpan w:val="2"/>
          </w:tcPr>
          <w:p>
            <w:pPr>
              <w:spacing w:after="0"/>
              <w:rPr>
                <w:sz w:val="15"/>
                <w:szCs w:val="15"/>
                <w:color w:val="auto"/>
              </w:rPr>
            </w:pPr>
          </w:p>
        </w:tc>
        <w:tc>
          <w:tcPr>
            <w:tcW w:w="1640" w:type="dxa"/>
            <w:vAlign w:val="bottom"/>
            <w:gridSpan w:val="9"/>
          </w:tcPr>
          <w:p>
            <w:pPr>
              <w:spacing w:after="0"/>
              <w:rPr>
                <w:sz w:val="20"/>
                <w:szCs w:val="20"/>
                <w:color w:val="auto"/>
              </w:rPr>
            </w:pPr>
            <w:r>
              <w:rPr>
                <w:rFonts w:ascii="Arial" w:cs="Arial" w:eastAsia="Arial" w:hAnsi="Arial"/>
                <w:sz w:val="14"/>
                <w:szCs w:val="14"/>
                <w:color w:val="0000FF"/>
              </w:rPr>
              <w:t>Other Information.</w:t>
            </w:r>
          </w:p>
        </w:tc>
        <w:tc>
          <w:tcPr>
            <w:tcW w:w="8160" w:type="dxa"/>
            <w:vAlign w:val="bottom"/>
            <w:gridSpan w:val="20"/>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0"/>
              </w:rPr>
              <w:t>Item 9C.</w:t>
            </w:r>
          </w:p>
        </w:tc>
        <w:tc>
          <w:tcPr>
            <w:tcW w:w="26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81</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12"/>
          </w:tcPr>
          <w:p>
            <w:pPr>
              <w:jc w:val="center"/>
              <w:ind w:right="4780"/>
              <w:spacing w:after="0"/>
              <w:rPr>
                <w:sz w:val="20"/>
                <w:szCs w:val="20"/>
                <w:color w:val="auto"/>
              </w:rPr>
            </w:pPr>
            <w:r>
              <w:rPr>
                <w:rFonts w:ascii="Arial" w:cs="Arial" w:eastAsia="Arial" w:hAnsi="Arial"/>
                <w:sz w:val="14"/>
                <w:szCs w:val="14"/>
                <w:b w:val="1"/>
                <w:bCs w:val="1"/>
                <w:color w:val="0000FF"/>
              </w:rPr>
              <w:t>Part III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10.</w:t>
            </w:r>
          </w:p>
        </w:tc>
        <w:tc>
          <w:tcPr>
            <w:tcW w:w="4580" w:type="dxa"/>
            <w:vAlign w:val="bottom"/>
            <w:gridSpan w:val="17"/>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440" w:type="dxa"/>
            <w:vAlign w:val="bottom"/>
            <w:tcBorders>
              <w:top w:val="single" w:sz="8" w:color="0000FF"/>
            </w:tcBorders>
            <w:gridSpan w:val="6"/>
          </w:tcPr>
          <w:p>
            <w:pPr>
              <w:spacing w:after="0"/>
              <w:rPr>
                <w:sz w:val="15"/>
                <w:szCs w:val="15"/>
                <w:color w:val="auto"/>
              </w:rPr>
            </w:pPr>
          </w:p>
        </w:tc>
        <w:tc>
          <w:tcPr>
            <w:tcW w:w="4780" w:type="dxa"/>
            <w:vAlign w:val="bottom"/>
            <w:gridSpan w:val="6"/>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82</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94"/>
              </w:rPr>
              <w:t>Item 11.</w:t>
            </w:r>
          </w:p>
        </w:tc>
        <w:tc>
          <w:tcPr>
            <w:tcW w:w="260" w:type="dxa"/>
            <w:vAlign w:val="bottom"/>
            <w:gridSpan w:val="2"/>
          </w:tcPr>
          <w:p>
            <w:pPr>
              <w:spacing w:after="0"/>
              <w:rPr>
                <w:sz w:val="15"/>
                <w:szCs w:val="15"/>
                <w:color w:val="auto"/>
              </w:rPr>
            </w:pPr>
          </w:p>
        </w:tc>
        <w:tc>
          <w:tcPr>
            <w:tcW w:w="368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rPr>
              <w:t>Executive Compensation.</w:t>
            </w:r>
          </w:p>
        </w:tc>
        <w:tc>
          <w:tcPr>
            <w:tcW w:w="6120" w:type="dxa"/>
            <w:vAlign w:val="bottom"/>
            <w:gridSpan w:val="15"/>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82</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Item 12.</w:t>
            </w:r>
          </w:p>
        </w:tc>
        <w:tc>
          <w:tcPr>
            <w:tcW w:w="80" w:type="dxa"/>
            <w:vAlign w:val="bottom"/>
          </w:tcPr>
          <w:p>
            <w:pPr>
              <w:spacing w:after="0"/>
              <w:rPr>
                <w:sz w:val="15"/>
                <w:szCs w:val="15"/>
                <w:color w:val="auto"/>
              </w:rPr>
            </w:pPr>
          </w:p>
        </w:tc>
        <w:tc>
          <w:tcPr>
            <w:tcW w:w="6460" w:type="dxa"/>
            <w:vAlign w:val="bottom"/>
            <w:tcBorders>
              <w:bottom w:val="single" w:sz="8" w:color="0000FF"/>
            </w:tcBorders>
            <w:gridSpan w:val="27"/>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3340" w:type="dxa"/>
            <w:vAlign w:val="bottom"/>
            <w:gridSpan w:val="2"/>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82</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0000FF"/>
              </w:rPr>
              <w:t>Item 13.</w:t>
            </w:r>
          </w:p>
        </w:tc>
        <w:tc>
          <w:tcPr>
            <w:tcW w:w="80" w:type="dxa"/>
            <w:vAlign w:val="bottom"/>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82</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14.</w:t>
            </w:r>
          </w:p>
        </w:tc>
        <w:tc>
          <w:tcPr>
            <w:tcW w:w="80" w:type="dxa"/>
            <w:vAlign w:val="bottom"/>
          </w:tcPr>
          <w:p>
            <w:pPr>
              <w:spacing w:after="0"/>
              <w:rPr>
                <w:sz w:val="15"/>
                <w:szCs w:val="15"/>
                <w:color w:val="auto"/>
              </w:rPr>
            </w:pPr>
          </w:p>
        </w:tc>
        <w:tc>
          <w:tcPr>
            <w:tcW w:w="4900" w:type="dxa"/>
            <w:vAlign w:val="bottom"/>
            <w:tcBorders>
              <w:top w:val="single" w:sz="8" w:color="0000FF"/>
            </w:tcBorders>
            <w:gridSpan w:val="20"/>
          </w:tcPr>
          <w:p>
            <w:pPr>
              <w:spacing w:after="0"/>
              <w:rPr>
                <w:sz w:val="20"/>
                <w:szCs w:val="20"/>
                <w:color w:val="auto"/>
              </w:rPr>
            </w:pPr>
            <w:r>
              <w:rPr>
                <w:rFonts w:ascii="Arial" w:cs="Arial" w:eastAsia="Arial" w:hAnsi="Arial"/>
                <w:sz w:val="14"/>
                <w:szCs w:val="14"/>
                <w:color w:val="0000FF"/>
              </w:rPr>
              <w:t>Principal Accountant Fees and Services.</w:t>
            </w:r>
          </w:p>
        </w:tc>
        <w:tc>
          <w:tcPr>
            <w:tcW w:w="4900" w:type="dxa"/>
            <w:vAlign w:val="bottom"/>
            <w:gridSpan w:val="9"/>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82</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0000FF"/>
            </w:tcBorders>
            <w:gridSpan w:val="7"/>
          </w:tcPr>
          <w:p>
            <w:pPr>
              <w:jc w:val="center"/>
              <w:spacing w:after="0"/>
              <w:rPr>
                <w:sz w:val="20"/>
                <w:szCs w:val="20"/>
                <w:color w:val="auto"/>
              </w:rPr>
            </w:pPr>
            <w:r>
              <w:rPr>
                <w:rFonts w:ascii="Arial" w:cs="Arial" w:eastAsia="Arial" w:hAnsi="Arial"/>
                <w:sz w:val="14"/>
                <w:szCs w:val="14"/>
                <w:b w:val="1"/>
                <w:bCs w:val="1"/>
                <w:color w:val="0000FF"/>
              </w:rPr>
              <w:t>Part IV</w:t>
            </w:r>
          </w:p>
        </w:tc>
        <w:tc>
          <w:tcPr>
            <w:tcW w:w="47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15.</w:t>
            </w:r>
          </w:p>
        </w:tc>
        <w:tc>
          <w:tcPr>
            <w:tcW w:w="9800" w:type="dxa"/>
            <w:vAlign w:val="bottom"/>
            <w:gridSpan w:val="29"/>
          </w:tcPr>
          <w:p>
            <w:pPr>
              <w:spacing w:after="0"/>
              <w:rPr>
                <w:sz w:val="20"/>
                <w:szCs w:val="20"/>
                <w:color w:val="auto"/>
              </w:rPr>
            </w:pPr>
            <w:r>
              <w:rPr>
                <w:rFonts w:ascii="Arial" w:cs="Arial" w:eastAsia="Arial" w:hAnsi="Arial"/>
                <w:sz w:val="14"/>
                <w:szCs w:val="14"/>
                <w:color w:val="0000FF"/>
              </w:rPr>
              <w:t>Exhibits and Financial Statement Schedules.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Item 16.</w:t>
            </w:r>
          </w:p>
        </w:tc>
        <w:tc>
          <w:tcPr>
            <w:tcW w:w="9800" w:type="dxa"/>
            <w:vAlign w:val="bottom"/>
            <w:gridSpan w:val="29"/>
          </w:tcPr>
          <w:p>
            <w:pPr>
              <w:spacing w:after="0"/>
              <w:rPr>
                <w:sz w:val="20"/>
                <w:szCs w:val="20"/>
                <w:color w:val="auto"/>
              </w:rPr>
            </w:pPr>
            <w:r>
              <w:rPr>
                <w:rFonts w:ascii="Arial" w:cs="Arial" w:eastAsia="Arial" w:hAnsi="Arial"/>
                <w:sz w:val="14"/>
                <w:szCs w:val="14"/>
                <w:color w:val="0000FF"/>
              </w:rPr>
              <w:t>Form 10-K Summary.</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91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0000FF"/>
              </w:rPr>
              <w:t>Signatures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92</w:t>
            </w:r>
          </w:p>
        </w:tc>
        <w:tc>
          <w:tcPr>
            <w:tcW w:w="40" w:type="dxa"/>
            <w:vAlign w:val="bottom"/>
          </w:tcPr>
          <w:p>
            <w:pPr>
              <w:spacing w:after="0"/>
              <w:rPr>
                <w:sz w:val="24"/>
                <w:szCs w:val="24"/>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Brands Lighting Segment</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mission at ABL is to provide sustainable and intelligent lighting solutions that enrich communities where people live, learn, work, and play. We bring this mission to life through our strategy, which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Fresco</w:t>
      </w:r>
      <w:r>
        <w:rPr>
          <w:rFonts w:ascii="Arial" w:cs="Arial" w:eastAsia="Arial" w:hAnsi="Arial"/>
          <w:sz w:val="23"/>
          <w:szCs w:val="23"/>
          <w:color w:val="auto"/>
          <w:vertAlign w:val="superscript"/>
        </w:rPr>
        <w:t>TM</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Nightingale</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SensorSwitch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Intelligent Spaces Segment</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mission at AIS is to make spaces smarter, safer, and greener through our strategy of connecting the edge with the cloud using disruptive technologies. Through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QSC</w:t>
      </w:r>
      <w:r>
        <w:rPr>
          <w:rFonts w:ascii="Arial" w:cs="Arial" w:eastAsia="Arial" w:hAnsi="Arial"/>
          <w:sz w:val="23"/>
          <w:szCs w:val="23"/>
          <w:color w:val="auto"/>
          <w:vertAlign w:val="superscript"/>
        </w:rPr>
        <w:t>®</w:t>
      </w:r>
      <w:r>
        <w:rPr>
          <w:rFonts w:ascii="Arial" w:cs="Arial" w:eastAsia="Arial" w:hAnsi="Arial"/>
          <w:sz w:val="18"/>
          <w:szCs w:val="18"/>
          <w:color w:val="auto"/>
        </w:rPr>
        <w:t>, we are driving productivity for people who own and manage a space and for the people who utilize a space. 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 experiences, and insights. QSC Audio includes audio technology that enhances experiences for live entertainers and sound reinforcement professionals.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our product portfolio and service capabilities to customers and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that illustrate a wide range of our solutions including lighting, lighting controls, building management systems, and audio, video, and control platforms.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eighteen manufacturing facilities, including seven in Mexico, six in the United States, three in Canada, and two in Europe. We utilize a blend of internal and outsourced manufacturing processes and capabilities to fulfill a variety of customer needs.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2025 by significant geographic region.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under the IMMEX Program,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operate nine distribution facilities, including six facilities in the United States, two in Canada, and one in Mexico.</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fiscal 2025, net sales initiated outside of the U.S. represented approximately 14% of total net sales. See the </w:t>
      </w:r>
      <w:r>
        <w:rPr>
          <w:rFonts w:ascii="Arial" w:cs="Arial" w:eastAsia="Arial" w:hAnsi="Arial"/>
          <w:sz w:val="18"/>
          <w:szCs w:val="18"/>
          <w:i w:val="1"/>
          <w:iCs w:val="1"/>
          <w:color w:val="auto"/>
        </w:rPr>
        <w:t>Supplemental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Disaggregated 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net sales and long-lived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service or significant improvement to an existing product or service. We invest in product vitality, including enhancement of existing offerings, with a focus on improving the performance-to-cost ratio and energy efficiency. We also develop software applications that enhance building performance, enterprise operations, and personal experiences. R&amp;D expenses consist of compensation, payroll taxes, employee benefits, materials, supplies, and other administrative costs, but the amounts do not include all new product development costs. For fiscal 2025, 2024, and 2023, R&amp;D expenses totaled $140.2 million, $102.3 million, and $97.1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addressable market includes non-portable luminaires as defined by the National Electrical Manufacturers Association; poles for outdoor lighting; emergency lighting fixtures and lighting equipment; lighting controls; HVAC controls; refrigeration controls; audio-video hardware, software, and systems; and building technology controls, software, and systems.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highly competitive industries that are affected by a number of general business and economic factors, such as, but not limited to, gross domestic product growth, population growth, government stimulus, employment levels, credit availability, interest rates and inflation, building costs, non-residential fixed investment, freight, construction-related labor availability and costs, building occupancy rates, imports and trade, energy costs, freight costs, tariffs, commodity costs, and commodity availability.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third-party data estimate the size of the markets to be about the same. The volume of non-residential construction activity in commercial, institutional, industrial, and infrastructure projects has a material impact on the demand for our lighting, audio-video, and building management solutions. Demand for our products is highly dependent on economic drivers, such as consumer spending and discretionary income, along with housing construction and home improvement spending.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 is influenced by evolving technologies. This evolution includes: the development of new or improved lighting technologies, including solid-state lighting, electronic drivers, embedded lighting controls, and more effective optical designs and lamps; federal, state, and local requirements for updated energy codes; design strategies and technologies addressing intelligent buildings, occupancy experience, and sustainability; and incentives by federal, state, and local municipal authorities, as well as utility companies, for using more energy-efficient lighting and building technology solutions. We are a leading provider of integrated lighting, audio-video, and building technology solutions that utilize internally developed, licensed, or acquired intellectual property.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experience competition based on numerous factors, including product vitality, service capabilities, price, brand name recognition, product quality, product and system design, energy efficiency, and customer relationships. Our markets are competitive and continue to evolve through acquisition and consolidation activities. Existing and new entrants continue to develop capabilities and solutions that are both complementary as well as competitive to those of traditional industry participants. Additionally, the market for artificial intelligence and software solutions is active with a wide range of competitors, from existing large companies to startup organizations. Certain global and more diversified manufacturers may provide broader offerings utilizing a combination of products and services as well as pricing benefits from the bundling of various offerings. In addition, there are competitors, including importers outside of North America, small startup companies, and global electronics, technology, and software companies, offering competing solutions, sometimes deploying different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federal, state, and local laws and regulations that impose increasingly complex, stringent, and costly compliance activities. These laws and regulations include but are not limited to, the Clean Air Act and the Toxic Substances Control Act; the Clean Water Act; the Safe Harbor data privacy program between the U.S. and the European Union; the United States-Mexico-Canada-Free Trade Agreement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(“FCPA”); and the U.K. Bribery Act.</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current or future standards, laws, or regulations, including those imposed in response to energy, material content, climate change, product functionality, geopolitics, corporate social responsibility, employee health and safety, privacy, or similar concerns. These standards, laws, and regulations may impact our costs of operation, the sourcing of raw materials, and the manufacture and distribution of our products and services. They may also place restrictions and other requirements or impediments on the products and solutions we can sell in certain geographical locations or may impact the willingness of certain investors to own our shares.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freight, tariffs, and duties on certain materials, particularly imports from outside North America, as well as disruptions in availability of raw materials, components, and sourced finished goods.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currently engage in significant commodity hedging transactions for raw materials, though we have and will continue to commit to purchase certain materials generally for a period of up to 12 months. We monitor and investigate alternative suppliers and materials based on numerous attributes including, but not limited to, quality, service, and price. We currently source raw materials and components from a number of suppliers, but our ongoing efforts to improve the cost effectiveness, quality, and availability of our products and services may result in a reduction in the number of our suppliers.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various domestic and foreign patents, copyrights, trade secrets, trademarks, and other intellectual property, which are important factors for our businesses. We rely on patent, copyright, trade secret, and trademark laws as well as agreements, restrictive covenants, and internal processes and controls to protect these proprietary rights. Despite these protections, unauthorized parties may take actions that infringe on our intellectual property. Further, we conduct business in countries where our intellectual property coverage may be more limited and/or our ability to enforce intellectual property rights may be difficult or impracticable. We also have licenses to certain patents and trademarks, which, if not renewed, could adversely impact our business. As of August 31, 2025, we had approximately 1,700 total patent assets including issued U.S. and foreign patents as well as pending U.S. and foreign patent applications. While patents and patent applications in the aggregate are important to our competitive position, no single patent or patent application is individually material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Both ABL and AIS exhibit some seasonality, with net sales being affected by business days, weather and seasonal demand on construction and installation programs, particularly during the winter months, and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employed approximately 13,800 employees at August 31, 2025, of which approximately 4,300 were employed in the United States and approximately 8,200 were employed in Mexico. Our remaining employees were employed in other international locations including Europe, Canada, and the Asia/Pacific region. Union recognition and collective bargaining arrangements in place or in process cover approximately 1,300 and 6,700 employees in the United States and Mexico, respectively. Arrangements related to fewer than 100 employees in the United States will expire within the next fiscal year. Arrangements for approximately 6,600 employees in Mexico will expire within the next fiscal year, primarily due to statutory requirements of annual negotiations of union contracts. We believe that we have strong relationships with both our unionized and non-unionized employees.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key pillar to attract, develop, and retain top talent is our focus on the growth and development of our employees. In fiscal 2025, we remained focused on development through development plans for employees, special projects, training opportunities, and other activities. Our performance management and other processes are intended to align employee aspirations, interests, performance, and experiences with the talent needs that enable the business. Managers and employees conduct periodic check-in discussions to encourage continuous performance feedback and improvement. These discussions also act to hold leaders accountable for creating an employee development culture.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Investing in the development of our employees is part of our operating system and correlates to our preparedness to meet current and future strategic priorities of the business. In fiscal 2025, we continued a management effectiveness series focused on coaching to performance, which we offered through in-person events and ongoing sustainment activities. We provide on-demand, virtual, and in-person instructor led classes to help employees and customers expand their technical knowledge.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our compensation and benefit plans annually to ensure that we are providing competitive, contemporary, and inclusive programs so we can attract and retain the best people and support the health and well-being of our employees and their families. Based on this review, we offer a competitive total rewards package to our employees that includes base compensation, annual cash incentive programs, stock grants with service and/or performance requirements, health benefits, and/or retirement benefits commensurate with an employee's position, skill set, and experience.</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ensure our employees have a safe and collaborative work environment through the inclusion of world class health and safety management practices in our business.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review each facility’s qualitative and quantitative results, with an emphasis on leading indicators that help avoid violations, accidents, and injuries. A variety of different metrics is averaged to determine a facility’s performance, which is used to find continuous improvement opportunities.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contribute to energy savings and carbon emissions reduction primarily through replacing legacy technologies with more efficient products. Our energy data management software enables users to track and report their carbon footprint. We also aim to improve raw material efficiency and operate our facilities in a more productive and environmentally responsible manner. Progress on these initiatives is communicated through our EarthLIGHT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Acuity Inc. was incorporated in 2001 under the laws of the State of Delaware. Effective March 26, 2025, we changed our corporate name from Acuity Brands, Inc. to Acuity Inc.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under the “Financials” heading within the “Investors” section on our website, located at </w:t>
      </w:r>
      <w:r>
        <w:rPr>
          <w:rFonts w:ascii="Arial" w:cs="Arial" w:eastAsia="Arial" w:hAnsi="Arial"/>
          <w:sz w:val="18"/>
          <w:szCs w:val="18"/>
          <w:i w:val="1"/>
          <w:iCs w:val="1"/>
          <w:color w:val="auto"/>
        </w:rPr>
        <w:t>www.acuityinc.com</w:t>
      </w:r>
      <w:r>
        <w:rPr>
          <w:rFonts w:ascii="Arial" w:cs="Arial" w:eastAsia="Arial" w:hAnsi="Arial"/>
          <w:sz w:val="18"/>
          <w:szCs w:val="18"/>
          <w:color w:val="auto"/>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“Committee Charters and Governance Documents” link under the “Governance” heading within the “Investors” section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and Management Development Committee, and Governance Committee are available free of charge through the “Committee Charters &amp; Governance Documents” link under the “Governance” heading within the “Investors” section on our website. The Code of Ethics and Business Conduct, the Corporate Governance Guidelines, and the committee charters are available in print to any of our stockholders that request such document by contacting our Investor Relations department.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i w:val="1"/>
          <w:iCs w:val="1"/>
          <w:color w:val="auto"/>
        </w:rPr>
        <w:t>Risk Factors.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These risks could adversely impact our financial position,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financial expectations and could cause the market price of our securities to decrease. Such risks include the following, without limitation.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market and competitive pricing.</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Aggressive pricing actions by competitors may affect our ability to manage the price/cost relationship to achieve desired revenue growth and profitability levels. Potential decreased demand for our products resulting from factors including uncertainty in the global economy, an inflationary environment, rising interest rates, and a potential global recession may influence competitor pricing. Additionally, dynamic pricing models may not cover our rising costs. Even if we were able to increase prices to cover our costs, competitive pricing pressures may not allow us to pass on any more than the cost increases. Alternatively, if costs were to decline, the marketplace may not allow us to hold prices at their current levels.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Innovations of new products and services may not yield desired returns, which may also expose our assets, particularly inventory, to potential write-downs.</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including entrance into new verticals, and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Additionally, new products and solutions may not achieve the same profit margins as expected or as compared to our historic products and solutions. Market adoption of new products may impact the sales of other products and may expose on-hand inventories to future write-downs. Accordingly, we cannot fully predict the ultimate effect of new product introductions on our business. Furthermore, other market participants, such as well-established competitors, could develop alternative platforms for monetizing products, solutions, and services that result in a paradigm shift in our industry, particularly with respect to new and developing technologies.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alliances, or investments, and acquisitions, alliances, or investments that we pursue may not yield anticipated benefits.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allocated capital within our business to fund acquisitions, alliances, and investments and may continue to do so as opportunities arise in the future. We will benefit from such activity only to the extent that we can effectively identify suitable acquisition and alliance candidates, close those identified acquisitions and alliances, and leverage and integrate the assets or capabilities of the acquired businesses and alliances, including, but not limited to, personnel, technology, and operating processes. It may be difficult for us to integrate acquired businesses efficiently into our business operations. Any acquisitions, alliances, or investments may not be successful or realize the intended benefits. Moreover, unanticipated events, negative revisions to valuation assumptions and estimates, diversion of resources and management's attention from other business concerns, and difficulties in attaining synergies, among other factors, have in the past and could in the future adversely affect our ability to recover initial and subsequent investments, resulting in non-cash impairment charges, particularly those related to acquired goodwill and intangible assets or non-controlling interests. In addition, such investment transactions may limit our ability to invest in other activities that could be more profitable or advantageous.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benefit from potential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19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and renovation market, political events, or other factors may affect demand for our products and services.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based on numerous factors, including product vitality and service levels, as well as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our products and services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or our ability to expand into new geographies, which in turn may impact demand for our product and service offerings.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Decreased construction and renovation spending and consumer demand for our products and services, along with rising commodity costs may materially affect our future access to our sources of liquidity, particularly our cash flows from operations, financial condition, capitalization, and capital investments. Additionally, potential economic slowdowns, supply chain disruptions, or a global recession could adversely affect our ability to access the capital and other financial markets. This may require us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and results have been and may be adversely affected by fluctuations in the cost or availability of raw materials, components, purchased finished goods, or services.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microchips, light emitting diodes (“LED”), LED drivers, ballasts, wire, electronic components, power supplies, petroleum-based byproducts, natural gas, and copper. We also source certain finished goods externally. Supply chain disruptions for certain components, including microchips and electronics, have resulted in higher prices for significant commodities and materials, as well as increased warehousing, freight, and container costs, which have negatively impacted our business. Future disruptions in the supply chain and shortages could affect our ability to procure components for our products on a timely basis, or at all, or could require us to commit to increased purchases and provide longer lead times to secure critical components by entering into longer term guaranteed supply agreements. Alternatively, supply chain disruptions and shortages could require us to rely on relatively high-cost spot market purchases for certain materials or products.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Future increases in our costs could negatively impact our profitability as there can be no assurance that future price increases will be successfully passed through to customers. We generally source our goods from a number of suppliers. However, there are a limited number of suppliers for certain components and certain purchased finished goods, which on a limited basis, results in sole-source supplier situations.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competitors supply certain items, and those competitors and other suppliers may, for various strategic reasons, choose to cease selling to us. In addition, our ongoing efforts to improve the effectiveness of our supply chain could result in a reduction in the number of our suppliers, and in turn, increased risk associated with reliance on a single or a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providing broader offerings that utilize a combination of products and/or services, and small startup companies may offer more localized product sales and support services within individual regions.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net sales during fiscal 2025, 2024, or 2023,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external disruptions, including geopolitical and/or other conditions, to our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Disruptions to our operations including, but not limited to, labor disputes, strikes, workplace violence, public health crises, pandemics and epidemics, climate change, brown outs and other power outages, earthquakes, fires, floods, extreme precipitation, explosions, terrorism, adverse weather conditions, water scarcity, cyber-attacks, civil or political disruptions, or other catastrophic events such as war, insurrection, or natural disasters, leading to production interruptions in our or one or more of our suppliers’ facilities could adversely affect us. Approximately 55%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delay opening a facility, or incur other disruptions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These types of events may negatively impact residential, commercial, and industrial spending, including construction and renovation spending as well as consumer spending on our products, in impacted regions or, depending on the severity, globally. As a result, any of such events could adversely impact us.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Current global conflicts, such as those between Russia and Ukraine as well as within the Middle East, have created substantial uncertainty in the global economy, including sanctions and penalties imposed on certain countries and persons by several governments. While we do not have operations in these locations and do not have significant direct exposure to customers and vendors in those countries, we are unable to predict the impact that these actions will have on the global economy or on our financial condition, results of operations, and cash flows.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Company operating systems, information systems, or devices have experienced, and may experience in the future, a failure or a compromise of security, which could adversely impact our operations as well as the effectiveness of internal controls over operations and financial reporting.</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have experienced, and could experience in the future, a failure of one or more of these software and automated systems or we could fail to complete all necessary data reconciliation or other conversion controls when implementing a new software system.</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experienced compromises of our security, and could experience in the future, a compromise of our security for reasons including technical system flaws, the improper installation of an upgrade or update, the proper installation of an upgrade or update that has consequences unforeseen by us or the software provider, data input or record-keeping errors, or tampering or manipulation of our systems by employees or unauthorized third parties, such as through viruses, malware, or phishing. Information security risks also exist with respect to the use of portable electronic devices, such as laptops and smartphones, which are particularly vulnerable to loss and theft. We may also be subject to disruptions of systems arising from events that are wholly or partially beyond our control (for example, natural disasters, acts of terrorism, cyber-attacks, including but not limited to hacking, malware, ransomware attacks, denial-of-service attacks, social engineering, exploitation of internet-connected devises, and other attacks, epidemics, computer viruses, and electrical/telecommunications outages).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prior compromises of our security have not had, in the aggregate, a material impact on the Company’s operations and financial condition, the Company expects events of this nature to continue as cyber-attacks are becoming more sophisticated and frequent. As artificial intelligence (“AI”) technologies advance, new and increasingly sophisticated attack methods are emerging, including fraud involving impersonation technologies or other forms of generative automation that enhance the scale and effectiveness of cyber threats. The techniques used in such attacks change rapidly, and certain vulnerabilities or attack methods may go undetected until after they</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are already deployed, potentially allowing them to persist within our systems for extended periods. The Company monitors its data, information technology, and personnel usage of Company systems to reduce these risks and continues to do so on an ongoing basis for any current or potential threats. Refer to </w:t>
      </w:r>
      <w:r>
        <w:rPr>
          <w:rFonts w:ascii="Arial" w:cs="Arial" w:eastAsia="Arial" w:hAnsi="Arial"/>
          <w:sz w:val="18"/>
          <w:szCs w:val="18"/>
          <w:i w:val="1"/>
          <w:iCs w:val="1"/>
          <w:color w:val="auto"/>
        </w:rPr>
        <w:t>Part I, Item 1C. Cybersecurity</w:t>
      </w:r>
      <w:r>
        <w:rPr>
          <w:rFonts w:ascii="Arial" w:cs="Arial" w:eastAsia="Arial" w:hAnsi="Arial"/>
          <w:sz w:val="18"/>
          <w:szCs w:val="18"/>
          <w:color w:val="auto"/>
        </w:rPr>
        <w:t xml:space="preserve"> for further details.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our hardware, software, or automated systems are compromised, fail, or have other significant shortcomings, it could disrupt our business, require us to incur substantial additional expenses, or result in potential liability or reputational damage. There can be no assurance that our efforts to protect our data and information technology will prevent such compromises of security.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provide and maintain technology to enable lighting controls, building technology systems, and audio-video platforms.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is outside of our control and could result in a failure in functionality or security of our technology.</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certain of our third-party vendors may receive and store personal information in connection with human resources operations, customer offerings, and other aspects of the business. A material network breach in the security of these systems could include the theft of intellectual property, the unauthorized release, gathering, monitoring, misuse, loss, change, or destruction of our or our customers', suppliers', or other third-party's confidential, proprietary or personally identifiable information, other disruptions of our customers' or other third parties' business operations. To the extent that any disruption or security breach results in a loss or damage to our data, or an inappropriate disclosure of information, it could cause significant damage to our reputation, affect relationships with our customers,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employees, and others, or lead to claims against us. Such claims may result in the payment of fines, penalties, and costs and ultimately harm our business. In addition, we may incur significant costs, regulatory fines, or penalties, or be required to take actions, to protect against damage caused by these disruptions or security breaches.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data privacy laws and our ability to comply with them could adversely impact our operations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an increasing number of evolving and uncertain data privacy and security laws and regulations that impose requirements on us and our technology prior to certain use or transfer, storing, processing, disclosure, and protection of data and prior to sale or use of certain technologies. Failure to comply with such laws and regulations could result in the imposition of fines, penalties, and other costs. New privacy and security laws are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frequently enacted. Inconsistencies between the interpretation and the practical application of both existing and new laws are common across jurisdictions. Additionally, we routinely undertake contractual obligations to comply with all applicable laws, so a violation of a data privacy or security law could result in additional contractual liability.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our relationships with employees, changes in U.S. or international employment regulations, an inability to attract and retain talented employees, or a loss of key employees could adversely impact the effectiveness of our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employed approximately 13,800 people as of August 31, 2025, approximately 9,300 of whom are employed in international locations.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58% of our workforce. Collective bargaining agreements representing approximately 48%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is also dependent upon our ability to attract, retain, and motivate a qualified and diverse workforce, and there can be no assurance that we will be able to do so, particularly during times of increased labor costs or labor shortages. We rely upon the knowledge and experience of employees involved in functions throughout the organization that require technical expertise and knowledge of the industry. We have experienced intense competition for qualified and capable personnel in key markets and with key skills, and we cannot provide assurance that we will be able to retain our key employees or that we will be successful in attracting, assimilating, and retaining personnel in the future. In addition, our growth may be constrained by resource limitations as competitors and customers compete for increasingly scarce human capital resources. The demand for skilled workers is currently high. We face an increasingly competitive labor market due in part to sustained labor shortages and are subject to inflationary pressures on employee wages, salaries, and benefits, which have and may continue to increase labor costs and impact labor availability. Our competitors may be able to offer a work environment with higher compensation or more opportunities than we can offer. An inability to attract and retain a sufficient number of employees could adversely impact our ability to execute key operational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and our own systems. As we expand our service and solutions offerings, reliance on the technical infrastructure to provide services to customers will increase. If we fail to appropriately manage and secure the technical infrastructure required, customers could experience service outages or delays in the implementation of services. If we are unable to manage and mitigate these risks, we could incur liabilities and other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for contract manufacturing of certain products, subcontract installation, and commissioning, as well as for performing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to our operations. In addition, we act as a general contractor in certain relationships with third parties, and as such are subject to risks applicable to general contractors.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exposure to foreign currency fluctuations; increased inflation;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terrorist action, nationalization and expropriation, limitations on repatriation of earnings or other capital requirements, and other changes in regulation in international jurisdictions that could result in substantial additional legal or compliance obligations for us. Additionally, if we expand our global footprint into new geographies or territories, our exposure to these risks may increase.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source certain components and finished goods from countries outside of the United States, some of which are subject to import tariffs. These tariffs could increase in future periods resulting in higher costs and/or lower demand. We could be adversely affected to the extent we are unable to mitigate the impacts of the tariffs.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including nationalization, our manufacturing costs in Mexico could increase.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United States-Mexico-Canada Agreement (“USMCA”), which, among other things, provide certain beneficial duties and preferential tariff treatment for qualifying imports and exports, subject to compliance with the applicable classification and other requirements. A large portion of our sales are impacted by the USMCA. In addition, the U.S. government has initiated or is considering imposing tariffs on certain foreign goods, including steel, copper, and aluminum. Increased and/or proposed tariffs by the United States have led, and may continue to lead, to the imposition of retaliatory tariffs by China and other countries. It remains unclear what the U.S. Administration or foreign governments will or will not do with respect to tariffs, the USMCA, or other international trade agreements and policies. Trade wars or other governmental actions related to tariffs or international trade agreements or policies have the potential to adversely impact demand for our products, costs, customers, suppliers, and/or the U.S. economy or certain sectors therein, and, could adversely impact our business.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evolution of our products, the complexity of our supply chain, and our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exchange rate fluctuations, which could adversely impact our business.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fluctuations in foreign currency exchange rates. We engage in cross-border transactions through operations in multiple countries, which increases our exposure to exchange rate volatility. Significant changes in exchange rates relative to the U.S. dollar could adversely affect our pricing competitiveness, cost structure and overall financial performance. In particular, a stronger U.S. dollar could reduce the competitiveness of our products in international markets. Conversely, a weaker U.S. dollar could raise the cost of imported inventory, materially increasing the cost of goods sold, which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social impact and sustainability matters.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and may continue to be, an increasing focus from U.S. and foreign government agencies, certain investors, customers, consumers, employees, and other stakeholders concerning environmental, social and governance (“ESG”) matters. Some investors may use ESG criteria to guide their investment strategies and, in some cases, may choose not to invest in us if they believe our policies relating to corporate responsibilities do not align with their ESG criteria. In addition, different stakeholder groups have divergent views on ESG matters, which increases the risk that any action or lack thereof with respect to ESG matters will be perceived negatively by at least some stakeholders and could adversely affect our reputation, business, financial performance, and growth.</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communicate certain initiatives, targets, and goals regarding environmental matters, diversity, responsible sourcing and social investments, and other ESG matters. These initiatives, targets, and goals could be difficult and expensive to implement, and we could be criticized for the accuracy, adequacy, or completeness of the disclosure thereof. Further, statements about our ESG initiatives, targets, and goals, and progress against those targets and goals, may be based on standards for measuring progress that are still developing, internal controls and processes that continue to evolve, and assumptions, estimates, and climate scenarios that are subject to change in the future. In addition, we could be criticized or subject to litigation for the scope or nature of such initiatives, targets, or goals, or for any revisions to such targets or goals. If our ESG-related data, processes, and reporting are incomplete or inaccurate, or if we fail, or are perceived to fail, to achieve progress with respect to our ESG targets or goals on a timely basis, or at all, our reputation, business, financial performance, and growth could be adversely affected.</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 xml:space="preserve">We have begun to incorporate artificial intelligence </w:t>
      </w:r>
      <w:r>
        <w:rPr>
          <w:rFonts w:ascii="Arial" w:cs="Arial" w:eastAsia="Arial" w:hAnsi="Arial"/>
          <w:sz w:val="18"/>
          <w:szCs w:val="18"/>
          <w:b w:val="1"/>
          <w:bCs w:val="1"/>
          <w:color w:val="auto"/>
        </w:rPr>
        <w:t>(“AI”)</w:t>
      </w:r>
      <w:r>
        <w:rPr>
          <w:rFonts w:ascii="Arial" w:cs="Arial" w:eastAsia="Arial" w:hAnsi="Arial"/>
          <w:sz w:val="18"/>
          <w:szCs w:val="18"/>
          <w:b w:val="1"/>
          <w:bCs w:val="1"/>
          <w:i w:val="1"/>
          <w:iCs w:val="1"/>
          <w:color w:val="auto"/>
        </w:rPr>
        <w:t xml:space="preserve"> capabilities in our product offerings and operations, and challenges with properly managing the use of AI and machine learning could result in reputational harm, competitive harm, and legal liability and adversely affect our results of operations, financial condition, and/or cash flows.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begun incorporating AI capabilities into certain product offerings as well as utilizing AI as part of our operational processes. These features may become more important over time. Our competitors or other third parties may incorporate AI into their products more quickly or more successfully than us, which could impair our ability to compete effectively and adversely affect our results of operations. Many known and unknown risks related to AI exist. Currently recognized risks include issues related to accuracy, bias, toxicity, intellectual property infringement or misappropriation, data privacy and cybersecurity, and data provenance. If the content, analyses, or recommendations that AI applications assist in producing are or are alleged to be deficient, inaccurate, or biased, we could be subject to competitive risks, potential legal liability, and reputational harm, and our business, financial condition, and results of operations may be adversely affected. The use of AI capabilities may also result in cybersecurity incidents. Any such cybersecurity incidents related to our use of AI capabilities could adversely affect our business. Finally, multiple jurisdictions have either already put in place laws and regulations governing the use of AI, or are considering such laws and regulations, and additional constraints may result from industry efforts. Compliance with these laws, regulations, and industry frameworks may limit our ability to leverage AI or require us to substantially revise our approach to its use.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foreign and domestic federal, state, and local laws and regulations that include but are not limited to, the Clean Air Act and the Toxic Substances Control Act; the Clean Water Act; the Safe Harbor data privacy program between the U.S. and the European Union; the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(the “FCPA”); and the U.K. Bribery Act. The laws and regulations impacting us impose increasingly complex, stringent, and costly compliance activities.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Concerns regarding climate change may also lead to significant legislative and regulatory responses, including efforts to limit greenhouse gas (“GHG”) emissions. The United States Environmental Protection Agency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and other jurisdictions have already taken legal measures to reduce emissions of GHGs, primarily through the development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joined the Paris Agreement.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 become stricter in recent years, and certain federal, state, and local governments domestically and internationally, have enacted, or are considering enacting, new laws and regulations, including those governing raw material composition, carbon dioxide and other air emissions, end-of-life product dispositions, energy efficiency, and certain additional disclosure obligations related to the above.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be affected by those or other future standards, laws, or regulations, including those imposed in response to energy, climate change, our carbon footprint, product functionality, geopolitical, corporate social responsibility, or similar concerns. As customers become increasingly concerned about the environmental impact of their purchases, if we fail to keep up with changing regulations or innovate or operate in ways that minimize the energy use of or other impacts of our products or operations, customers may choose more energy efficient or sustainable alternatives. These standards, laws, or regulations may also impact our costs of operation, the sourcing of raw materials, and the manufacture and distribution of our products and may place restrictions and other requirements or impediments on the products and solutions we can sell in certain geographical locations or on the willingness of certain investors to own our shares. In addition, we may be subject to consumer lawsuits or enforcement actions by governmental authorities if our ESG claims relating to product marketing are inaccurate. At the same time, certain actions that we may take in our efforts to address ESG concerns may be challenged as being inconsistent or prohibited by various federal, state, or local laws and regulations. It is uncertain what laws, rules, or regulations may be enacted, or how courts may interpret them in the future, and therefore we cannot predict the potential impact such laws or regulations may have on our future financial condition, results of operations, and cash flows. The laws and regulations regarding ESG disclosures and requirements are also rapidly evolving and could have an adverse effect on our operations, and the costs of compliance with, and the other burdens imposed by, these and other laws or regulatory actions may increase our operational costs.</w:t>
      </w:r>
    </w:p>
    <w:p>
      <w:pPr>
        <w:spacing w:after="0" w:line="1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It is uncertain what laws will be enacted, and therefore we cannot predict the potential impact of such laws on our future financial condition, results of operations, and cash flows. The laws and regulations regarding ESG disclosures and requirements are also evolving and could have an adverse effect on our operations and the costs of compliance with, and the other burdens imposed by, these and other laws or regulatory actions may increase our operational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warranty, commercial dispute, and patent infringement losses.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or formal campaigns soliciting repair or return of a product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such as LED, generally provide for more extensive warranty protection, which may result in higher costs if warranty claims on these products are higher than historical amounts. We may also be liable if the use or failure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even if such costs or liabilities are covered under supplier warranty obligations. We have incurred and may incur in the future charges and loss of reimbursed cash flows from such suppliers. A significant product recall, warranty claim, product liability case, and/or challenges around seeking indemnity or reimbursement from our suppliers or other third parties could also result in adverse publicity, damage to our reputation, and a loss of consumer confidence in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and could be the target of intellectual property claims.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certain patents, trademarks, copyrights, trade secrets, and other intellectual property. Where appropriate, these assets are the subject of registrations or other filings with governmental entities. In addition, we have internal policies and processes that establish a strategy for protecting newly developed key company technologies. We make decisions about what intellectual property to register based on these policies and processes. Formal protection for all company intellectual property is not appropriate, but even if it were, it could not be obtained without incurring significant legal expenses and adversely affecting our financial condition and results of operations. With respect to intellectual property rights that we have obtained, we cannot be certain that others have not infringed and will not infringe on these rights. Enforcement actions against these third parties could result in significant legal expenses, which could also adversely affect our financial condition and results of operations.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others in the industry, from time to time we receive allegations of patent infringement from competitors and from non-practicing entity patent holders. Those allegations may be coupled with offers to license their patents for use in our products. We typically address those allegations by developing invalidity or non-infringement positions or obtaining access to such patents through licensing, cross-licensing, or other mutually beneficial arrangements. To the extent we cannot develop such positions and are unable to enter into such arrangements on acceptable economic terms, it could adversely impact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financial, and other risks related to climate change and other sustainability matters.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scientific consensus indicates that emissions of GHGs continue to alter the composition of Earth’s atmosphere in ways that are affecting, and are expected to continue to affect, the global climate. The potential impacts of climate change on our customers, product offerings, operations, facilities, and suppliers are accelerating and uncertain, as they will be particular to local and customer-specific circumstances.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Concerns regarding climate change may lead to significant legislative and regulatory responses, including efforts to limit GHG emissions.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joined the Paris Accord. These and other existing or potential international initiatives and regulations could affect our international operations.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marketing are inaccurate. It is uncertain what laws will be enacted, and therefore we cannot predict the potential impact of such laws on our future financial condition, results of operations, and cash flows.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investors and stakeholders are increasingly interested in ESG matters, and as stakeholder ESG expectations and standards evolve, our failure to sufficiently respond to these evolving standards and expectations may cause us to suffer from reputational damage, and our business or financial condition could be adversely affected. The laws and regulations regarding ESG disclosures and requirements are also evolving and could have an adverse effect on our operations and the costs of compliance with, and the other burdens imposed by, these and other laws or regulatory actions may increase our operational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liabilities due in the jurisdictions in which we operate may exceed anticipated amounts.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income tax, sales tax, value-added tax (“VAT”), excise tax, property tax, and other taxes and assessments at federal, state, local, and international levels. Our consolidated tax obligation is driven largely by our corporate structure as well as domestic and international intercompany arrangements. We operate in several jurisdictions, including but not limited to, the United States, Mexico, Canada, Europe, and Asia. Certain jurisdictions may aggressively interpret their laws, regulations, and policies in an effort to raise additional tax revenue, and international tax authorities may seek to assert extraterritorial taxing rights on our transactions or operations.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previously been subject to domestic and international tax audits by taxing authorities of the jurisdictions in which we operate, and we may be subject to additional such audits in the future. While our previous audits resulted in no significant findings, and we believe we continue to be in compliance with relevant tax laws, tax authorities may challenge or disagree with certain positions or methodologies in calculating our tax positions. An unfavorable interpretation or outcome could increase our worldwide effective tax rate, result in additional tax obligations owed, impact the amount of recoverable VAT, and/or increase excise taxes owed, which could have an adverse impact on our financial position, results of operations, and/or cash flows.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tax laws and regulations in domestic and international jurisdictions are often extremely complex and subject to varying interpretations and may require us to make judgments and estimates about our provisions, including with respect to certain transactions where the ultimate tax determination is uncertain. Although we believe that our estimates are reasonable, the ultimate tax outcome may differ from the amounts recorded, which could have a material impact on our financial position, results of operations, and/or cash flows.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our future income tax obligations could be adversely affected by changes in, or interpretations of, tax laws, regulations, policies, or decisions in the United States or in the other jurisdictions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or due to our ability to accurately forecast our performance. Our performance could be different than analyst expectations or issued guidance, causing a decline in our stock price. To the extent that other large companies within our industry experience declines in share price, our share price may decline as well. In addition, we may discontinue or reduce dividend payments and may discontinue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or suspension of dividends and any suspension or termination of our share repurchase program could cause our stock price to decline.</w:t>
      </w:r>
    </w:p>
    <w:p>
      <w:pPr>
        <w:spacing w:after="0" w:line="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When the market price of our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 Additionally, planned or actioned termination or settlement activities of any of our defined retirement benefit plans may not be approved timely, or at all, by the appropriate regulatory authorities; may result in additional non-cash charges within our results of operations as well as additional administrative costs; and/or may not yield the desired benefits.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and operations are subject to interest rate risks, and changes in interest rates can reduce demand for our products and increase borrowing costs.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Rising interest rates could have a negative effect on overall economic activity, and could impair the ability of real estate developers, property owners, contractors, and system integrators to obtain reasonable costs of capital on borrowed funds, resulting in depressed levels of construction and renovation projects and a resulting decrease in demand for our products and services. Rising interest rates could also impair our customers’ ability to repay obligations to us. Additionally, rising interest rates may increase our cost of capital, which could have material adverse effects on our financial condition and cash flows.</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i w:val="1"/>
          <w:iCs w:val="1"/>
          <w:color w:val="auto"/>
        </w:rPr>
        <w:t>Cybersecurity.</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and Board of Directors recognize the importance of maintaining the capacity, reliability, and security of our information technology environment and data security infrastructure. Both management and the Board of Directors are actively involved in our enterprise risk management process, which specifically identifies cybersecurity as a key risk to us. To address cybersecurity risk, we have instituted policies, processes, and internal controls aligned with the framework established by the Secure Controls Framework, a meta-framework that reflects the standards of multiple security frameworks including those of the National Institute of Standards and Technology (“NIST”) and International Organization for Standardization (“ISO”). The focus of our cybersecurity program is to preserve the confidentiality, security, and availability of our systems and data, mitigate cybersecurity threats, and effectively respond to and recover from cybersecurity incidents when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Cybersecurity Risks, Threats, and Incidents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While prior compromises of our security have not had, individually or in the aggregate, a material impact on our operations and/or financial condition, the Company expects risks from cybersecurity threats, including, but not limited to, security breaches, viruses, malware, ransom attacks, other cyber-attacks, or other similar threats, to continue as events of this nature are becoming more sophisticated and frequent, and the techniques used in such attacks change rapidly. Additional information on cybersecurity risks we face is discussed in </w:t>
      </w:r>
      <w:r>
        <w:rPr>
          <w:rFonts w:ascii="Arial" w:cs="Arial" w:eastAsia="Arial" w:hAnsi="Arial"/>
          <w:sz w:val="18"/>
          <w:szCs w:val="18"/>
          <w:i w:val="1"/>
          <w:iCs w:val="1"/>
          <w:color w:val="auto"/>
        </w:rPr>
        <w:t>Part I, 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which should be read in conjunction with the foregoing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and implemented processes to assess, identify, and manage material cybersecurity risks. Our cybersecurity risk management efforts are led by our Chief Information Security Officer (“CISO”). We deploy technical safeguards designed to protect the Company’s information systems from cybersecurity threats, including firewalls, network access control, end point protection, privileged access management, user behavior analytics, and multi-factor authentication, among others, which are evaluated and improved through vulnerability assessments and cybersecurity threat intelligence. We also perform robust security reviews of third-party software vendors prior to purchasing their software or engaging their services. We maintain a comprehensive, risk-based, third-party risk management process to identify, oversee, assess, and manage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Cybersecurity risks are identified and responded to by our cybersecurity team lead by our CISO. Cybersecurity incidents are managed, evaluated, investigated, and responded to in accordance with the Company’s documented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Cyber Incident Response Plan (“CIRP”). The CIRP is administered by the Cyber Incident Response Team (“CIRT”), which is overseen and managed by the CISO. We test and evaluate the CIRP on at least an annual basis through tabletop exercises designed to achieve incident readiness and promote cybersecurity awareness. We also from time to time engage third parties, including assessors and consultants, and our internal audit function to perform assessments, reviews, and audits on our cybersecurity measures. The results of such assessments, reviews, and audits are reported to the Audit Committee of the Board of Directors as well as the CIRT. We adjust our CIRP and other cybersecurity policies, standards, processes, and practices as necessary based on the information provided by these assessments, reviews, and audits.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in coordination with the Audit Committee of the Board of Directors, oversees the Company’s overall enterprise risk management process, including the management of risks arising from cybersecurity threats. The Audit Committee is responsible for reviewing and discussing with management our risk exposure to cybersecurity risks and the steps management has taken to monitor and control the Company’s exposure to risk. Additionally, the Board of Directors and the Audit Committee of the Board of Directors each receive regular presentations and reports on cybersecurity risks as well as prompt and timely information regarding any cybersecurity incident identified as significant by our CISO or Chief Privacy Officer, as required by the CIRP, and ongoing updates regarding any such incident until it has been addressed.</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an annual basis, the Board of Directors and the Audit Committee of the Board of Directors discuss the Company’s approach to cybersecurity risk management, as well as our overall risk management strategy, with the members of senior leadership, which includes the Company’s CISO, Chief Executive Officer, and Chief Financial Officer. The Audit Committee also receives periodic updates on risk management and enterprise risk management, including cybersecurity, throughout the year.</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CISO has over three decades of relevant experience across the information technology landscape. His work experience has included managing cybersecurity risks at large multinational companies. Reporting to our CISO and leading a team of security engineers is our Vice President, Enterprise Security, who also has decades of experience architecting and deploying secure network, system, and data center infrastructure as well as designing and deploying processes and technology platforms that are designed to protect the enterprise from cybersecurity threats.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board oversight and the presence of a cybersecurity team, we provide all applicable employees and contractors with cybersecurity awareness training and testing on an annual basis. We also deploy phishing exercises to all applicable employees and select contractors, as well as targeted phishing training to select employees and contractors, on a quarterly basis. Our product development teams keep current through specialized training on secure development practices for firmware, software, and hardware. Our training programs are designed to educate our employees on current cybersecurity risks and the programs we have in place that are designed to protect the Company’s information systems from cybersecurity threats and to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Audit Committee of the Board of Directors when appropriate.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(“ABL”) or Acuity Intelligent Spaces (“AIS”), the facility primarily benefits as of August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ABL</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AIS</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30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Nature of Facilities</w:t>
            </w:r>
          </w:p>
        </w:tc>
        <w:tc>
          <w:tcPr>
            <w:tcW w:w="780" w:type="dxa"/>
            <w:vAlign w:val="bottom"/>
          </w:tcPr>
          <w:p>
            <w:pPr>
              <w:ind w:left="300"/>
              <w:spacing w:after="0" w:line="157" w:lineRule="exact"/>
              <w:rPr>
                <w:sz w:val="20"/>
                <w:szCs w:val="20"/>
                <w:color w:val="auto"/>
              </w:rPr>
            </w:pPr>
            <w:r>
              <w:rPr>
                <w:rFonts w:ascii="Arial" w:cs="Arial" w:eastAsia="Arial" w:hAnsi="Arial"/>
                <w:sz w:val="14"/>
                <w:szCs w:val="14"/>
                <w:b w:val="1"/>
                <w:bCs w:val="1"/>
                <w:color w:val="auto"/>
                <w:w w:val="98"/>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Leased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Leased</w:t>
            </w:r>
          </w:p>
        </w:tc>
        <w:tc>
          <w:tcPr>
            <w:tcW w:w="11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Leased</w:t>
            </w:r>
          </w:p>
        </w:tc>
        <w:tc>
          <w:tcPr>
            <w:tcW w:w="80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13"/>
              <w:spacing w:after="0" w:line="157" w:lineRule="exact"/>
              <w:rPr>
                <w:sz w:val="20"/>
                <w:szCs w:val="20"/>
                <w:color w:val="auto"/>
              </w:rPr>
            </w:pPr>
            <w:r>
              <w:rPr>
                <w:rFonts w:ascii="Arial" w:cs="Arial" w:eastAsia="Arial" w:hAnsi="Arial"/>
                <w:sz w:val="14"/>
                <w:szCs w:val="14"/>
                <w:b w:val="1"/>
                <w:bCs w:val="1"/>
                <w:color w:val="auto"/>
              </w:rPr>
              <w:t>Leased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facilities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Warehouses</w:t>
            </w:r>
          </w:p>
        </w:tc>
        <w:tc>
          <w:tcPr>
            <w:tcW w:w="780" w:type="dxa"/>
            <w:vAlign w:val="bottom"/>
          </w:tcPr>
          <w:p>
            <w:pPr>
              <w:spacing w:after="0"/>
              <w:rPr>
                <w:sz w:val="19"/>
                <w:szCs w:val="19"/>
                <w:color w:val="auto"/>
              </w:rPr>
            </w:pPr>
          </w:p>
        </w:tc>
        <w:tc>
          <w:tcPr>
            <w:tcW w:w="1200" w:type="dxa"/>
            <w:vAlign w:val="bottom"/>
            <w:gridSpan w:val="3"/>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2025:</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49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United States</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Mexico</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Europe</w:t>
            </w: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Canada</w:t>
            </w: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11"/>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ABL:</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Owned</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AIS: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Leased</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or addition of certain facilities.</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in this Annual Report on Form 10-K for information regarding our legal proceedings.</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listed on the New York Stock Exchange under the symbol “AYI.” At October 23, 2025, there were 1,575 stockholders of record.</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timing, declaration, and payment of future dividends to holders of our common stock will depend upon many factors, including our cash balances and potential future capital requirements for strategic transactions, including acquisitions, results of operations, financial condition, and other factors that our Board of Directors may deem relevant.</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equity compensation plans is included under the caption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in our proxy statement for the annual meeting of stockholders to be held January 21, 2026, which we will file with the Securities and Exchange Commission pursuant to Regulation 14A. The proxy statement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August 31, 2025, the maximum number of shares that may yet be repurchased under the share repurchase program authorized by the Board equaled 3.3 million shares. The following table reflects activity related to equity securities we repurchased during the three months ended August 31, 2025:</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6/01/2025 through 6/30/2025</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47,130</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272.58</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47,130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3,384,700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7/01/2025 through 7/31/2025</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32,654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296.85</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32,654</w:t>
            </w:r>
          </w:p>
        </w:tc>
        <w:tc>
          <w:tcPr>
            <w:tcW w:w="1940" w:type="dxa"/>
            <w:vAlign w:val="bottom"/>
          </w:tcPr>
          <w:p>
            <w:pPr>
              <w:jc w:val="right"/>
              <w:spacing w:after="0"/>
              <w:rPr>
                <w:sz w:val="20"/>
                <w:szCs w:val="20"/>
                <w:color w:val="auto"/>
              </w:rPr>
            </w:pPr>
            <w:r>
              <w:rPr>
                <w:rFonts w:ascii="Arial" w:cs="Arial" w:eastAsia="Arial" w:hAnsi="Arial"/>
                <w:sz w:val="16"/>
                <w:szCs w:val="16"/>
                <w:color w:val="auto"/>
              </w:rPr>
              <w:t>3,352,046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8/01/2025 through 8/31/2025</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12,675</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315.88</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12,675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3,339,371</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92,459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287.09</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92,459</w:t>
            </w:r>
          </w:p>
        </w:tc>
        <w:tc>
          <w:tcPr>
            <w:tcW w:w="1940" w:type="dxa"/>
            <w:vAlign w:val="bottom"/>
          </w:tcPr>
          <w:p>
            <w:pPr>
              <w:jc w:val="right"/>
              <w:spacing w:after="0"/>
              <w:rPr>
                <w:sz w:val="20"/>
                <w:szCs w:val="20"/>
                <w:color w:val="auto"/>
              </w:rPr>
            </w:pPr>
            <w:r>
              <w:rPr>
                <w:rFonts w:ascii="Arial" w:cs="Arial" w:eastAsia="Arial" w:hAnsi="Arial"/>
                <w:sz w:val="16"/>
                <w:szCs w:val="16"/>
                <w:color w:val="auto"/>
              </w:rPr>
              <w:t>3,339,371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2025,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692140" cy="3711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2020 in stock or index, including reinvestment of dividends.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8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Aug-20</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Aug-21</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Aug-22</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Aug-23</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Aug-24</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Aug-25</w:t>
            </w:r>
          </w:p>
        </w:tc>
      </w:tr>
      <w:tr>
        <w:trPr>
          <w:trHeight w:val="34"/>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Acuity Inc.</w:t>
            </w:r>
          </w:p>
        </w:tc>
        <w:tc>
          <w:tcPr>
            <w:tcW w:w="3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5"/>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S&amp;P Midcap 400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7"/>
        </w:trPr>
        <w:tc>
          <w:tcPr>
            <w:tcW w:w="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Dow Jones U.S. Electrical Components &amp; Equipment Index</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5"/>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Dow Jones U.S. Building Materials &amp; Fixtures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5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8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[Reserved]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42"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for the fiscal years ended August 31, 2025 and 2024.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w:t>
      </w:r>
    </w:p>
    <w:p>
      <w:pPr>
        <w:sectPr>
          <w:pgSz w:w="11900" w:h="16838" w:orient="portrait"/>
          <w:cols w:equalWidth="0" w:num="1">
            <w:col w:w="11240"/>
          </w:cols>
          <w:pgMar w:left="320" w:top="242" w:right="339" w:bottom="1440" w:gutter="0" w:footer="0" w:header="0"/>
        </w:sectPr>
      </w:pPr>
    </w:p>
    <w:p>
      <w:pPr>
        <w:spacing w:after="0" w:line="82" w:lineRule="exact"/>
        <w:rPr>
          <w:sz w:val="20"/>
          <w:szCs w:val="20"/>
          <w:color w:val="auto"/>
        </w:rPr>
      </w:pPr>
    </w:p>
    <w:p>
      <w:pPr>
        <w:jc w:val="both"/>
        <w:spacing w:after="0" w:line="268" w:lineRule="auto"/>
        <w:rPr>
          <w:rFonts w:ascii="Arial" w:cs="Arial" w:eastAsia="Arial" w:hAnsi="Arial"/>
          <w:sz w:val="18"/>
          <w:szCs w:val="18"/>
          <w:i w:val="1"/>
          <w:iCs w:val="1"/>
          <w:u w:val="single" w:color="auto"/>
          <w:color w:val="0000FF"/>
        </w:rPr>
      </w:pPr>
      <w:r>
        <w:rPr>
          <w:rFonts w:ascii="Arial" w:cs="Arial" w:eastAsia="Arial" w:hAnsi="Arial"/>
          <w:sz w:val="18"/>
          <w:szCs w:val="18"/>
          <w:color w:val="auto"/>
        </w:rPr>
        <w:t xml:space="preserve">A discussion of the year ended August </w:t>
      </w:r>
      <w:hyperlink r:id="rId35">
        <w:r>
          <w:rPr>
            <w:rFonts w:ascii="Arial" w:cs="Arial" w:eastAsia="Arial" w:hAnsi="Arial"/>
            <w:sz w:val="18"/>
            <w:szCs w:val="18"/>
            <w:i w:val="1"/>
            <w:iCs w:val="1"/>
            <w:u w:val="single" w:color="auto"/>
            <w:color w:val="0000FF"/>
          </w:rPr>
          <w:t>Management's Discussion and Analysis</w:t>
        </w:r>
      </w:hyperlink>
      <w:r>
        <w:rPr>
          <w:rFonts w:ascii="Arial" w:cs="Arial" w:eastAsia="Arial" w:hAnsi="Arial"/>
          <w:sz w:val="18"/>
          <w:szCs w:val="18"/>
          <w:i w:val="1"/>
          <w:iCs w:val="1"/>
          <w:u w:val="single" w:color="auto"/>
          <w:color w:val="0000FF"/>
        </w:rPr>
        <w:t xml:space="preserve"> </w:t>
      </w:r>
      <w:r>
        <w:rPr>
          <w:rFonts w:ascii="Arial" w:cs="Arial" w:eastAsia="Arial" w:hAnsi="Arial"/>
          <w:sz w:val="18"/>
          <w:szCs w:val="18"/>
          <w:color w:val="000000"/>
        </w:rPr>
        <w:t>Commission on October 28, 2024.</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hanging="12"/>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31, 2024 compared to the year ended August 31, 2023 can be found within </w:t>
      </w:r>
      <w:hyperlink r:id="rId35">
        <w:r>
          <w:rPr>
            <w:rFonts w:ascii="Arial" w:cs="Arial" w:eastAsia="Arial" w:hAnsi="Arial"/>
            <w:sz w:val="18"/>
            <w:szCs w:val="18"/>
            <w:i w:val="1"/>
            <w:iCs w:val="1"/>
            <w:u w:val="single" w:color="auto"/>
            <w:color w:val="0000FF"/>
          </w:rPr>
          <w:t>Part II, Item 7.</w:t>
        </w:r>
      </w:hyperlink>
      <w:r>
        <w:rPr>
          <w:rFonts w:ascii="Arial" w:cs="Arial" w:eastAsia="Arial" w:hAnsi="Arial"/>
          <w:sz w:val="18"/>
          <w:szCs w:val="18"/>
          <w:color w:val="auto"/>
        </w:rPr>
        <w:t xml:space="preserve"> within our fiscal 2024 Annual Report on Form 10-K filed with the Securities and Exchange</w:t>
      </w:r>
    </w:p>
    <w:p>
      <w:pPr>
        <w:spacing w:after="0" w:line="382" w:lineRule="exact"/>
        <w:rPr>
          <w:sz w:val="20"/>
          <w:szCs w:val="20"/>
          <w:color w:val="auto"/>
        </w:rPr>
      </w:pPr>
    </w:p>
    <w:p>
      <w:pPr>
        <w:sectPr>
          <w:pgSz w:w="11900" w:h="16838" w:orient="portrait"/>
          <w:cols w:equalWidth="0" w:num="2">
            <w:col w:w="3320" w:space="100"/>
            <w:col w:w="7820"/>
          </w:cols>
          <w:pgMar w:left="320" w:top="242"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Effective March 26, 2025, we changed our corporate name from Acuity Brands, Inc. to Acuity Inc.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as of August 31, 2025 primarily include principal and interest on outstanding debt, accounts payable, accrued employee compensation, operating lease liabilities, and certain purchase obligations incurred in the ordinary course of business that are enforceable and legally binding. Further details on our borrowings and operating lease liabilities are outlined in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Lines of Credit, Leases,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Subsequent Event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Contractual purchase obligations subsequent to August 31, 2025 include $323.3 million in fiscal 2026. Contractual purchase obligations beyond fiscal 2026 are not significant.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position at August 31, 2025 was $422.5 million, a decrease of $423.3 million from August 31, 2024. Cash generated from operating activities and cash on hand were used during the current year to partially fund the QSC, LLC (“QSC”) acquisition and our other capital allocation priorities as discussed below.</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$601.4 million of cash flows from operating activities during fiscal 2025 compared with $619.2 million in the prior-year period, a decrease of $17.8 million. Cash flows from operations decreased as payments for acquisition-related costs, higher interest, and increased purchases of inventory were partially offset by the timing of collections from customers.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this Annual Report on Form 10-K for discussion of the terms of our various financing arrangements, including the 2.150% senior unsecured notes due December 15, 2030 (the “Unsecured Notes”), the terms of our five-year unsecured revolving credit facility (“Revolving Credit Facility”), and the terms of our unsecured term loan facility (“Term Loan Facility”) due June 27, 2027.</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August 31, 2025, our outstanding debt balance was $896.8 million, which consisted of our Unsecured Notes and borrowings on our Term Loan Facility, compared to our cash position of $422.5 million. We were in compliance with all covenants under our financing arrangements as of August 31, 2025.</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4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31, 2025</w:t>
            </w: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assets due from non-guarantor affiliates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338.0</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20" w:type="dxa"/>
            <w:vAlign w:val="bottom"/>
          </w:tcPr>
          <w:p>
            <w:pPr>
              <w:spacing w:after="0"/>
              <w:rPr>
                <w:sz w:val="18"/>
                <w:szCs w:val="18"/>
                <w:color w:val="auto"/>
              </w:rPr>
            </w:pPr>
          </w:p>
        </w:tc>
        <w:tc>
          <w:tcPr>
            <w:tcW w:w="2620" w:type="dxa"/>
            <w:vAlign w:val="bottom"/>
          </w:tcPr>
          <w:p>
            <w:pPr>
              <w:jc w:val="right"/>
              <w:ind w:right="259"/>
              <w:spacing w:after="0"/>
              <w:rPr>
                <w:sz w:val="20"/>
                <w:szCs w:val="20"/>
                <w:color w:val="auto"/>
              </w:rPr>
            </w:pPr>
            <w:r>
              <w:rPr>
                <w:rFonts w:ascii="Arial" w:cs="Arial" w:eastAsia="Arial" w:hAnsi="Arial"/>
                <w:sz w:val="16"/>
                <w:szCs w:val="16"/>
                <w:b w:val="1"/>
                <w:bCs w:val="1"/>
                <w:color w:val="auto"/>
              </w:rPr>
              <w:t>Year Ended August 31, 2025</w:t>
            </w:r>
          </w:p>
        </w:tc>
      </w:tr>
      <w:tr>
        <w:trPr>
          <w:trHeight w:val="210"/>
        </w:trPr>
        <w:tc>
          <w:tcPr>
            <w:tcW w:w="8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3,326.2</w:t>
            </w: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1,503.1</w:t>
            </w: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25, 2024, we entered into an amendment to our credit agreement (the “Credit Agreement”) that, among other things, provided for a delayed draw term under the Term Loan Facility of up to $600.0 million. In January 2025, we drew the full $600.0 million on the Term Loan Facility to fund the QSC acquisition. During fiscal 2025, we voluntarily repaid $200.0 million of the outstanding obligation. We had $400.0 million in borrowings outstanding under the Term Loan Facility at August 31, 2025.</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August 31, 2025, we had additional borrowing capacity under the Credit Agreement of $595.8 million under the most restrictive covenant in effect at the time, which represents the full amount of the Revolving Credit Facility less outstanding letters of credit of $ 4.2 million issued under the Revolving Credit Facility, primarily for securing collateral requirements under our casualty insurance premiums. As of August 31, 2025, our cash on hand combined with the additional borrowing capacity under the Revolving Credit Facility totaled $1.0 billion.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invested $68.4 million and $64.0 million in property, plant, and equipment in fiscal 2025 and 2024, respectively. We invested primarily in new and enhanced information technology, equipment, tooling, and facility improvements in fiscal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 LLC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2025, we acquired all of the equity interests of QSC, a leader in the design, engineering, and manufacturing of audio, video, and control solutions and services, for $1.2 billion. This acquisition expands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M3 Innovation, LLC</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 2025, we acquired certain assets of M3 Innovation, LLC, a sports lighting startup that uses innovative technology to lower the overall cost of the installation and operation of sports lighting solutions. The assets have been included in ABL's financial results since the date of acquisition and did not have a material impact to our financial condition,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$20.6 million ($0.66 per share) in fiscal 2025 and $18.2 million ($0.58 per share) in fiscal 2024. All decisions regarding the declaration and payment of dividends are at the discretion of the Board of Directors (the “Board”) and are evaluated regularly with consideration of our financial condition, earnings, growth prospects, funding requirements, applicable law, and any other factors the Board deems relevant.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2025, we repurchased approximately 0.4 million shares of our outstanding common stock for $117.1 million. Total cash outflows for share repurchases during fiscal 2025 were $118.5 million. During fiscal 2024, we repurchased 0.5 million shares of our outstanding common stock for $87.8 million. Total cash outflows for share repurchases during fiscal 2024 were $88.7 million. We expect to repurchase shares on an opportunistic basis subject to various factors including stock price, Company performance, market conditions, and other possible uses of cash.</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25, 2024, the Board approved an increase of three million shares to the maximum number of shares that may yet be repurchased under the share repurchase program. As of August 31, 2025, the maximum number of shares that may yet be repurchased under the share repurchase program authorized by the Board equaled 3.3 million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jc w:val="both"/>
        <w:spacing w:after="0" w:line="262" w:lineRule="auto"/>
        <w:rPr>
          <w:rFonts w:ascii="Arial" w:cs="Arial" w:eastAsia="Arial" w:hAnsi="Arial"/>
          <w:sz w:val="18"/>
          <w:szCs w:val="18"/>
          <w:i w:val="1"/>
          <w:iCs w:val="1"/>
          <w:color w:val="0000FF"/>
        </w:rPr>
      </w:pPr>
      <w:r>
        <w:rPr>
          <w:rFonts w:ascii="Arial" w:cs="Arial" w:eastAsia="Arial" w:hAnsi="Arial"/>
          <w:sz w:val="18"/>
          <w:szCs w:val="18"/>
          <w:color w:val="auto"/>
        </w:rPr>
        <w:t xml:space="preserve">The following is a discussion of our results of operations in fiscal 2025 compared to fiscal 2024. A discussion of our fiscal 2024 results of </w:t>
      </w:r>
      <w:hyperlink r:id="rId35">
        <w:r>
          <w:rPr>
            <w:rFonts w:ascii="Arial" w:cs="Arial" w:eastAsia="Arial" w:hAnsi="Arial"/>
            <w:sz w:val="18"/>
            <w:szCs w:val="18"/>
            <w:color w:val="auto"/>
          </w:rPr>
          <w:t xml:space="preserve">operations compared to fiscal 2023 can be found within </w:t>
        </w:r>
        <w:r>
          <w:rPr>
            <w:rFonts w:ascii="Arial" w:cs="Arial" w:eastAsia="Arial" w:hAnsi="Arial"/>
            <w:sz w:val="18"/>
            <w:szCs w:val="18"/>
            <w:i w:val="1"/>
            <w:iCs w:val="1"/>
            <w:u w:val="single" w:color="auto"/>
            <w:color w:val="0000FF"/>
          </w:rPr>
          <w:t>Part II, Item 7. Management's Discussion and Analysis of Financial Condition and</w:t>
        </w:r>
      </w:hyperlink>
      <w:r>
        <w:rPr>
          <w:rFonts w:ascii="Arial" w:cs="Arial" w:eastAsia="Arial" w:hAnsi="Arial"/>
          <w:sz w:val="18"/>
          <w:szCs w:val="18"/>
          <w:color w:val="auto"/>
        </w:rPr>
        <w:t xml:space="preserve"> </w:t>
      </w:r>
      <w:hyperlink r:id="rId35">
        <w:r>
          <w:rPr>
            <w:rFonts w:ascii="Arial" w:cs="Arial" w:eastAsia="Arial" w:hAnsi="Arial"/>
            <w:sz w:val="18"/>
            <w:szCs w:val="18"/>
            <w:i w:val="1"/>
            <w:iCs w:val="1"/>
            <w:u w:val="single" w:color="auto"/>
            <w:color w:val="0000FF"/>
          </w:rPr>
          <w:t>Results of Operations</w:t>
        </w:r>
        <w:r>
          <w:rPr>
            <w:rFonts w:ascii="Arial" w:cs="Arial" w:eastAsia="Arial" w:hAnsi="Arial"/>
            <w:sz w:val="18"/>
            <w:szCs w:val="18"/>
            <w:i w:val="1"/>
            <w:iCs w:val="1"/>
            <w:color w:val="0000FF"/>
          </w:rPr>
          <w:t xml:space="preserve"> </w:t>
        </w:r>
        <w:r>
          <w:rPr>
            <w:rFonts w:ascii="Arial" w:cs="Arial" w:eastAsia="Arial" w:hAnsi="Arial"/>
            <w:sz w:val="18"/>
            <w:szCs w:val="18"/>
            <w:color w:val="000000"/>
          </w:rPr>
          <w:t>within our fiscal 2024 Annual Report on Form 10-K filed with the Securities and Exchange Commission on October 28,</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2024.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2025 with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31, 2024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August 31,</w:t>
            </w:r>
          </w:p>
        </w:tc>
        <w:tc>
          <w:tcPr>
            <w:tcW w:w="1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5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4,345.6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2,267.1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10.1 %</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2,078.5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140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563.9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7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13.0 %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3"/>
          </w:tcPr>
          <w:p>
            <w:pPr>
              <w:jc w:val="right"/>
              <w:ind w:right="1399"/>
              <w:spacing w:after="0"/>
              <w:rPr>
                <w:sz w:val="20"/>
                <w:szCs w:val="20"/>
                <w:color w:val="auto"/>
              </w:rPr>
            </w:pPr>
            <w:r>
              <w:rPr>
                <w:rFonts w:ascii="Arial" w:cs="Arial" w:eastAsia="Arial" w:hAnsi="Arial"/>
                <w:sz w:val="16"/>
                <w:szCs w:val="16"/>
                <w:i w:val="1"/>
                <w:iCs w:val="1"/>
                <w:color w:val="auto"/>
              </w:rPr>
              <w:t>(140) 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5400" w:type="dxa"/>
            <w:vAlign w:val="bottom"/>
          </w:tcPr>
          <w:p>
            <w:pPr>
              <w:ind w:left="240"/>
              <w:spacing w:after="0"/>
              <w:rPr>
                <w:sz w:val="20"/>
                <w:szCs w:val="20"/>
                <w:color w:val="auto"/>
              </w:rPr>
            </w:pPr>
            <w:r>
              <w:rPr>
                <w:rFonts w:ascii="Arial" w:cs="Arial" w:eastAsia="Arial" w:hAnsi="Arial"/>
                <w:sz w:val="16"/>
                <w:szCs w:val="16"/>
                <w:color w:val="auto"/>
              </w:rPr>
              <w:t>Interest expense (income), net</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5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Miscellaneous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3"/>
          </w:tcPr>
          <w:p>
            <w:pPr>
              <w:jc w:val="right"/>
              <w:ind w:right="1399"/>
              <w:spacing w:after="0"/>
              <w:rPr>
                <w:sz w:val="20"/>
                <w:szCs w:val="20"/>
                <w:color w:val="auto"/>
              </w:rPr>
            </w:pPr>
            <w:r>
              <w:rPr>
                <w:rFonts w:ascii="Arial" w:cs="Arial" w:eastAsia="Arial" w:hAnsi="Arial"/>
                <w:sz w:val="16"/>
                <w:szCs w:val="16"/>
                <w:i w:val="1"/>
                <w:iCs w:val="1"/>
                <w:color w:val="auto"/>
              </w:rPr>
              <w:t>(280) 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9"/>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20.7 %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90"/>
        </w:trPr>
        <w:tc>
          <w:tcPr>
            <w:tcW w:w="5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of $4.35 billion for the year ended August 31, 2025 increased by $504.6 million, or 13.1%, compared with the prior-year period due primarily to increases in sales in both our AIS and ABL segments. The increase in our AIS segment was driven by the acquisition of QSC, which contributed $428.6 million in sales, as well higher net sales of our Atrius and Distech products. Additionally, net sales increased in our ABL segment due primarily to higher net sales within the independent sales and direct sales networks, partially offset by lower net sales within the corporate accounts and retail channels.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year ended August 31, 2025 increased $296.8 million, or 16.7%, to $2.08 billion compared with $ 1.78 billion for the prior year. Our gross profit increased compared with the prior period due primarily to the fall through of higher net sales, including contributions from the QSC acquisition, as well as favorable materials costs. These increases were partially offset by increased production costs, higher tariffs, and acquisition-date fair value adjustments to QSC's inventory.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distribution, and administrative (“SD&amp;A”) expenses for the year ended August 31, 2025 were $ 1.48 billion compared with $1.23 billion in the prior year, an increase of $256.5 million, or 20.9%. The increase in SD&amp;A expenses was due primarily to higher selling costs associated with higher sales and higher employee-related costs. The increase was also due to amounts related to the QSC acquisition, including higher employee-related costs, higher amortization from acquired intangibles, and acquisition-related costs. Acquisition-related costs were recorded within unallocated corporate amounts.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recorded special charges totaling $29.7 million for the year ended August 31, 2025, which consisted primarily of impairments of long-lived assets as well as employee severance costs related to productivity initiatives. Please refer to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Consolidated Financial Statements </w:t>
      </w:r>
      <w:r>
        <w:rPr>
          <w:rFonts w:ascii="Arial" w:cs="Arial" w:eastAsia="Arial" w:hAnsi="Arial"/>
          <w:sz w:val="18"/>
          <w:szCs w:val="18"/>
          <w:color w:val="auto"/>
        </w:rPr>
        <w:t>within this Annual Report on Form 10-K for further details.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year ended August 31, 2025 was $563.9 million (13.0% of net sales) compared with $553.3 million (14.4% of net sales) for the prior fiscal year, an increase of $10.6 million, or 1.9%. The increase in operating profit was due primarily to higher gross profit, partially offset by higher SD&amp;A expenses and nonrecurring fiscal 2025 special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$22.0 million and net interest income of $4.5 million for the years ended August 31, 2025 and 2024, respectively. The increase in net interest expense was due primarily to interest incurred on our outstanding Term Loan Facility and lower interest-bearing cash and cash equivalent balances as a result of our purchase of QSC.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reported net miscellaneous expense of $41.7 million in fiscal 2025 compared with $9.2 million in fiscal 2024. This year-over-year change was due primarily to the recognition of $30.9 million for non-cash pension settlement charges in the fourth quarter of fiscal 2025.</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details of the pension settlement charges are described 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effective income tax rate was 20.7% and 23.0% for the years ended August 31, 2025 and 2024, respectively. This reduction was due primarily to a one-time $8.2 million tax benefit related to the expiration of the statute in fiscal 2025 of limitations on tax reserves for uncertain tax positions. Further details regarding income taxes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fiscal 2025 decreased $ 26.0 million, or 6.2%, to $396.6 million from $422.6 million reported for the prior year. This decrease was due primarily to the recognition of non-cash pension settlement charges, nonrecurring special charges, higher SD&amp;A expenses, and higher net interest expense, partially offset by higher gross profit and lower income tax expense.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Diluted earnings per share for fiscal 2025 was $12.53 compared with $13.44 for the prior-year period, a decrease of $0.91, or 6.8%. This decrease reflects lower net income as well as higher outstanding diluted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AIS, for the year ended August 31, 2025 with the year ended August 31,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August 31,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3,612.2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3,573.4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1,612.5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590.6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582.8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20"/>
              <w:spacing w:after="0"/>
              <w:rPr>
                <w:sz w:val="20"/>
                <w:szCs w:val="20"/>
                <w:color w:val="auto"/>
              </w:rPr>
            </w:pPr>
            <w:r>
              <w:rPr>
                <w:rFonts w:ascii="Arial" w:cs="Arial" w:eastAsia="Arial" w:hAnsi="Arial"/>
                <w:sz w:val="14"/>
                <w:szCs w:val="14"/>
                <w:color w:val="auto"/>
              </w:rPr>
              <w:t>Gross profit margin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45.8 %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AIS: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764.3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291.9</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161.8 %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74.5 %</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Gross profit margin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55.5 %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year ended August 31, 2025 increased 1.1% compared with the prior-year period due primarily to higher net sales in our independent and direct sales networks, partially offset by a decline in corporate accounts due primarily to the timing of renovation activities for a large customer and a decline in the retail sales channel.</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gross profit was $1.7 billion (45.8% of ABL net sales) for the year ended August 31, 2025 compared with $1.6 billion (45.1% of ABL net sales) in the prior year, an increase of $42.0 million. The increase in gross profit was due primarily to fall through of higher net sales and favorable materials cost. These increases were partially offset by higher production and tariff costs.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operating profit was $ 590.6 million (16.4% of ABL net sales) for the year ended August 31, 2025 compared with $582.8 million (16.3% of ABL net sales) in the prior year, an increase of $7.8 million. The increase in operating profit was primarily due to higher gross profit, partially offset by the recognition of nonrecurring special charges and higher selling costs associated with higher sales.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AIS net sales for the year ended August 31, 2025 increased $472.4 million or 161.8% compared with the prior-year period due primarily to the acquisition of QSC, which contributed $428.6 million in sales, as well as higher net sales of Atrius and Distech products.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gross profit was $424.0 million (55.5% of AIS net sales) for the year ended August 31, 2025 compared with $169.2 million (58.0% of AIS net sales) in the prior-year period, an increase of $254.8 million. The increase in gross profit was due primarily to fall through of higher net sales, including contributions from the QSC acquisition. These increases were partially offset by preliminary pre-tax fair value adjustments to QSC's inventory and higher tariffs.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operating profit was $76.1 million (10.0% of AIS net sales) for the year ended August 31, 2025 compared with $43.6 million (14.9% of AIS net sales) in the prior-year period, an increase of $32.5 million. This increase primarily reflects higher gross profit, partially offset by higher SD&amp;A costs due primarily to contributions from the QSC acquisition. AIS's operating results also include preliminary pre-tax fair value adjustments to inventory and amortization of intangible assets related to the QSC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2025 and Accounting Standards Yet to Be Adopted</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recognition and measurement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 summary of our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topics represent our critical accounting estimates.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we estimate and record provisions for rebates, sales incentives, product returns, and discounts to customers, in most instances, as reductions of revenue.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maintain one-time or on-going marketing and trade-promotion programs with certain customers that require us to estimate and accrue the expected costs of such programs. Generally, these provisions are recorded as reductions of revenue and are estimated based on customer agreements, historical trends, expected demand, or specific notification of pending returns. Although historical experience has generally been within expectations, there can be no assurance that future rebates, sales incentives, product returns, discounts, and marketing and trade-promotion programs will not exceed historical amounts. A significant increase in these activities could have a material adverse impact on our operating results in the future.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including financial balances, regarding estimates related to revenue recognition.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We review inventory quantities on hand and record a provision for excess or obsolete inventory primarily based on estimated future demand and current market conditions. Although our historical experience related to demand and market conditions has been within expectations, a significant change in customer demand, market conditions, or technology could render certain inventory obsolete and thus could have a material adverse impact on our operating results in the period the change occurs.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business combinations using the acquisition method of accounting, which requires that once control is obtained, all the assets acquired and liabilities assumed are recorded at their respective fair values at the date of acquisition. The determination of the acquisition-date fair values of identifiable assets acquired and liabilities assumed requires estimates and a significant amount of management judgment and may involve third-party specialists. Generally, the assets requiring the most judgment are identified intangible assets, which are generally valued using an income, replacement cost, market comparable, or other approach.</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QSC acquisition, we used an income approach to value significant acquired intangible assets. We used a relief-from royalty method for trade names, a distributor model for customer relationships, and a multi-period excess earnings method for developed technology and patents. Significant assumptions used in these models included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projected revenues, attrition rates, hypothetical royalty rates, hypothetical distributor margins, projected obsolescence factors, and/or relevant discount rates.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believe our estimates of acquisition-date fair values are reasonable, actual financial results could differ from those estimates due to the inherent uncertainty involved in making such estimates. Changes in assumptions concerning future financial results or other underlying assumptions could have a significant impact on the determination of the fair values of the intangible assets acquired.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is calculated as the residual value of an acquisition's purchase price less the value of the identifiable net assets and is thus dependent on the appropriate identification and valuation of the net assets obtained in an acquisition.</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Indefinite-lived intangible assets consist of acquired trade names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royalty rates, and discount rates.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goodwill and indefinite-lived intangible assets for impairment on an annual basis as of the first date of our fiscal fourth quarter (June 1) or more frequently if events occur or circumstances change, such as a significant adverse change in our business climate, that would more likely than not indicate that the fair value of a reporting unit or an indefinite-lived asset is below its carrying value.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our annual impairment tests, we may elect to perform a qualitative assessment of our goodwill and/or indefinite-lived intangibles as allowed under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to determine whether it is more likely than not that an impairment occurred. If we determine that an asset is more likely than not impaired, we perform a quantitative impairment assessment for that asset. Alternatively, we may elect to forego the qualitative assessment. An impairment loss for goodwill is recognized in the event a reporting unit's carrying value exceeds its fair value and for an indefinite-lived intangible asset in the event the asset's carrying value exceeds its fair value.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assessment of our goodwill and indefinite-lived intangible assets for impairment considers the use of significant judgments and estimates in accordance with U.S. GAAP including, but not limited to, economic, industry, and Company-specific qualitative factors, projected future net sales, operating results, and cash flows. Under a quantitative assessment, fair values for goodwill and indefinite-lived intangible assets are estimated using discounted future cash flows or another appropriate fair value method. We currently believe that the estimates used in the evaluation of goodwill and indefinite-lived intangibles are reasonable. However, future differences between actual and expected net sales, operating results, and cash flows and/or changes in the discount rates, or theoretical royalty rates for indefinite-lived intangible assets, used could require us to record additional non-cash impairment charges to earnings for the write-down in the value of such assets. Such charges could have a material adverse effect on our results of operations and financial position but not our cash flows from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1, 2025, the current fiscal year testing date, we performed a qualitative analysis to assess goodwill for impairment. Our qualitative analysis considered and assessed external factors for each reporting unit such as macroeconomic, industry, cost, and market conditions as well as Company-specific factors, including but not limited to, our actual and planned financial performance. Based on the results of our analysis, we determined there was not a more likely than not probability of impairment for each of our four reporting units. Thus, no quantitative test was required for our $1.5 billion of goodwill.</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last performed a quantitative goodwill impairment analysis in fiscal 2023 and concluded that any reasonably likely change in the assumptions used in those analyses, including revenue growth rates, discount rates, longer term growth rates, or relevant multiples would not cause the carrying value of any reporting unit to exceed its estimated fair value.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additional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1, 2025, the current fiscal year testing date, we held eight indefinite-lived intangible assets with an aggregate carrying value of $132.5 million. For fiscal 2025, we performed a qualitative analysis to assess our indefinite-lived intangible assets for impairment. Our qualitative analysis considered and assessed external factors such as macroeconomic, industry, cost, and market conditions as well as asset-specific factors, such as each trade name's actual and planned financial performance. Based on the results of our analysis, we determined there was not a more likely than not probability of impairment for all of the indefinite-lived intangible assets, and no quantitative test for these assets was required. We last performed a quantitative analysis in fiscal 2023 for the trade names and concluded that any reasonably likely change in the assumptions used in those analyses, including revenue growth rates, discount rates, long-term growth rates, or implied royalty rates would not result in an impairment.</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regarding the assumptions used and results of our annual impairment tests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this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Stockholders' Equity </w:t>
      </w:r>
      <w:r>
        <w:rPr>
          <w:rFonts w:ascii="Arial" w:cs="Arial" w:eastAsia="Arial" w:hAnsi="Arial"/>
          <w:sz w:val="18"/>
          <w:szCs w:val="18"/>
          <w:color w:val="auto"/>
        </w:rPr>
        <w:t>due primarily to changing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exchange rates. We do not currently engage in significant commodity hedging transactions for raw materials. The following discussion provides additional information regarding our market risks.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Interest rate fluctuations expose variable-rate debt of the organization to changes in interest expense and cash flows. As of August 31, 2025, our long-term debt consisted of fixed-rate senior unsecured notes and variable-rate borrowings on the term loan facility. A fluctuation in interest rates would not affect interest expense or cash flows related to the Company’s fixed-rate debt. However, a 10% increase in market interest rates at August 31, 2025 would have decreased the estimated fair value of our senior unsecured notes by approximately $9.6 million. As of August 31, 2025, we had $400.0 million borrowings outstanding on our credit facility. A hypothetical increase in interest rates of 10% would increase the annual interest expense on this outstanding debt by approximately $2.2 million.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contained in this Form 10-K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net sales, expense, and capital purchases are transacted in U.S. dollars. Our primary exposure with respect to foreign exchange rate fluctuation exists due to the translation of foreign operations' results into U.S. Dollars, with our largest exposures in Mexico and Canada, and, to a lesser extent, in Europe. Based on fiscal 2025 performance, a hypothetical depreciation of 10% in the value of the Canadian dollar in relation to the U.S. dollar would negatively impact operating profit by approximately $3.0 million, while a hypothetical 10% appreciation in the value of the Canadian dollar in relation to the U.S. dollar would favorably impact operating profit by approximately $3.7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$23.0 million, while a hypothetical 10% increase in the value of the Mexican peso in relation to the U.S. dollar would negatively impact operating profit by approximately $28.1 million. The individual impacts to the operating profit of hypothetical currency fluctuations in the Canadian dollar and Mexican peso have been calculated assuming no changes to functional currency amounts and in isolation from any potential responses to address such exchange rate changes in our foreign markets.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i w:val="1"/>
          <w:i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480" w:type="dxa"/>
            <w:vAlign w:val="bottom"/>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Page</w:t>
            </w:r>
          </w:p>
        </w:tc>
      </w:tr>
      <w:tr>
        <w:trPr>
          <w:trHeight w:val="218"/>
        </w:trPr>
        <w:tc>
          <w:tcPr>
            <w:tcW w:w="10480" w:type="dxa"/>
            <w:vAlign w:val="bottom"/>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720" w:type="dxa"/>
            <w:vAlign w:val="bottom"/>
          </w:tcPr>
          <w:p>
            <w:pPr>
              <w:jc w:val="right"/>
              <w:spacing w:after="0"/>
              <w:rPr>
                <w:sz w:val="20"/>
                <w:szCs w:val="20"/>
                <w:color w:val="auto"/>
              </w:rPr>
            </w:pPr>
            <w:r>
              <w:rPr>
                <w:rFonts w:ascii="Arial" w:cs="Arial" w:eastAsia="Arial" w:hAnsi="Arial"/>
                <w:sz w:val="18"/>
                <w:szCs w:val="18"/>
                <w:color w:val="0000FF"/>
              </w:rPr>
              <w:t>32</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0000FF"/>
              </w:rPr>
              <w:t>33</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Balance Sheets as of August 31, 2025 and 2024</w:t>
            </w:r>
          </w:p>
        </w:tc>
        <w:tc>
          <w:tcPr>
            <w:tcW w:w="720" w:type="dxa"/>
            <w:vAlign w:val="bottom"/>
          </w:tcPr>
          <w:p>
            <w:pPr>
              <w:jc w:val="right"/>
              <w:spacing w:after="0"/>
              <w:rPr>
                <w:sz w:val="20"/>
                <w:szCs w:val="20"/>
                <w:color w:val="auto"/>
              </w:rPr>
            </w:pPr>
            <w:r>
              <w:rPr>
                <w:rFonts w:ascii="Arial" w:cs="Arial" w:eastAsia="Arial" w:hAnsi="Arial"/>
                <w:sz w:val="18"/>
                <w:szCs w:val="18"/>
                <w:color w:val="0000FF"/>
              </w:rPr>
              <w:t>37</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Comprehensive Income for the years ended August 31, 2025, 2024, and 2023</w:t>
            </w:r>
          </w:p>
        </w:tc>
        <w:tc>
          <w:tcPr>
            <w:tcW w:w="72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August 31, 2025, 2024, and 2023</w:t>
            </w:r>
          </w:p>
        </w:tc>
        <w:tc>
          <w:tcPr>
            <w:tcW w:w="720" w:type="dxa"/>
            <w:vAlign w:val="bottom"/>
          </w:tcPr>
          <w:p>
            <w:pPr>
              <w:jc w:val="right"/>
              <w:spacing w:after="0"/>
              <w:rPr>
                <w:sz w:val="20"/>
                <w:szCs w:val="20"/>
                <w:color w:val="auto"/>
              </w:rPr>
            </w:pPr>
            <w:r>
              <w:rPr>
                <w:rFonts w:ascii="Arial" w:cs="Arial" w:eastAsia="Arial" w:hAnsi="Arial"/>
                <w:sz w:val="18"/>
                <w:szCs w:val="18"/>
                <w:color w:val="0000FF"/>
              </w:rPr>
              <w:t>39</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2025, 2024, and 2023</w:t>
            </w:r>
          </w:p>
        </w:tc>
        <w:tc>
          <w:tcPr>
            <w:tcW w:w="720" w:type="dxa"/>
            <w:vAlign w:val="bottom"/>
          </w:tcPr>
          <w:p>
            <w:pPr>
              <w:jc w:val="right"/>
              <w:spacing w:after="0"/>
              <w:rPr>
                <w:sz w:val="20"/>
                <w:szCs w:val="20"/>
                <w:color w:val="auto"/>
              </w:rPr>
            </w:pPr>
            <w:r>
              <w:rPr>
                <w:rFonts w:ascii="Arial" w:cs="Arial" w:eastAsia="Arial" w:hAnsi="Arial"/>
                <w:sz w:val="18"/>
                <w:szCs w:val="18"/>
                <w:color w:val="0000FF"/>
              </w:rPr>
              <w:t>40</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41</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 — Description of Business and Basis of Presentation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41</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2 — Significant Accounting Policies</w:t>
            </w:r>
          </w:p>
        </w:tc>
        <w:tc>
          <w:tcPr>
            <w:tcW w:w="720" w:type="dxa"/>
            <w:vAlign w:val="bottom"/>
          </w:tcPr>
          <w:p>
            <w:pPr>
              <w:jc w:val="right"/>
              <w:spacing w:after="0"/>
              <w:rPr>
                <w:sz w:val="20"/>
                <w:szCs w:val="20"/>
                <w:color w:val="auto"/>
              </w:rPr>
            </w:pPr>
            <w:r>
              <w:rPr>
                <w:rFonts w:ascii="Arial" w:cs="Arial" w:eastAsia="Arial" w:hAnsi="Arial"/>
                <w:sz w:val="18"/>
                <w:szCs w:val="18"/>
                <w:color w:val="0000FF"/>
              </w:rPr>
              <w:t>42</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3 — New Accounting Pronouncements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51</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4 — Acquisitions and Divestitures</w:t>
            </w:r>
          </w:p>
        </w:tc>
        <w:tc>
          <w:tcPr>
            <w:tcW w:w="720" w:type="dxa"/>
            <w:vAlign w:val="bottom"/>
          </w:tcPr>
          <w:p>
            <w:pPr>
              <w:jc w:val="right"/>
              <w:spacing w:after="0"/>
              <w:rPr>
                <w:sz w:val="20"/>
                <w:szCs w:val="20"/>
                <w:color w:val="auto"/>
              </w:rPr>
            </w:pPr>
            <w:r>
              <w:rPr>
                <w:rFonts w:ascii="Arial" w:cs="Arial" w:eastAsia="Arial" w:hAnsi="Arial"/>
                <w:sz w:val="18"/>
                <w:szCs w:val="18"/>
                <w:color w:val="0000FF"/>
              </w:rPr>
              <w:t>52</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5 — Fair Value Measurements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55</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6 — Leases</w:t>
            </w:r>
          </w:p>
        </w:tc>
        <w:tc>
          <w:tcPr>
            <w:tcW w:w="720" w:type="dxa"/>
            <w:vAlign w:val="bottom"/>
          </w:tcPr>
          <w:p>
            <w:pPr>
              <w:jc w:val="right"/>
              <w:spacing w:after="0"/>
              <w:rPr>
                <w:sz w:val="20"/>
                <w:szCs w:val="20"/>
                <w:color w:val="auto"/>
              </w:rPr>
            </w:pPr>
            <w:r>
              <w:rPr>
                <w:rFonts w:ascii="Arial" w:cs="Arial" w:eastAsia="Arial" w:hAnsi="Arial"/>
                <w:sz w:val="18"/>
                <w:szCs w:val="18"/>
                <w:color w:val="0000FF"/>
              </w:rPr>
              <w:t>57</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7 — Debt and Lines of Credit</w:t>
            </w:r>
          </w:p>
        </w:tc>
        <w:tc>
          <w:tcPr>
            <w:tcW w:w="72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8 — Commitments and Contingencies</w:t>
            </w:r>
          </w:p>
        </w:tc>
        <w:tc>
          <w:tcPr>
            <w:tcW w:w="720" w:type="dxa"/>
            <w:vAlign w:val="bottom"/>
          </w:tcPr>
          <w:p>
            <w:pPr>
              <w:jc w:val="right"/>
              <w:spacing w:after="0"/>
              <w:rPr>
                <w:sz w:val="20"/>
                <w:szCs w:val="20"/>
                <w:color w:val="auto"/>
              </w:rPr>
            </w:pPr>
            <w:r>
              <w:rPr>
                <w:rFonts w:ascii="Arial" w:cs="Arial" w:eastAsia="Arial" w:hAnsi="Arial"/>
                <w:sz w:val="18"/>
                <w:szCs w:val="18"/>
                <w:color w:val="0000FF"/>
              </w:rPr>
              <w:t>59</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9 — Segment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61</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10 — Revenue Recognition</w:t>
            </w:r>
          </w:p>
        </w:tc>
        <w:tc>
          <w:tcPr>
            <w:tcW w:w="720" w:type="dxa"/>
            <w:vAlign w:val="bottom"/>
          </w:tcPr>
          <w:p>
            <w:pPr>
              <w:jc w:val="right"/>
              <w:spacing w:after="0"/>
              <w:rPr>
                <w:sz w:val="20"/>
                <w:szCs w:val="20"/>
                <w:color w:val="auto"/>
              </w:rPr>
            </w:pPr>
            <w:r>
              <w:rPr>
                <w:rFonts w:ascii="Arial" w:cs="Arial" w:eastAsia="Arial" w:hAnsi="Arial"/>
                <w:sz w:val="18"/>
                <w:szCs w:val="18"/>
                <w:color w:val="0000FF"/>
              </w:rPr>
              <w:t>63</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11 — Share-based Payments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65</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12 — Pension and Defined Contribution Plans</w:t>
            </w:r>
          </w:p>
        </w:tc>
        <w:tc>
          <w:tcPr>
            <w:tcW w:w="720" w:type="dxa"/>
            <w:vAlign w:val="bottom"/>
          </w:tcPr>
          <w:p>
            <w:pPr>
              <w:jc w:val="right"/>
              <w:spacing w:after="0"/>
              <w:rPr>
                <w:sz w:val="20"/>
                <w:szCs w:val="20"/>
                <w:color w:val="auto"/>
              </w:rPr>
            </w:pPr>
            <w:r>
              <w:rPr>
                <w:rFonts w:ascii="Arial" w:cs="Arial" w:eastAsia="Arial" w:hAnsi="Arial"/>
                <w:sz w:val="18"/>
                <w:szCs w:val="18"/>
                <w:color w:val="0000FF"/>
              </w:rPr>
              <w:t>68</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13 — Special Charges</w:t>
            </w:r>
          </w:p>
        </w:tc>
        <w:tc>
          <w:tcPr>
            <w:tcW w:w="720" w:type="dxa"/>
            <w:vAlign w:val="bottom"/>
          </w:tcPr>
          <w:p>
            <w:pPr>
              <w:jc w:val="right"/>
              <w:spacing w:after="0"/>
              <w:rPr>
                <w:sz w:val="20"/>
                <w:szCs w:val="20"/>
                <w:color w:val="auto"/>
              </w:rPr>
            </w:pPr>
            <w:r>
              <w:rPr>
                <w:rFonts w:ascii="Arial" w:cs="Arial" w:eastAsia="Arial" w:hAnsi="Arial"/>
                <w:sz w:val="18"/>
                <w:szCs w:val="18"/>
                <w:color w:val="0000FF"/>
              </w:rPr>
              <w:t>74</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14 — Common Stock and Related Matters</w:t>
            </w:r>
          </w:p>
        </w:tc>
        <w:tc>
          <w:tcPr>
            <w:tcW w:w="720" w:type="dxa"/>
            <w:vAlign w:val="bottom"/>
          </w:tcPr>
          <w:p>
            <w:pPr>
              <w:jc w:val="right"/>
              <w:spacing w:after="0"/>
              <w:rPr>
                <w:sz w:val="20"/>
                <w:szCs w:val="20"/>
                <w:color w:val="auto"/>
              </w:rPr>
            </w:pPr>
            <w:r>
              <w:rPr>
                <w:rFonts w:ascii="Arial" w:cs="Arial" w:eastAsia="Arial" w:hAnsi="Arial"/>
                <w:sz w:val="18"/>
                <w:szCs w:val="18"/>
                <w:color w:val="0000FF"/>
              </w:rPr>
              <w:t>75</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15 — Income Taxes</w:t>
            </w:r>
          </w:p>
        </w:tc>
        <w:tc>
          <w:tcPr>
            <w:tcW w:w="720" w:type="dxa"/>
            <w:vAlign w:val="bottom"/>
          </w:tcPr>
          <w:p>
            <w:pPr>
              <w:jc w:val="right"/>
              <w:spacing w:after="0"/>
              <w:rPr>
                <w:sz w:val="20"/>
                <w:szCs w:val="20"/>
                <w:color w:val="auto"/>
              </w:rPr>
            </w:pPr>
            <w:r>
              <w:rPr>
                <w:rFonts w:ascii="Arial" w:cs="Arial" w:eastAsia="Arial" w:hAnsi="Arial"/>
                <w:sz w:val="18"/>
                <w:szCs w:val="18"/>
                <w:color w:val="0000FF"/>
              </w:rPr>
              <w:t>76</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16 — Supplemental Disaggregated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79</w:t>
            </w:r>
          </w:p>
        </w:tc>
      </w:tr>
      <w:tr>
        <w:trPr>
          <w:trHeight w:val="239"/>
        </w:trPr>
        <w:tc>
          <w:tcPr>
            <w:tcW w:w="10480" w:type="dxa"/>
            <w:vAlign w:val="bottom"/>
          </w:tcPr>
          <w:p>
            <w:pPr>
              <w:ind w:left="200"/>
              <w:spacing w:after="0"/>
              <w:rPr>
                <w:sz w:val="20"/>
                <w:szCs w:val="20"/>
                <w:color w:val="auto"/>
              </w:rPr>
            </w:pPr>
            <w:r>
              <w:rPr>
                <w:rFonts w:ascii="Arial" w:cs="Arial" w:eastAsia="Arial" w:hAnsi="Arial"/>
                <w:sz w:val="18"/>
                <w:szCs w:val="18"/>
                <w:color w:val="0000FF"/>
              </w:rPr>
              <w:t>Note 17 — Subsequent Event</w:t>
            </w:r>
          </w:p>
        </w:tc>
        <w:tc>
          <w:tcPr>
            <w:tcW w:w="720" w:type="dxa"/>
            <w:vAlign w:val="bottom"/>
          </w:tcPr>
          <w:p>
            <w:pPr>
              <w:jc w:val="right"/>
              <w:spacing w:after="0"/>
              <w:rPr>
                <w:sz w:val="20"/>
                <w:szCs w:val="20"/>
                <w:color w:val="auto"/>
              </w:rPr>
            </w:pPr>
            <w:r>
              <w:rPr>
                <w:rFonts w:ascii="Arial" w:cs="Arial" w:eastAsia="Arial" w:hAnsi="Arial"/>
                <w:sz w:val="18"/>
                <w:szCs w:val="18"/>
                <w:color w:val="0000FF"/>
              </w:rPr>
              <w:t>80</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Acuity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August 31, 2025.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Framework)</w:t>
      </w:r>
      <w:r>
        <w:rPr>
          <w:rFonts w:ascii="Arial" w:cs="Arial" w:eastAsia="Arial" w:hAnsi="Arial"/>
          <w:sz w:val="18"/>
          <w:szCs w:val="18"/>
          <w:color w:val="auto"/>
        </w:rPr>
        <w:t>. Based on this assessment, management believes that, as of August 31, 2025, the Company’s internal control over financial reporting is effective.</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the acquired business of QSC, LLC (“QSC”), which is included in the Company’s consolidated financial statements as of August 31, 2025 and for the period from the acquisition date of January 1, 2025 through August 31, 2025. As of August 31, 2025, QSC assets and net assets after excluding acquired goodwill and intangible assets constituted 7% of both the Company’s consolidated total assets and net assets. For the year ended August 31, 2025, QSC net sales and pre-tax income constituted 10% of the Company's net sales and 4% of the Company's pre-tax income, respectively.</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Ernst &amp; Young LLP, the Company’s independent registered public accounting firm, has issued an audit report on its audit of the Company’s internal control over financial reporting. This report dated October 27, 2025 is included within this Form 10-K.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gridSpan w:val="2"/>
          </w:tcPr>
          <w:p>
            <w:pPr>
              <w:ind w:left="2000"/>
              <w:spacing w:after="0"/>
              <w:rPr>
                <w:sz w:val="20"/>
                <w:szCs w:val="20"/>
                <w:color w:val="auto"/>
              </w:rPr>
            </w:pPr>
            <w:r>
              <w:rPr>
                <w:rFonts w:ascii="Arial" w:cs="Arial" w:eastAsia="Arial" w:hAnsi="Arial"/>
                <w:sz w:val="18"/>
                <w:szCs w:val="18"/>
                <w:color w:val="auto"/>
              </w:rPr>
              <w:t>/s/ NEIL M. ASHE</w:t>
            </w:r>
          </w:p>
        </w:tc>
        <w:tc>
          <w:tcPr>
            <w:tcW w:w="5460" w:type="dxa"/>
            <w:vAlign w:val="bottom"/>
          </w:tcPr>
          <w:p>
            <w:pPr>
              <w:jc w:val="center"/>
              <w:spacing w:after="0"/>
              <w:rPr>
                <w:sz w:val="20"/>
                <w:szCs w:val="20"/>
                <w:color w:val="auto"/>
              </w:rPr>
            </w:pPr>
            <w:r>
              <w:rPr>
                <w:rFonts w:ascii="Arial" w:cs="Arial" w:eastAsia="Arial" w:hAnsi="Arial"/>
                <w:sz w:val="18"/>
                <w:szCs w:val="18"/>
                <w:color w:val="auto"/>
              </w:rPr>
              <w:t>/s/ KAREN J. HOLCOM</w:t>
            </w:r>
          </w:p>
        </w:tc>
      </w:tr>
      <w:tr>
        <w:trPr>
          <w:trHeight w:val="169"/>
        </w:trPr>
        <w:tc>
          <w:tcPr>
            <w:tcW w:w="5440" w:type="dxa"/>
            <w:vAlign w:val="bottom"/>
            <w:tcBorders>
              <w:top w:val="single" w:sz="8" w:color="auto"/>
            </w:tcBorders>
          </w:tcPr>
          <w:p>
            <w:pPr>
              <w:jc w:val="center"/>
              <w:ind w:left="70"/>
              <w:spacing w:after="0" w:line="169" w:lineRule="exact"/>
              <w:rPr>
                <w:sz w:val="20"/>
                <w:szCs w:val="20"/>
                <w:color w:val="auto"/>
              </w:rPr>
            </w:pPr>
            <w:r>
              <w:rPr>
                <w:rFonts w:ascii="Arial" w:cs="Arial" w:eastAsia="Arial" w:hAnsi="Arial"/>
                <w:sz w:val="18"/>
                <w:szCs w:val="18"/>
                <w:b w:val="1"/>
                <w:bCs w:val="1"/>
                <w:color w:val="auto"/>
              </w:rPr>
              <w:t>Neil M. Ashe</w:t>
            </w:r>
          </w:p>
        </w:tc>
        <w:tc>
          <w:tcPr>
            <w:tcW w:w="340" w:type="dxa"/>
            <w:vAlign w:val="bottom"/>
          </w:tcPr>
          <w:p>
            <w:pPr>
              <w:spacing w:after="0"/>
              <w:rPr>
                <w:sz w:val="14"/>
                <w:szCs w:val="14"/>
                <w:color w:val="auto"/>
              </w:rPr>
            </w:pPr>
          </w:p>
        </w:tc>
        <w:tc>
          <w:tcPr>
            <w:tcW w:w="5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Karen J. Holcom</w:t>
            </w:r>
          </w:p>
        </w:tc>
      </w:tr>
      <w:tr>
        <w:trPr>
          <w:trHeight w:val="184"/>
        </w:trPr>
        <w:tc>
          <w:tcPr>
            <w:tcW w:w="5780" w:type="dxa"/>
            <w:vAlign w:val="bottom"/>
            <w:gridSpan w:val="2"/>
          </w:tcPr>
          <w:p>
            <w:pPr>
              <w:jc w:val="center"/>
              <w:ind w:right="180"/>
              <w:spacing w:after="0" w:line="183" w:lineRule="exact"/>
              <w:rPr>
                <w:sz w:val="20"/>
                <w:szCs w:val="20"/>
                <w:color w:val="auto"/>
              </w:rPr>
            </w:pPr>
            <w:r>
              <w:rPr>
                <w:rFonts w:ascii="Arial" w:cs="Arial" w:eastAsia="Arial" w:hAnsi="Arial"/>
                <w:sz w:val="18"/>
                <w:szCs w:val="18"/>
                <w:b w:val="1"/>
                <w:bCs w:val="1"/>
                <w:color w:val="auto"/>
                <w:w w:val="99"/>
              </w:rPr>
              <w:t>Chairman, President and</w:t>
            </w:r>
          </w:p>
        </w:tc>
        <w:tc>
          <w:tcPr>
            <w:tcW w:w="54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Senior Vice President and</w:t>
            </w:r>
          </w:p>
        </w:tc>
      </w:tr>
      <w:tr>
        <w:trPr>
          <w:trHeight w:val="247"/>
        </w:trPr>
        <w:tc>
          <w:tcPr>
            <w:tcW w:w="5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Chief Executive Officer</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Acuity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Acuity Inc. (the Company) as of August 31, 2025 and 2024, the related consolidated statements of comprehensive income, cash flows and stockholders' equity for each of the three years in the period ended August 31, 2025, and the related notes (collectively referred to as the consolidated financial statements). In our opinion, the consolidated financial statements present fairly, in all material respects, the financial position of the Company at August 31, 2025 and 2024, and the results of its operations and its cash flows for each of the three years in the period ended August 31, 2025, in conformity with U.S. generally accepted accounting principles.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2025, based on criteria established in Internal Control—Integrated Framework issued by the Committee of Sponsoring Organizations of the Treadway Commission (2013 framework), and our report dated October 27, 2025 expressed an unqualified opinion thereon.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QSC, LLC – Valuation of Developed Technology</w:t>
      </w:r>
    </w:p>
    <w:p>
      <w:pPr>
        <w:sectPr>
          <w:pgSz w:w="11900" w:h="16838" w:orient="portrait"/>
          <w:cols w:equalWidth="0" w:num="1">
            <w:col w:w="11220"/>
          </w:cols>
          <w:pgMar w:left="320" w:top="242" w:right="359" w:bottom="1440" w:gutter="0" w:footer="0" w:header="0"/>
        </w:sectPr>
      </w:pPr>
    </w:p>
    <w:p>
      <w:pPr>
        <w:spacing w:after="0" w:line="291" w:lineRule="exact"/>
        <w:rPr>
          <w:sz w:val="20"/>
          <w:szCs w:val="20"/>
          <w:color w:val="auto"/>
        </w:rPr>
      </w:pPr>
    </w:p>
    <w:p>
      <w:pPr>
        <w:ind w:left="20"/>
        <w:spacing w:after="0" w:line="269"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in Note 4 to the consolidated financial statements, the Company acquired QSC, LLC (QSC) on January 1, 2025, for cash consideration of approximately $1.2 billion. The Company accounted for the acquisition of QSC as a business combination. The acquisition date fair value of the acquired developed technology intangible assets was $434.0 million, substantially all of which was Q-SYS, an audio, video, and control platform.</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Auditing the Company’s accounting for the Q-SYS developed technology intangible asset was complex due to estimation uncertainty and subjectivity involved in the Company’s determination of fair value. The Company determined the fair value of the Q-SYS developed technology intangible asset based on a multi-period excess earnings method income approach. The estimation uncertainty was primarily due to the sensitivity of the Q-SYS developed technology intangible asset fair value to underlying assumptions about the future performance of QSC. The significant assumptions used to estimate the fair value of the Q-SYS developed technology intangible asset were projected revenues and the discount rate. These significant assumptions include forward-looking considerations and were based on expectations of future economic and market conditions.</w:t>
      </w:r>
    </w:p>
    <w:p>
      <w:pPr>
        <w:spacing w:after="0" w:line="198" w:lineRule="exact"/>
        <w:rPr>
          <w:sz w:val="20"/>
          <w:szCs w:val="20"/>
          <w:color w:val="auto"/>
        </w:rPr>
      </w:pPr>
    </w:p>
    <w:p>
      <w:pPr>
        <w:sectPr>
          <w:pgSz w:w="11900" w:h="16838" w:orient="portrait"/>
          <w:cols w:equalWidth="0" w:num="2">
            <w:col w:w="1420" w:space="200"/>
            <w:col w:w="9600"/>
          </w:cols>
          <w:pgMar w:left="320" w:top="242" w:right="359" w:bottom="1440" w:gutter="0" w:footer="0" w:header="0"/>
          <w:type w:val="continuous"/>
        </w:sectPr>
      </w:pPr>
    </w:p>
    <w:p>
      <w:pPr>
        <w:ind w:left="20"/>
        <w:spacing w:after="0"/>
        <w:rPr>
          <w:sz w:val="20"/>
          <w:szCs w:val="20"/>
          <w:color w:val="auto"/>
        </w:rPr>
      </w:pPr>
      <w:r>
        <w:rPr>
          <w:rFonts w:ascii="Arial" w:cs="Arial" w:eastAsia="Arial" w:hAnsi="Arial"/>
          <w:sz w:val="18"/>
          <w:szCs w:val="18"/>
          <w:i w:val="1"/>
          <w:iCs w:val="1"/>
          <w:color w:val="auto"/>
        </w:rPr>
        <w:t>How We</w:t>
      </w:r>
    </w:p>
    <w:p>
      <w:pPr>
        <w:jc w:val="right"/>
        <w:ind w:left="20"/>
        <w:spacing w:after="0" w:line="182" w:lineRule="auto"/>
        <w:rPr>
          <w:sz w:val="20"/>
          <w:szCs w:val="20"/>
          <w:color w:val="auto"/>
        </w:rPr>
      </w:pPr>
      <w:r>
        <w:rPr>
          <w:rFonts w:ascii="Arial" w:cs="Arial" w:eastAsia="Arial" w:hAnsi="Arial"/>
          <w:sz w:val="29"/>
          <w:szCs w:val="29"/>
          <w:i w:val="1"/>
          <w:iCs w:val="1"/>
          <w:color w:val="auto"/>
          <w:vertAlign w:val="subscript"/>
        </w:rPr>
        <w:t>Addressed the</w:t>
      </w:r>
      <w:r>
        <w:rPr>
          <w:rFonts w:ascii="Arial" w:cs="Arial" w:eastAsia="Arial" w:hAnsi="Arial"/>
          <w:sz w:val="16"/>
          <w:szCs w:val="16"/>
          <w:color w:val="auto"/>
        </w:rPr>
        <w:t xml:space="preserve">     We evaluated the design and tested the operating effectiveness of internal controls over the Company’s estimation </w:t>
      </w:r>
      <w:r>
        <w:rPr>
          <w:rFonts w:ascii="Arial" w:cs="Arial" w:eastAsia="Arial" w:hAnsi="Arial"/>
          <w:sz w:val="29"/>
          <w:szCs w:val="29"/>
          <w:i w:val="1"/>
          <w:iCs w:val="1"/>
          <w:color w:val="auto"/>
          <w:vertAlign w:val="subscript"/>
        </w:rPr>
        <w:t>Matter in Our Audit</w:t>
      </w:r>
      <w:r>
        <w:rPr>
          <w:rFonts w:ascii="Arial" w:cs="Arial" w:eastAsia="Arial" w:hAnsi="Arial"/>
          <w:sz w:val="16"/>
          <w:szCs w:val="16"/>
          <w:color w:val="auto"/>
        </w:rPr>
        <w:t xml:space="preserve"> process  supporting  the  fair  value  of  Q-SYS  developed  technology  intangible  asset.  For  example,  we  tested management’s review controls over the significant assumptions described above along with the completeness and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accuracy of the data utilized in the fair value estimates.</w:t>
      </w:r>
    </w:p>
    <w:p>
      <w:pPr>
        <w:spacing w:after="0" w:line="234" w:lineRule="exact"/>
        <w:rPr>
          <w:sz w:val="20"/>
          <w:szCs w:val="20"/>
          <w:color w:val="auto"/>
        </w:rPr>
      </w:pPr>
    </w:p>
    <w:p>
      <w:pPr>
        <w:jc w:val="both"/>
        <w:ind w:left="1620"/>
        <w:spacing w:after="0" w:line="256" w:lineRule="auto"/>
        <w:rPr>
          <w:sz w:val="20"/>
          <w:szCs w:val="20"/>
          <w:color w:val="auto"/>
        </w:rPr>
      </w:pPr>
      <w:r>
        <w:rPr>
          <w:rFonts w:ascii="Arial" w:cs="Arial" w:eastAsia="Arial" w:hAnsi="Arial"/>
          <w:sz w:val="18"/>
          <w:szCs w:val="18"/>
          <w:color w:val="auto"/>
        </w:rPr>
        <w:t>Our audit procedures related to the estimated fair value of the Q-SYS developed technology intangible asset included, among others, evaluating the Company's selection of the valuation methodology, evaluating the significant assumptions described above and testing the completeness and accuracy of the underlying data supporting the significant assumptions. We involved our valuation specialists to assist with evaluating the methodology and significant assumptions used by management to determine the fair value estimates. We compared the significant assumptions to historical and current industry, market and economic trends, as well as historical results of QSC and guideline companies within the same industry.</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27, 2025</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140" w:firstLine="3132"/>
        <w:spacing w:after="0" w:line="42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Acuity Inc.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audited Acuity Inc.’s internal control over financial reporting as of August 31, 2025, based on criteria established in Internal Control —Integrated Framework issued by the Committee of Sponsoring Organizations of the Treadway Commission (2013 framework) (the COSO criteria). In our opinion, Acuity Inc. (the Company) maintained, in all material respects, effective internal control over financial reporting as of August 31, 2025, based on the COSO criteria.</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QSC, LLC (QSC), which is included in the 2025 consolidated financial statements of the Company and constituted 7% of total assets and net assets, excluding the acquired value of goodwill and other intangible assets, as of August 31, 2025 and 10% and 4% of net sales and pre-tax income, respectively, for the year then ended. Our audit of internal control over financial reporting of the Company also did not include an evaluation of the internal control over financial reporting of QSC.</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2025 and 2024, the related consolidated statements of comprehensive income, cash flows and stockholders’ equity for each of the three years in the period ended August 31, 2025, and the related notes and our report dated October 27, 2025 expressed an unqualified opinion thereon.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27, 2025</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20" w:type="dxa"/>
            <w:vAlign w:val="bottom"/>
            <w:tcBorders>
              <w:bottom w:val="single" w:sz="8" w:color="auto"/>
            </w:tcBorders>
          </w:tcPr>
          <w:p>
            <w:pPr>
              <w:spacing w:after="0"/>
              <w:rPr>
                <w:sz w:val="17"/>
                <w:szCs w:val="17"/>
                <w:color w:val="auto"/>
              </w:rPr>
            </w:pPr>
          </w:p>
        </w:tc>
      </w:tr>
      <w:tr>
        <w:trPr>
          <w:trHeight w:val="196"/>
        </w:trPr>
        <w:tc>
          <w:tcPr>
            <w:tcW w:w="87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$4.3 and $1.9, respectively</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563.0</w:t>
            </w: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r>
      <w:tr>
        <w:trPr>
          <w:trHeight w:val="200"/>
        </w:trPr>
        <w:tc>
          <w:tcPr>
            <w:tcW w:w="8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1,871.5</w:t>
            </w: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303.9</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1,495.5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1,098.7</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w:t>
            </w: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00"/>
        </w:trPr>
        <w:tc>
          <w:tcPr>
            <w:tcW w:w="87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4,755.2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w:t>
            </w: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w:t>
            </w:r>
          </w:p>
        </w:tc>
      </w:tr>
      <w:tr>
        <w:trPr>
          <w:trHeight w:val="200"/>
        </w:trPr>
        <w:tc>
          <w:tcPr>
            <w:tcW w:w="8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w:t>
            </w: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496.2</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98"/>
        </w:trPr>
        <w:tc>
          <w:tcPr>
            <w:tcW w:w="872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r>
      <w:tr>
        <w:trPr>
          <w:trHeight w:val="200"/>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1,435.8</w:t>
            </w:r>
          </w:p>
        </w:tc>
      </w:tr>
      <w:tr>
        <w:trPr>
          <w:trHeight w:val="199"/>
        </w:trPr>
        <w:tc>
          <w:tcPr>
            <w:tcW w:w="872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54.9 and 54.6 issued, respectively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1,164.7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1,115.9</w:t>
            </w: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3,909.8</w:t>
            </w: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(114.9)</w:t>
            </w: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 24.2 and 23.8 shares, respectively</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(2,532.5)</w:t>
            </w:r>
          </w:p>
        </w:tc>
      </w:tr>
      <w:tr>
        <w:trPr>
          <w:trHeight w:val="192"/>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2,724.9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2,378.8</w:t>
            </w:r>
          </w:p>
        </w:tc>
      </w:tr>
      <w:tr>
        <w:trPr>
          <w:trHeight w:val="225"/>
        </w:trPr>
        <w:tc>
          <w:tcPr>
            <w:tcW w:w="8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per-share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3,952.2</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2,239.0</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1,713.2</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1,212.9</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9"/>
        </w:trPr>
        <w:tc>
          <w:tcPr>
            <w:tcW w:w="69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473.4</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980" w:type="dxa"/>
            <w:vAlign w:val="bottom"/>
          </w:tcPr>
          <w:p>
            <w:pPr>
              <w:ind w:left="140"/>
              <w:spacing w:after="0"/>
              <w:rPr>
                <w:sz w:val="20"/>
                <w:szCs w:val="20"/>
                <w:color w:val="auto"/>
              </w:rPr>
            </w:pPr>
            <w:r>
              <w:rPr>
                <w:rFonts w:ascii="Arial" w:cs="Arial" w:eastAsia="Arial" w:hAnsi="Arial"/>
                <w:sz w:val="16"/>
                <w:szCs w:val="16"/>
                <w:color w:val="auto"/>
              </w:rPr>
              <w:t>Interest expense (income),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5"/>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4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396.6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422.6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346.0</w:t>
            </w:r>
          </w:p>
        </w:tc>
      </w:tr>
      <w:tr>
        <w:trPr>
          <w:trHeight w:val="217"/>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93.2</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settlement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Share-based payment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217"/>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15"/>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578.1</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9"/>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Repayments on credit facility, net of borrowings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from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Repayments of term loan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Proceeds from stock option exercises and 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taxes withheld on net settlement of equity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(312.9)</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174.7</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147.2</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Common Stock</w:t>
      </w:r>
    </w:p>
    <w:p>
      <w:pPr>
        <w:jc w:val="center"/>
        <w:ind w:right="-199"/>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8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36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40" w:type="dxa"/>
            <w:vAlign w:val="bottom"/>
          </w:tcPr>
          <w:p>
            <w:pPr>
              <w:spacing w:after="0"/>
              <w:rPr>
                <w:sz w:val="10"/>
                <w:szCs w:val="10"/>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 Items</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1,036.3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net of tax</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(269.3)</w:t>
            </w:r>
          </w:p>
        </w:tc>
        <w:tc>
          <w:tcPr>
            <w:tcW w:w="0" w:type="dxa"/>
            <w:vAlign w:val="bottom"/>
          </w:tcPr>
          <w:p>
            <w:pPr>
              <w:spacing w:after="0"/>
              <w:rPr>
                <w:sz w:val="1"/>
                <w:szCs w:val="1"/>
                <w:color w:val="auto"/>
              </w:rPr>
            </w:pPr>
          </w:p>
        </w:tc>
      </w:tr>
      <w:tr>
        <w:trPr>
          <w:trHeight w:val="17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1,066.8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422.6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 net of tax</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$0.58 per share paid on common stock</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74"/>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1,115.9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396.6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net of tax</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$0.66 per share paid on common stock</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(117.1)</w:t>
            </w: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2025</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1,164.7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2,724.9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54" w:lineRule="exact"/>
        <w:rPr>
          <w:sz w:val="20"/>
          <w:szCs w:val="20"/>
          <w:color w:val="auto"/>
        </w:rPr>
      </w:pPr>
    </w:p>
    <w:p>
      <w:pPr>
        <w:ind w:right="7160" w:firstLine="8"/>
        <w:spacing w:after="0" w:line="246" w:lineRule="auto"/>
        <w:tabs>
          <w:tab w:leader="none" w:pos="135"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calculated using rounded numbers. * Represents shares of less than 0.1 million.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Effective March 26, 2025, we changed our corporate name from Acuity Brands, Inc. to Acuity Inc.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Brands Lighting Segment</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mission at ABL is to provide sustainable and intelligent lighting solutions that enrich communities where people live, learn, work, and play. We bring this mission to life through our strategy, which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Fresco</w:t>
      </w:r>
      <w:r>
        <w:rPr>
          <w:rFonts w:ascii="Arial" w:cs="Arial" w:eastAsia="Arial" w:hAnsi="Arial"/>
          <w:sz w:val="23"/>
          <w:szCs w:val="23"/>
          <w:color w:val="auto"/>
          <w:vertAlign w:val="superscript"/>
        </w:rPr>
        <w:t>TM</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Nightingale</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SensorSwitch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Intelligent Spaces Segment</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mission at AIS is to make spaces smarter, safer, and greener through our strategy of connecting the edge with the cloud using disruptive technologies. Through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QSC</w:t>
      </w:r>
      <w:r>
        <w:rPr>
          <w:rFonts w:ascii="Arial" w:cs="Arial" w:eastAsia="Arial" w:hAnsi="Arial"/>
          <w:sz w:val="23"/>
          <w:szCs w:val="23"/>
          <w:color w:val="auto"/>
          <w:vertAlign w:val="superscript"/>
        </w:rPr>
        <w:t>®</w:t>
      </w:r>
      <w:r>
        <w:rPr>
          <w:rFonts w:ascii="Arial" w:cs="Arial" w:eastAsia="Arial" w:hAnsi="Arial"/>
          <w:sz w:val="18"/>
          <w:szCs w:val="18"/>
          <w:color w:val="auto"/>
        </w:rPr>
        <w:t>, we are driving productivity for people who own and manage a space and for the people who utilize a space. 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 experiences, and insights. QSC Audio includes audio technology that enhances experiences for live entertainers and sound reinforcement professionals.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Inc. and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Inc. and its wholly-owned subsidiaries after elimination of intercompany transactions and accounts.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related to our revenue recognition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in excess of daily requirements may be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our estimate of expected credit losses over the contractual terms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reserve is sufficient to cover uncollectible amounts; however, there can be no assurance that unanticipated future business conditions of customers will not have a negative impact on our results of operations, financial condition, or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products and services as well as their dispersion across many different geographic areas. No single customer accounted for more than 10% of receivables at August 31, 2025 or August 31, 2024. No single customer accounted for more than 10% of net sales in fiscal 2025, 2024, or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84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r>
      <w:tr>
        <w:trPr>
          <w:trHeight w:val="21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306.7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excluding reserves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553.5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526.7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left="660" w:hanging="328"/>
        <w:spacing w:after="0" w:line="231" w:lineRule="auto"/>
        <w:tabs>
          <w:tab w:leader="none" w:pos="67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Although our historical experience related to demand and market conditions have been within expectations, a significant change in customer demand, market conditions, or technology could render certain inventory obsolete and thus could have a material adverse impact on our operating results in the period the change occurs. The following table summarizes the changes in our inventory reserves for the periods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6"/>
                <w:szCs w:val="16"/>
                <w:b w:val="1"/>
                <w:bCs w:val="1"/>
                <w:color w:val="auto"/>
              </w:rPr>
              <w:t>Year Ended August 31,</w:t>
            </w: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Additions to reserve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left="49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 of reserved inventory</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5"/>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5"/>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and generally reflect balances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 of August 31, 2025, one of our assets with a carrying value of $5.5 million met the criteria to be classified as held for sale. This asset is reflected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2025. See the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assets classified as held for sale at August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periods presented by segment are summarized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AIS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2023</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w:t>
            </w:r>
          </w:p>
        </w:tc>
      </w:tr>
      <w:tr>
        <w:trPr>
          <w:trHeight w:val="21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2024</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Additions from acquired businesses</w:t>
            </w:r>
          </w:p>
        </w:tc>
        <w:tc>
          <w:tcPr>
            <w:tcW w:w="10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394.6</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August 31, 2025</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1,495.5</w:t>
            </w:r>
          </w:p>
        </w:tc>
      </w:tr>
      <w:tr>
        <w:trPr>
          <w:trHeight w:val="20"/>
        </w:trPr>
        <w:tc>
          <w:tcPr>
            <w:tcW w:w="5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multiple acquisitions, we acquired definite-lived intangible assets that are amortized over their estimated useful lives as well as indefinite-lived intangible assets, which consist of trade names that are expected to generate cash flows indefinitely. Significant estimates and assumptions were used to determine the initial fair value of these acquired intangible assets, including, but not limited to, estimated future short-term and long-term net sales and profitability, customer attrition rates, royalty rates, and discount rates. The increase in definite-lived intangible assets in the current fiscal year was due primarily to acquisitions.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further information. Certain of our intangible assets are attributable to foreign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impacted by currency translation due to movements in foreign currency rates year over year. Summarized information for our intangible assets is as follows as of the dates presented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4"/>
                <w:szCs w:val="14"/>
                <w:b w:val="1"/>
                <w:bCs w:val="1"/>
                <w:color w:val="auto"/>
              </w:rPr>
              <w:t>August 31,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1320" w:type="dxa"/>
            <w:vAlign w:val="bottom"/>
            <w:tcBorders>
              <w:bottom w:val="single" w:sz="8" w:color="auto"/>
            </w:tcBorders>
          </w:tcPr>
          <w:p>
            <w:pPr>
              <w:spacing w:after="0"/>
              <w:rPr>
                <w:sz w:val="17"/>
                <w:szCs w:val="17"/>
                <w:color w:val="auto"/>
              </w:rPr>
            </w:pPr>
          </w:p>
        </w:tc>
      </w:tr>
      <w:tr>
        <w:trPr>
          <w:trHeight w:val="143"/>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162"/>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340" w:type="dxa"/>
            <w:vAlign w:val="bottom"/>
          </w:tcPr>
          <w:p>
            <w:pPr>
              <w:jc w:val="right"/>
              <w:ind w:right="142"/>
              <w:spacing w:after="0" w:line="14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42"/>
              <w:spacing w:after="0" w:line="143" w:lineRule="exact"/>
              <w:rPr>
                <w:sz w:val="20"/>
                <w:szCs w:val="20"/>
                <w:color w:val="auto"/>
              </w:rPr>
            </w:pPr>
            <w:r>
              <w:rPr>
                <w:rFonts w:ascii="Arial" w:cs="Arial" w:eastAsia="Arial" w:hAnsi="Arial"/>
                <w:sz w:val="14"/>
                <w:szCs w:val="14"/>
                <w:b w:val="1"/>
                <w:bCs w:val="1"/>
                <w:color w:val="auto"/>
              </w:rPr>
              <w:t>Accumulated</w:t>
            </w:r>
          </w:p>
        </w:tc>
      </w:tr>
      <w:tr>
        <w:trPr>
          <w:trHeight w:val="189"/>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340" w:type="dxa"/>
            <w:vAlign w:val="bottom"/>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Definite-lived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Developed technology and patents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616.7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157.5</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 and trade names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Distribution networks</w:t>
            </w:r>
          </w:p>
        </w:tc>
        <w:tc>
          <w:tcPr>
            <w:tcW w:w="18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09"/>
        </w:trPr>
        <w:tc>
          <w:tcPr>
            <w:tcW w:w="4840" w:type="dxa"/>
            <w:vAlign w:val="bottom"/>
          </w:tcPr>
          <w:p>
            <w:pPr>
              <w:ind w:left="360"/>
              <w:spacing w:after="0"/>
              <w:rPr>
                <w:sz w:val="20"/>
                <w:szCs w:val="20"/>
                <w:color w:val="auto"/>
              </w:rPr>
            </w:pPr>
            <w:r>
              <w:rPr>
                <w:rFonts w:ascii="Arial" w:cs="Arial" w:eastAsia="Arial" w:hAnsi="Arial"/>
                <w:sz w:val="16"/>
                <w:szCs w:val="16"/>
                <w:color w:val="auto"/>
              </w:rPr>
              <w:t>Total definite-lived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1,426.5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We recorded amortization expense of $76.5 million, $ 39.7 million, and $42.1 million related to acquired intangible assets during fiscal 2025,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2023, respectively. Amortization expense is generally recorded on a straight-line basis.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amortization expense for the next five fiscal years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August 31, 2025</w:t>
            </w:r>
          </w:p>
        </w:tc>
      </w:tr>
      <w:tr>
        <w:trPr>
          <w:trHeight w:val="197"/>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r>
      <w:tr>
        <w:trPr>
          <w:trHeight w:val="198"/>
        </w:trPr>
        <w:tc>
          <w:tcPr>
            <w:tcW w:w="9660" w:type="dxa"/>
            <w:vAlign w:val="bottom"/>
          </w:tcPr>
          <w:p>
            <w:pPr>
              <w:ind w:left="20"/>
              <w:spacing w:after="0"/>
              <w:rPr>
                <w:sz w:val="20"/>
                <w:szCs w:val="20"/>
                <w:color w:val="auto"/>
              </w:rPr>
            </w:pPr>
            <w:r>
              <w:rPr>
                <w:rFonts w:ascii="Arial" w:cs="Arial" w:eastAsia="Arial" w:hAnsi="Arial"/>
                <w:sz w:val="14"/>
                <w:szCs w:val="14"/>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90.2</w:t>
            </w:r>
          </w:p>
        </w:tc>
      </w:tr>
      <w:tr>
        <w:trPr>
          <w:trHeight w:val="207"/>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9660" w:type="dxa"/>
            <w:vAlign w:val="bottom"/>
          </w:tcPr>
          <w:p>
            <w:pPr>
              <w:ind w:left="20"/>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84.8</w:t>
            </w:r>
          </w:p>
        </w:tc>
      </w:tr>
      <w:tr>
        <w:trPr>
          <w:trHeight w:val="206"/>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Analyses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test goodwill and indefinite-lived intangible assets for impairment on an annual basis as of the first date of our fourth fiscal quarter (June</w:t>
      </w:r>
    </w:p>
    <w:p>
      <w:pPr>
        <w:spacing w:after="0" w:line="27" w:lineRule="exact"/>
        <w:rPr>
          <w:sz w:val="20"/>
          <w:szCs w:val="20"/>
          <w:color w:val="auto"/>
        </w:rPr>
      </w:pPr>
    </w:p>
    <w:p>
      <w:pPr>
        <w:jc w:val="both"/>
        <w:ind w:firstLine="8"/>
        <w:spacing w:after="0" w:line="255" w:lineRule="auto"/>
        <w:tabs>
          <w:tab w:leader="none" w:pos="23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or more frequently if facts and circumstances indicate an asset is more likely than not impaired, as required by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ASC 350 allows for an optional qualitative analysis for goodwill and indefinite-lived intangible assets to determine the likelihood of impairment. If the qualitative review results in a more likely than not probability of impairment, a quantitative analysis is required. The qualitative step may be bypassed entirely in favor of a quantitative test.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1, 2025, the current fiscal year testing date, we performed a qualitative analysis to assess the fair value of our reporting units as prescribed by ASC 350. Our qualitative analysis considered and assessed external factors for each reporting unit such as macroeconomic, industry, cost, and market conditions as well as Company-specific factors, including but not limited to, our actual and planned financial performance. Based on the results of our analysis, we determined there was not a more likely than not probability of impairment for each of our reporting units. Thus, no quantitative test was required for our $1.5 billion of goodwill.</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2024, we performed a qualitative analysis to assess the fair value of our reporting units as prescribed by ASC 350. Our qualitative analysis considered and assessed external factors for each reporting unit such as macroeconomic, industry, cost, and market conditions as well as Company-specific factors, including but not limited to, our actual and planned financial performance. Based on the results of our analysis, we determined there was not a more likely than not probability of impairment for each of our reporting units. Thus, no quantitative test was required for our $1.1 billion of goodwill.</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fiscal 2023, we used a quantitative analysis to calculate the fair value of our reporting units using a combination of discounted future cash flows and relevant market multiples. The analysis for goodwill did not result in an impairment charge during fiscal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Indefinite-Lived Intangibles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1, 2025, the current fiscal year testing date, we held eight indefinite-lived intangible assets with an aggregate carrying value of $132.5 million. For fiscal 2025, we performed a qualitative analysis to assess our indefinite-lived intangible assets for impairment. Our qualitative analysis considered and assessed external factors such as macroeconomic, industry, cost, and market conditions as well as asset-specific factors, such as each trade name's actual and planned financial performance. Based on the results of our analysis, we determined there was not a more likely than not probability of impairment for all of the indefinite-lived intangible assets, and no quantitative test for these assets was required.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1, 2024, the current fiscal year testing date, we held eight indefinite-lived intangible assets with an aggregate carrying value of $135.5 million. For fiscal 2024, we performed a qualitative analysis to assess our indefinite-lived intangible assets for impairment. Our qualitative analysis considered and assessed external factors such as macroeconomic, industry, cost, and market conditions as well as asset-specific factors, such as each trade name's actual and planned financial performance. Based on the results of our analyses, we determined there was not a more likely than not probability of impairment for seven of the indefinite-lived intangible assets, and no quantitative test for these assets was required.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the fourth quarter of fiscal 2024, management committed to a plan to rebrand certain products in ABL's portfolio. We determined this plan adversely impacted one trade name. Therefore, we performed a quantitative analysis to compare the fair value of this trade name with its carrying value. We estimated the fair value of this indefinite-lived trade name using the relief-from-royalty method, a fair value model based on discounted future cash flows. Our assumptions in valuing the trade name primarily reflected a projected decline in revenues generated by the trade name due to management’s planned reduction in future use of the asset. We additionally considered other inputs, including theoretical royalty rates and discount rates, in valuing the asset. Based on the results of the indefinite-lived intangible asset analyses for fiscal 2024, we recorded an impairment charge of $3.0 million for one indefinite-lived trade name asset within </w:t>
      </w:r>
      <w:r>
        <w:rPr>
          <w:rFonts w:ascii="Arial" w:cs="Arial" w:eastAsia="Arial" w:hAnsi="Arial"/>
          <w:sz w:val="18"/>
          <w:szCs w:val="18"/>
          <w:i w:val="1"/>
          <w:iCs w:val="1"/>
          <w:color w:val="auto"/>
        </w:rPr>
        <w:t>Selling, 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related to our ABL segment. Any reasonably likely</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the assumptions used in the analysis for the trade name would not be material to the impairment charge recorded or to our financial conditions or 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fiscal 2023, we recorded an impairment charge of $14.0 million for six trade names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Comprehensive Income </w:t>
      </w:r>
      <w:r>
        <w:rPr>
          <w:rFonts w:ascii="Arial" w:cs="Arial" w:eastAsia="Arial" w:hAnsi="Arial"/>
          <w:sz w:val="18"/>
          <w:szCs w:val="18"/>
          <w:color w:val="auto"/>
        </w:rPr>
        <w:t>related to our ABL segment. We also determined five of these trade names no longer had indefinite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trade names were classified as definite-lived as of June 1, 2023 and are amortized over 15 years. The impairment analyses for fiscal 2023 of the other seven indefinite-lived intangible assets indicated that their fair values exceeded their carrying values.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long-term assets consist of the following items whose economic benefits are expected to be realized greater than one year from the dates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costs and other assets</w:t>
      </w:r>
      <w:r>
        <w:rPr>
          <w:rFonts w:ascii="Arial" w:cs="Arial" w:eastAsia="Arial" w:hAnsi="Arial"/>
          <w:sz w:val="21"/>
          <w:szCs w:val="2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0628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Investments in debt and equity securities</w:t>
      </w:r>
    </w:p>
    <w:p>
      <w:pPr>
        <w:spacing w:after="0" w:line="16" w:lineRule="exact"/>
        <w:rPr>
          <w:sz w:val="20"/>
          <w:szCs w:val="20"/>
          <w:color w:val="auto"/>
        </w:rPr>
      </w:pPr>
    </w:p>
    <w:p>
      <w:pPr>
        <w:ind w:left="20" w:right="3560"/>
        <w:spacing w:after="0" w:line="374" w:lineRule="auto"/>
        <w:rPr>
          <w:sz w:val="20"/>
          <w:szCs w:val="20"/>
          <w:color w:val="auto"/>
        </w:rPr>
      </w:pPr>
      <w:r>
        <w:rPr>
          <w:rFonts w:ascii="Arial" w:cs="Arial" w:eastAsia="Arial" w:hAnsi="Arial"/>
          <w:sz w:val="16"/>
          <w:szCs w:val="16"/>
          <w:color w:val="auto"/>
        </w:rPr>
        <w:t>Pension plans in which plan assets exceed benefit obligation Total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0628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August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208"/>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5"/>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ectPr>
          <w:pgSz w:w="11900" w:h="16838" w:orient="portrait"/>
          <w:cols w:equalWidth="0" w:num="2">
            <w:col w:w="7940" w:space="720"/>
            <w:col w:w="2580"/>
          </w:cols>
          <w:pgMar w:left="320" w:top="122" w:right="339" w:bottom="1440" w:gutter="0" w:footer="0" w:header="0"/>
          <w:type w:val="continuous"/>
        </w:sectPr>
      </w:pPr>
    </w:p>
    <w:p>
      <w:pPr>
        <w:ind w:left="660" w:hanging="328"/>
        <w:spacing w:after="0" w:line="218" w:lineRule="auto"/>
        <w:tabs>
          <w:tab w:leader="none" w:pos="65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Estimated recoveries of warranty costs, net of estimated credit losses, expected to be recovered greater than one year from the respective balance sheet dates are included in this category.</w:t>
      </w:r>
    </w:p>
    <w:p>
      <w:pPr>
        <w:spacing w:after="0" w:line="1" w:lineRule="exact"/>
        <w:rPr>
          <w:rFonts w:ascii="Arial" w:cs="Arial" w:eastAsia="Arial" w:hAnsi="Arial"/>
          <w:sz w:val="19"/>
          <w:szCs w:val="19"/>
          <w:color w:val="auto"/>
          <w:vertAlign w:val="superscript"/>
        </w:rPr>
      </w:pPr>
    </w:p>
    <w:p>
      <w:pPr>
        <w:jc w:val="both"/>
        <w:ind w:left="660" w:hanging="328"/>
        <w:spacing w:after="0" w:line="272" w:lineRule="auto"/>
        <w:tabs>
          <w:tab w:leader="none" w:pos="65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within this category are company-owned life insurance investments. We maintain life insurance policies on 48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2025.</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8"/>
                <w:szCs w:val="18"/>
                <w:color w:val="auto"/>
              </w:rPr>
            </w:pPr>
          </w:p>
        </w:tc>
      </w:tr>
      <w:tr>
        <w:trPr>
          <w:trHeight w:val="209"/>
        </w:trPr>
        <w:tc>
          <w:tcPr>
            <w:tcW w:w="8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210"/>
        </w:trPr>
        <w:tc>
          <w:tcPr>
            <w:tcW w:w="8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0"/>
        </w:trPr>
        <w:tc>
          <w:tcPr>
            <w:tcW w:w="86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accruals for income, property, sales and use, and value added taxes.</w:t>
      </w:r>
    </w:p>
    <w:p>
      <w:pPr>
        <w:ind w:left="640" w:hanging="308"/>
        <w:spacing w:after="0" w:line="193"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as of the dates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(4)</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Total other long-term liabilities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139.3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jc w:val="both"/>
        <w:ind w:left="660" w:hanging="328"/>
        <w:spacing w:after="0" w:line="234" w:lineRule="auto"/>
        <w:tabs>
          <w:tab w:leader="none" w:pos="65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We maintain life insurance policies on certain former officers and other key employees as a means of satisfying a portion of these obligations.</w:t>
      </w:r>
    </w:p>
    <w:p>
      <w:pPr>
        <w:ind w:left="640" w:hanging="308"/>
        <w:spacing w:after="0" w:line="192"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3"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Financial Statements</w:t>
      </w:r>
      <w:r>
        <w:rPr>
          <w:rFonts w:ascii="Arial" w:cs="Arial" w:eastAsia="Arial" w:hAnsi="Arial"/>
          <w:sz w:val="18"/>
          <w:szCs w:val="18"/>
          <w:color w:val="auto"/>
        </w:rPr>
        <w:t xml:space="preserve"> for further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When a product is sold, the associated shipping and handling costs are recorded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their function.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Other shipping and handling costs, which primarily include amounts incurred to transfer finished goods to a customer's desired location, are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and totaled $141.1 million, $134.2 million, and $141.7 million in fiscal 2025, 2024, and 2023,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account for stock options, restricted stock, performance stock units, and stock units representing certain deferrals into the Nonemployee Director Deferred Compensation Plan (referred to as the “Director Plan” and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their grant-date fair values estimated under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as defined by ASC 718.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recorded share-based payment expense, net of estimated forfeitures,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Share-based payment expense includes expense related to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stock units, options issued, and stock units deferred into the Director Plan. We recorded $45.1 million, $46.6 million, and $42.0 million of share-based payment expense for the years ended August 31, 2025, 2024, and 2023, respectively. The total income tax benefit recognized for share-based payment expense was $12.2 million, $8.3 million, and $7.2 million for the years ended August 31, 2025, 2024, and 2023, respectively.</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Excess tax benefits and/or expense related to share-based payment awards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We recognized net excess tax benefits related to share-based payment cost of $6.0 million,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$1.5 million for the years ended August 31, 2025, 2024, and 2023,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is initially recorded at cost and depreciated principally on a straight-line basis using estimated useful lives of plant and equipment (3 to 40 years for buildings and related improvements and 2 to 15 years for machinery, equipment, and information technology) for financial reporting purposes. Accelerated depreciation methods are used for income tax purposes. Leasehold improvements are amortized over the shorter of the life of the lease or the estimated useful life of the improvement. Land is not depreciated. Depreciation expense amounted to $56.6 million, $51.4 million, and $51.1 million during fiscal 2025, 2024, and 2023, respectively. The balance of property, plant, and equipment consists of the following as of the dates presented (in millions):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August 31,</w:t>
            </w:r>
          </w:p>
        </w:tc>
        <w:tc>
          <w:tcPr>
            <w:tcW w:w="136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Research and development (“R&amp;D”) expense consists of compensation, payroll taxes, employee benefits, materials, supplies, and other administrative costs, but it does not include all new or enhanced product development costs. R&amp;D expense is expensed as incurred and is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R&amp;D expense amounted to $140.2 million, $102.3 million, and $97.1 million during fiscal 2025,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2023, respectively.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$29.2 million, $20.1 million, and $21.9 million during fiscal 2025, 2024</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2023,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components of </w:t>
      </w:r>
      <w:r>
        <w:rPr>
          <w:rFonts w:ascii="Arial" w:cs="Arial" w:eastAsia="Arial" w:hAnsi="Arial"/>
          <w:sz w:val="18"/>
          <w:szCs w:val="18"/>
          <w:i w:val="1"/>
          <w:iCs w:val="1"/>
          <w:color w:val="auto"/>
        </w:rPr>
        <w:t>Other expense</w:t>
      </w:r>
      <w:r>
        <w:rPr>
          <w:rFonts w:ascii="Arial" w:cs="Arial" w:eastAsia="Arial" w:hAnsi="Arial"/>
          <w:sz w:val="18"/>
          <w:szCs w:val="18"/>
          <w:color w:val="auto"/>
        </w:rPr>
        <w:t xml:space="preserve"> during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20" w:type="dxa"/>
            <w:vAlign w:val="bottom"/>
            <w:tcBorders>
              <w:bottom w:val="single" w:sz="8" w:color="auto"/>
            </w:tcBorders>
          </w:tcPr>
          <w:p>
            <w:pPr>
              <w:spacing w:after="0"/>
              <w:rPr>
                <w:sz w:val="18"/>
                <w:szCs w:val="18"/>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9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7320" w:type="dxa"/>
            <w:vAlign w:val="bottom"/>
          </w:tcPr>
          <w:p>
            <w:pPr>
              <w:ind w:left="140"/>
              <w:spacing w:after="0" w:line="216"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6"/>
        </w:trPr>
        <w:tc>
          <w:tcPr>
            <w:tcW w:w="73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Interest income</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9"/>
        </w:trPr>
        <w:tc>
          <w:tcPr>
            <w:tcW w:w="7320" w:type="dxa"/>
            <w:vAlign w:val="bottom"/>
          </w:tcPr>
          <w:p>
            <w:pPr>
              <w:ind w:left="240"/>
              <w:spacing w:after="0"/>
              <w:rPr>
                <w:sz w:val="20"/>
                <w:szCs w:val="20"/>
                <w:color w:val="auto"/>
              </w:rPr>
            </w:pPr>
            <w:r>
              <w:rPr>
                <w:rFonts w:ascii="Arial" w:cs="Arial" w:eastAsia="Arial" w:hAnsi="Arial"/>
                <w:sz w:val="16"/>
                <w:szCs w:val="16"/>
                <w:color w:val="auto"/>
              </w:rPr>
              <w:t>Interest expense (income),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line="216" w:lineRule="exact"/>
              <w:rPr>
                <w:sz w:val="20"/>
                <w:szCs w:val="20"/>
                <w:color w:val="auto"/>
              </w:rPr>
            </w:pPr>
            <w:r>
              <w:rPr>
                <w:rFonts w:ascii="Arial" w:cs="Arial" w:eastAsia="Arial" w:hAnsi="Arial"/>
                <w:sz w:val="16"/>
                <w:szCs w:val="16"/>
                <w:color w:val="auto"/>
              </w:rPr>
              <w:t>Non-service components of net periodic pension cost</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transaction losses (gains)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7320" w:type="dxa"/>
            <w:vAlign w:val="bottom"/>
          </w:tcPr>
          <w:p>
            <w:pPr>
              <w:ind w:left="140"/>
              <w:spacing w:after="0" w:line="216" w:lineRule="exact"/>
              <w:rPr>
                <w:sz w:val="20"/>
                <w:szCs w:val="20"/>
                <w:color w:val="auto"/>
              </w:rPr>
            </w:pPr>
            <w:r>
              <w:rPr>
                <w:rFonts w:ascii="Arial" w:cs="Arial" w:eastAsia="Arial" w:hAnsi="Arial"/>
                <w:sz w:val="16"/>
                <w:szCs w:val="16"/>
                <w:color w:val="auto"/>
              </w:rPr>
              <w:t>Loss on sale of business</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items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Miscellaneous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660" w:hanging="328"/>
        <w:spacing w:after="0" w:line="230"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Consists primarily of interest expense on long-term debt, line of credit borrowings, and loans that are secured by and presented net of company-owned life insurance policies on our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w:t>
      </w:r>
    </w:p>
    <w:p>
      <w:pPr>
        <w:spacing w:after="0" w:line="1" w:lineRule="exact"/>
        <w:rPr>
          <w:rFonts w:ascii="Arial" w:cs="Arial" w:eastAsia="Arial" w:hAnsi="Arial"/>
          <w:sz w:val="19"/>
          <w:szCs w:val="19"/>
          <w:color w:val="auto"/>
          <w:vertAlign w:val="superscript"/>
        </w:rPr>
      </w:pPr>
    </w:p>
    <w:p>
      <w:pPr>
        <w:ind w:left="640" w:hanging="308"/>
        <w:spacing w:after="0" w:line="187" w:lineRule="auto"/>
        <w:tabs>
          <w:tab w:leader="none" w:pos="6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Certain cash and cash equivalents are held in interest-bearing accounts.</w:t>
      </w:r>
    </w:p>
    <w:p>
      <w:pPr>
        <w:ind w:left="660" w:hanging="328"/>
        <w:spacing w:after="0" w:line="261" w:lineRule="auto"/>
        <w:tabs>
          <w:tab w:leader="none" w:pos="653"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We recorded a settlement loss charge due to pension de-risking activities in fiscal 2025. Refer to the </w:t>
      </w:r>
      <w:r>
        <w:rPr>
          <w:rFonts w:ascii="Arial" w:cs="Arial" w:eastAsia="Arial" w:hAnsi="Arial"/>
          <w:sz w:val="14"/>
          <w:szCs w:val="14"/>
          <w:i w:val="1"/>
          <w:iCs w:val="1"/>
          <w:color w:val="auto"/>
        </w:rPr>
        <w:t>Pensions and Defined Contribution Plans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for further details.</w:t>
      </w:r>
    </w:p>
    <w:p>
      <w:pPr>
        <w:ind w:left="660" w:right="20" w:hanging="328"/>
        <w:spacing w:after="0" w:line="222"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We recorded a loss on the sale of our Sunoptics prismatic skylights business in fiscal 2023. Refer to the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functional currency for foreign operations is generally the local currency where the foreign operations are domiciled. The translation of foreign currencies into U.S. dollars is performed for asset and liability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and are excluded from net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items includes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Defined Benefit</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6"/>
                <w:szCs w:val="16"/>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rPr>
              <w:t>Loss Items</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August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9"/>
        </w:trPr>
        <w:tc>
          <w:tcPr>
            <w:tcW w:w="674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loss</w:t>
            </w:r>
            <w:r>
              <w:rPr>
                <w:rFonts w:ascii="Arial" w:cs="Arial" w:eastAsia="Arial" w:hAnsi="Arial"/>
                <w:sz w:val="9"/>
                <w:szCs w:val="9"/>
                <w:color w:val="auto"/>
              </w:rPr>
              <w:t>(1)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August 31, 2024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8"/>
        </w:trPr>
        <w:tc>
          <w:tcPr>
            <w:tcW w:w="674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loss</w:t>
            </w:r>
            <w:r>
              <w:rPr>
                <w:rFonts w:ascii="Arial" w:cs="Arial" w:eastAsia="Arial" w:hAnsi="Arial"/>
                <w:sz w:val="9"/>
                <w:szCs w:val="9"/>
                <w:color w:val="auto"/>
              </w:rPr>
              <w:t>(1)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August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p>
    <w:p>
      <w:pPr>
        <w:ind w:left="660" w:hanging="328"/>
        <w:spacing w:after="0" w:line="227" w:lineRule="auto"/>
        <w:tabs>
          <w:tab w:leader="none" w:pos="65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during the periods presented (in millions):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Foreign currency translation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Actuarial amounts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defined benefit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20"/>
              <w:spacing w:after="0"/>
              <w:rPr>
                <w:sz w:val="20"/>
                <w:szCs w:val="20"/>
                <w:color w:val="auto"/>
              </w:rPr>
            </w:pPr>
            <w:r>
              <w:rPr>
                <w:rFonts w:ascii="Arial" w:cs="Arial" w:eastAsia="Arial" w:hAnsi="Arial"/>
                <w:sz w:val="14"/>
                <w:szCs w:val="14"/>
                <w:color w:val="auto"/>
              </w:rPr>
              <w:t>pension items: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Prior service cost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2280" w:type="dxa"/>
            <w:vAlign w:val="bottom"/>
          </w:tcPr>
          <w:p>
            <w:pPr>
              <w:ind w:left="460"/>
              <w:spacing w:after="0"/>
              <w:rPr>
                <w:sz w:val="20"/>
                <w:szCs w:val="20"/>
                <w:color w:val="auto"/>
              </w:rPr>
            </w:pPr>
            <w:r>
              <w:rPr>
                <w:rFonts w:ascii="Arial" w:cs="Arial" w:eastAsia="Arial" w:hAnsi="Arial"/>
                <w:sz w:val="14"/>
                <w:szCs w:val="14"/>
                <w:color w:val="auto"/>
              </w:rPr>
              <w:t>Actuarial losses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Settlement losses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plans, net</w:t>
            </w: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Other comprehensive income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2025</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8"/>
          <w:szCs w:val="18"/>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2023, the Financial Accounting Standards Board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 2025. Interim disclosures are required for periods within fiscal years beginning after December 15, 2024, or our fiscal 2026. We adopted ASU 2023-07 for the year ended August 31, 2025. We applied the enhanced disclosure requirements retrospectively to all periods presented. Refer to the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9"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FASB issued ASU 2024-03, which requires public entities to disaggregate specific types of expenses, including disclosures for purchases of inventory, employee compensation, depreciation, and intangible asset amortization, as well as selling expenses. Annual disclosures are required for fiscal years beginning after December 15, 2026, or our fiscal 2028. Interim disclosures are required for periods within fiscal years beginning after December 15, 2027, or our fiscal 2029. Early adoption is permitted. Prospective application is required, and retrospective application is permitted. We are currently assessing the impact of the requirements on our consolidated financial statements and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2023-09, which expands annual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fiscal 2025 and 2023 acquisitions. There were no material acquisitions during fiscal 2024.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2025 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 LLC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2025, we acquired all of the equity interests of QSC, LLC (“QSC”), a leader in the design, engineering, and manufacturing of audio, video, and control solutions and services, for $1.2 billion in cash. This acquisition expands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accounted for the acquisition of QSC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Acquisition-related professional fees were expensed as incurred for $23.8 million for the year ended August 31, 2025. These costs were recorded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and were reflected in our unallocated corporate amounts.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preliminary fair values of the assets and liabilities obtained in connection with the QSC acquisition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1, 2025 (in millions):</w:t>
      </w:r>
    </w:p>
    <w:p>
      <w:pPr>
        <w:spacing w:after="0" w:line="15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 transferred: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consideration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Identifiable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Intangible assets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identifiable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1,240.7</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713.9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101.9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28.4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55.7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51.3</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45.8</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2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32.6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100.7</w:t>
      </w:r>
    </w:p>
    <w:p>
      <w:pPr>
        <w:spacing w:after="0" w:line="31" w:lineRule="exact"/>
        <w:rPr>
          <w:sz w:val="20"/>
          <w:szCs w:val="20"/>
          <w:color w:val="auto"/>
        </w:rPr>
      </w:pPr>
    </w:p>
    <w:p>
      <w:pPr>
        <w:sectPr>
          <w:pgSz w:w="11900" w:h="16838" w:orient="portrait"/>
          <w:cols w:equalWidth="0" w:num="2">
            <w:col w:w="8340" w:space="720"/>
            <w:col w:w="21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9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r>
      <w:tr>
        <w:trPr>
          <w:trHeight w:val="21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identifiable net assets</w:t>
            </w: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w:t>
            </w:r>
          </w:p>
        </w:tc>
      </w:tr>
      <w:tr>
        <w:trPr>
          <w:trHeight w:val="235"/>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estimated useful lives of identifiable intangible assets as of January 1, 2025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 Useful</w:t>
            </w:r>
          </w:p>
        </w:tc>
        <w:tc>
          <w:tcPr>
            <w:tcW w:w="3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Arial" w:cs="Arial" w:eastAsia="Arial" w:hAnsi="Arial"/>
                <w:sz w:val="16"/>
                <w:szCs w:val="16"/>
                <w:b w:val="1"/>
                <w:bCs w:val="1"/>
                <w:color w:val="auto"/>
              </w:rPr>
              <w:t>Fair Value</w:t>
            </w:r>
          </w:p>
        </w:tc>
      </w:tr>
      <w:tr>
        <w:trPr>
          <w:trHeight w:val="216"/>
        </w:trPr>
        <w:tc>
          <w:tcPr>
            <w:tcW w:w="676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 (Years)</w:t>
            </w:r>
          </w:p>
        </w:tc>
        <w:tc>
          <w:tcPr>
            <w:tcW w:w="380" w:type="dxa"/>
            <w:vAlign w:val="bottom"/>
          </w:tcPr>
          <w:p>
            <w:pPr>
              <w:spacing w:after="0"/>
              <w:rPr>
                <w:sz w:val="18"/>
                <w:szCs w:val="18"/>
                <w:color w:val="auto"/>
              </w:rPr>
            </w:pPr>
          </w:p>
        </w:tc>
        <w:tc>
          <w:tcPr>
            <w:tcW w:w="1820" w:type="dxa"/>
            <w:vAlign w:val="bottom"/>
          </w:tcPr>
          <w:p>
            <w:pPr>
              <w:jc w:val="right"/>
              <w:ind w:right="559"/>
              <w:spacing w:after="0"/>
              <w:rPr>
                <w:sz w:val="20"/>
                <w:szCs w:val="20"/>
                <w:color w:val="auto"/>
              </w:rPr>
            </w:pPr>
            <w:r>
              <w:rPr>
                <w:rFonts w:ascii="Arial" w:cs="Arial" w:eastAsia="Arial" w:hAnsi="Arial"/>
                <w:sz w:val="16"/>
                <w:szCs w:val="16"/>
                <w:b w:val="1"/>
                <w:bCs w:val="1"/>
                <w:color w:val="auto"/>
              </w:rPr>
              <w:t>(in millions)</w:t>
            </w:r>
          </w:p>
        </w:tc>
      </w:tr>
      <w:tr>
        <w:trPr>
          <w:trHeight w:val="210"/>
        </w:trPr>
        <w:tc>
          <w:tcPr>
            <w:tcW w:w="6760" w:type="dxa"/>
            <w:vAlign w:val="bottom"/>
            <w:tcBorders>
              <w:top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Developed technology and patents</w:t>
            </w:r>
            <w:r>
              <w:rPr>
                <w:rFonts w:ascii="Arial" w:cs="Arial" w:eastAsia="Arial" w:hAnsi="Arial"/>
                <w:sz w:val="21"/>
                <w:szCs w:val="21"/>
                <w:color w:val="auto"/>
                <w:vertAlign w:val="superscript"/>
              </w:rPr>
              <w:t>(1)</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w:t>
            </w:r>
          </w:p>
        </w:tc>
      </w:tr>
      <w:tr>
        <w:trPr>
          <w:trHeight w:val="215"/>
        </w:trPr>
        <w:tc>
          <w:tcPr>
            <w:tcW w:w="676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2180" w:type="dxa"/>
            <w:vAlign w:val="bottom"/>
          </w:tcPr>
          <w:p>
            <w:pPr>
              <w:jc w:val="center"/>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r>
      <w:tr>
        <w:trPr>
          <w:trHeight w:val="215"/>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identifiable intangible assets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0"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Substantially all of the the developed technology intangible assets relates to Q-SYS, an audio, video, and control platform.</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Assets and liabilities for QSC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2025. The preliminary goodwill is recorded in the AIS segment, and it is primarily comprised of benefits related to expanding AIS’ technology and audio, video, and control solution product portfolios. Approximately $350.0 million of the preliminary goodwill is expected to be deductible for tax purposes.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These amounts are expected to change as we finalize the allocation. The primary areas of the preliminary acquisition accounting that are not yet finalized relate to income taxes and residual goodwill. The final determination of acquisition-date fair values will be completed as soon as practicable, and within the measurement period of up to one year from the acquisition date as permitted under U.S. GAAP. Any adjustments to provisional amounts that are identified during the measurement period will be recorded in the reporting period in which the adjustment is determined.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measurement period adjustments to goodwill during fiscal 2025 of $31.1 million, primarily for updated amounts of consideration transferred for the purchase of QSC, additional information obtained related to the fair values of identified intangible assets, including the useful lives of those assets, and additional information obtained regarding acquired tax-related assets and liabilities. We additionally recorded cumulative catch-up amortization of $6.9 million during our fourth quarter of fiscal 2025 related to measurement period adjustments for acquired intangible assets. Other measurement period adjustments, including the income statement impact to prior period results, were not material.</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operating results of QSC have been included in our consolidated financial statements since the date of acquisition. The following table provides the amount of QSC net sales and net income included within our consolidated financial statements since the acquisition date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9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w:t>
            </w:r>
          </w:p>
        </w:tc>
      </w:tr>
      <w:tr>
        <w:trPr>
          <w:trHeight w:val="282"/>
        </w:trPr>
        <w:tc>
          <w:tcPr>
            <w:tcW w:w="960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196"/>
        </w:trPr>
        <w:tc>
          <w:tcPr>
            <w:tcW w:w="9600" w:type="dxa"/>
            <w:vAlign w:val="bottom"/>
          </w:tcPr>
          <w:p>
            <w:pPr>
              <w:spacing w:after="0"/>
              <w:rPr>
                <w:sz w:val="20"/>
                <w:szCs w:val="20"/>
                <w:color w:val="auto"/>
              </w:rPr>
            </w:pPr>
            <w:r>
              <w:rPr>
                <w:rFonts w:ascii="Arial" w:cs="Arial" w:eastAsia="Arial" w:hAnsi="Arial"/>
                <w:sz w:val="14"/>
                <w:szCs w:val="14"/>
                <w:color w:val="auto"/>
              </w:rPr>
              <w:t>____________________________________</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12" w:lineRule="exact"/>
        <w:rPr>
          <w:sz w:val="20"/>
          <w:szCs w:val="20"/>
          <w:color w:val="auto"/>
        </w:rPr>
      </w:pPr>
    </w:p>
    <w:p>
      <w:pPr>
        <w:ind w:firstLine="8"/>
        <w:spacing w:after="0" w:line="339"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Net income for the year ended August 31, 2025 includes preliminary pre-tax nonrecurring acquisition date fair value adjustments to inventory of $29.6 million and amortization of acquired intangible assets of $42.1 million.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unaudited pro forma financial information to show the impacts of the QSC acquisition to our consolidated results assuming the acquisition closed as of the first day of our prior fiscal year.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62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4,546.3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4,376.1</w:t>
            </w:r>
          </w:p>
        </w:tc>
      </w:tr>
      <w:tr>
        <w:trPr>
          <w:trHeight w:val="282"/>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436.0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355.7</w:t>
            </w:r>
          </w:p>
        </w:tc>
      </w:tr>
    </w:tbl>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0" w:lineRule="exact"/>
        <w:rPr>
          <w:sz w:val="20"/>
          <w:szCs w:val="20"/>
          <w:color w:val="auto"/>
        </w:rPr>
      </w:pPr>
    </w:p>
    <w:p>
      <w:pPr>
        <w:ind w:firstLine="8"/>
        <w:spacing w:after="0" w:line="224" w:lineRule="auto"/>
        <w:tabs>
          <w:tab w:leader="none" w:pos="176"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Pro forma net income for the year ended August 31, 2024 includes preliminary pre-tax nonrecurring acquisition date fair value adjustments to inventory of $29.6 million and acquisition-related costs of $23.8 million. We did not have any other significant nonrecurring pro forma adjustments directly attributable to the acquisition.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M3 Innovation, LLC</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 2025, we acquired certain assets of M3 Innovation, LLC (“M3 Innovation”), a sports lighting startup that uses innovative technology to lower the overall cost of the installation and operation of sports lighting solutions. The assets have been included in ABL's financial results since the date of acquisition and did not have a material impact to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2023 Acquisitions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KE2 Therm Solutions, Inc.</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expanded AIS's technology and controls product portfolio and reached new customers.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accounted for the acquisition of KE2 Therm in accordance with ASC 805. We finalized the acquisition accounting for the KE2 Therm acquisition during the third quarter of fiscal 2024. There were no material measurement period adjustments during fiscal 2024.</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Acquired assets and liabilities were recorded at their estimated acquisition-date fair values. Acquisition-related costs were expensed as incurred and were not material to our financial statements. The aggregate purchase price of this acquisition reflects goodwill within the AIS segment of $15.0 million, which is not deductible for tax purposes. The goodwill was comprised of expected benefits related to expanding AIS's technology and controls product portfolio as well as the trained workforce acquired with these businesses and expected synergies from combining KE2 Therm with our current businesses.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additionally recorded gross intangible assets of $18.0 million, which reflects estimates for definite-lived intangibles with an estimated weighted average useful life of approximately 15 years.</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operating results of KE2 Therm have been included in our financial statements since the date of acquisition and are not material to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divestitures during fiscal 2025 or 2024. The following discussion relates to fiscal year 2023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We recognized a pre-tax loss on the sale of $11.2 million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Additionally, during fiscal 2023 we recorded impairment charges for certain retained assets as well as associate severance and other 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22"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August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Total</w:t>
            </w: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845.8</w:t>
            </w:r>
          </w:p>
        </w:tc>
      </w:tr>
      <w:tr>
        <w:trPr>
          <w:trHeight w:val="210"/>
        </w:trPr>
        <w:tc>
          <w:tcPr>
            <w:tcW w:w="2880" w:type="dxa"/>
            <w:vAlign w:val="bottom"/>
          </w:tcPr>
          <w:p>
            <w:pPr>
              <w:ind w:left="20"/>
              <w:spacing w:after="0"/>
              <w:rPr>
                <w:sz w:val="20"/>
                <w:szCs w:val="20"/>
                <w:color w:val="auto"/>
              </w:rPr>
            </w:pPr>
            <w:r>
              <w:rPr>
                <w:rFonts w:ascii="Arial" w:cs="Arial" w:eastAsia="Arial" w:hAnsi="Arial"/>
                <w:sz w:val="14"/>
                <w:szCs w:val="14"/>
                <w:color w:val="auto"/>
              </w:rPr>
              <w:t>Assets in fair value hierarchy</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845.8</w:t>
            </w:r>
          </w:p>
        </w:tc>
      </w:tr>
      <w:tr>
        <w:trPr>
          <w:trHeight w:val="21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r>
      <w:tr>
        <w:trPr>
          <w:trHeight w:val="210"/>
        </w:trPr>
        <w:tc>
          <w:tcPr>
            <w:tcW w:w="288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852.5</w:t>
            </w: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ind w:left="660" w:hanging="328"/>
        <w:spacing w:after="0" w:line="305" w:lineRule="auto"/>
        <w:tabs>
          <w:tab w:leader="none" w:pos="653" w:val="left"/>
        </w:tabs>
        <w:numPr>
          <w:ilvl w:val="0"/>
          <w:numId w:val="15"/>
        </w:numPr>
        <w:rPr>
          <w:rFonts w:ascii="Arial" w:cs="Arial" w:eastAsia="Arial" w:hAnsi="Arial"/>
          <w:sz w:val="9"/>
          <w:szCs w:val="9"/>
          <w:color w:val="auto"/>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our nonrecurring fair value measurements as of the dates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Measurement Date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Hierarchy Level</w:t>
            </w:r>
          </w:p>
        </w:tc>
        <w:tc>
          <w:tcPr>
            <w:tcW w:w="340" w:type="dxa"/>
            <w:vAlign w:val="bottom"/>
          </w:tcPr>
          <w:p>
            <w:pPr>
              <w:spacing w:after="0"/>
              <w:rPr>
                <w:sz w:val="17"/>
                <w:szCs w:val="17"/>
                <w:color w:val="auto"/>
              </w:rPr>
            </w:pPr>
          </w:p>
        </w:tc>
        <w:tc>
          <w:tcPr>
            <w:tcW w:w="1520" w:type="dxa"/>
            <w:vAlign w:val="bottom"/>
          </w:tcPr>
          <w:p>
            <w:pPr>
              <w:jc w:val="right"/>
              <w:ind w:right="521"/>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Long-lived intangible assets</w:t>
            </w:r>
          </w:p>
        </w:tc>
        <w:tc>
          <w:tcPr>
            <w:tcW w:w="18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May 31, 2025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Level 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43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held for sale</w:t>
            </w:r>
          </w:p>
        </w:tc>
        <w:tc>
          <w:tcPr>
            <w:tcW w:w="1960" w:type="dxa"/>
            <w:vAlign w:val="bottom"/>
            <w:tcBorders>
              <w:bottom w:val="single" w:sz="8" w:color="CCEEFF"/>
            </w:tcBorders>
            <w:gridSpan w:val="2"/>
          </w:tcPr>
          <w:p>
            <w:pPr>
              <w:ind w:left="860"/>
              <w:spacing w:after="0"/>
              <w:rPr>
                <w:sz w:val="20"/>
                <w:szCs w:val="20"/>
                <w:color w:val="auto"/>
              </w:rPr>
            </w:pPr>
            <w:r>
              <w:rPr>
                <w:rFonts w:ascii="Arial" w:cs="Arial" w:eastAsia="Arial" w:hAnsi="Arial"/>
                <w:sz w:val="16"/>
                <w:szCs w:val="16"/>
                <w:color w:val="auto"/>
              </w:rPr>
              <w:t>May 31, 2025</w:t>
            </w:r>
          </w:p>
        </w:tc>
        <w:tc>
          <w:tcPr>
            <w:tcW w:w="1940" w:type="dxa"/>
            <w:vAlign w:val="bottom"/>
            <w:tcBorders>
              <w:bottom w:val="single" w:sz="8" w:color="CCEEFF"/>
            </w:tcBorders>
            <w:gridSpan w:val="2"/>
          </w:tcPr>
          <w:p>
            <w:pPr>
              <w:ind w:left="1300"/>
              <w:spacing w:after="0"/>
              <w:rPr>
                <w:sz w:val="20"/>
                <w:szCs w:val="20"/>
                <w:color w:val="auto"/>
              </w:rPr>
            </w:pPr>
            <w:r>
              <w:rPr>
                <w:rFonts w:ascii="Arial" w:cs="Arial" w:eastAsia="Arial" w:hAnsi="Arial"/>
                <w:sz w:val="16"/>
                <w:szCs w:val="16"/>
                <w:color w:val="auto"/>
              </w:rPr>
              <w:t>Level 3</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r>
      <w:tr>
        <w:trPr>
          <w:trHeight w:val="23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at nonrecurring fair value</w:t>
            </w: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Intangible Assets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third quarter of fiscal 2025, we took actions to accelerate productivity efforts, including the elimination of certain brands, which triggered an impairment test for the related intangible assets. Accordingly, we assessed the recoverability of these assets using an undiscounted cash flow model and concluded the carrying values of the assets were not fully recoverable. Based on the significant change in expected use of these assets, we determined their fair values were de minimis at May 31, 2025, and recorded impairment charges of $14.7 million. These charges are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relate to our ABL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Held for Sale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third quarter of fiscal 2025, we determined one of our assets, included within property, plant, and equipment, with a carrying value of $7.5 million met the criteria to be classified as held for sale and is expected to be sold within one year. We concluded the carrying value exceeded the fair value less cost to sell of this asset, which resulted in an impairment charge of $2.0 million. This charge is reflected within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 relates to our ABL segment. Fair values and costs were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primarily using recent sales of comparable assets. As of August 31, 2025, the carrying value of the asset was $5.5 million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reasonably likely change in the assumptions used in the analyses for the assets impaired during fiscal 2025 would not be material to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$446.7 million and $429.7 million as of August 31, 2025 and 2024, respectively.</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$400.0 million as of August 31, 2025 and no borrowings as of August 31, 2024 outstanding under our credit agreement. Such borrowings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manufacturing facilities, and offices.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Lease payments generally consist of fixed amounts, and variable amounts based on a market rate or an index are 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apply the short-term lease exception to leases with a term of 12 months or less and exclude such leases from our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Payments related to these short-term leases are expensed on a straight-line basis over the lease term and are reflected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component of lease cost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the rates implicit in our leases are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was 4.3% and 3.7% as of August 31, 2025 and 2024, respectively.</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 2025</w:t>
            </w:r>
          </w:p>
        </w:tc>
      </w:tr>
      <w:tr>
        <w:trPr>
          <w:trHeight w:val="209"/>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5"/>
        </w:trPr>
        <w:tc>
          <w:tcPr>
            <w:tcW w:w="9440" w:type="dxa"/>
            <w:vAlign w:val="bottom"/>
          </w:tcPr>
          <w:p>
            <w:pPr>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5"/>
        </w:trPr>
        <w:tc>
          <w:tcPr>
            <w:tcW w:w="9440" w:type="dxa"/>
            <w:vAlign w:val="bottom"/>
          </w:tcPr>
          <w:p>
            <w:pPr>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7"/>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5"/>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undiscounted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15"/>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Discount due to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35"/>
        </w:trPr>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4.96 years as of August 31, 2025.</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manufacturing overhead, or </w:t>
      </w:r>
      <w:r>
        <w:rPr>
          <w:rFonts w:ascii="Arial" w:cs="Arial" w:eastAsia="Arial" w:hAnsi="Arial"/>
          <w:sz w:val="18"/>
          <w:szCs w:val="18"/>
          <w:i w:val="1"/>
          <w:iCs w:val="1"/>
          <w:color w:val="auto"/>
        </w:rPr>
        <w:t>Selling,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based on the primary use of the related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 The components of total lease cost were as follows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lease cost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Year Ended August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r>
      <w:tr>
        <w:trPr>
          <w:trHeight w:val="208"/>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-599440</wp:posOffset>
            </wp:positionV>
            <wp:extent cx="71151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-316865</wp:posOffset>
            </wp:positionV>
            <wp:extent cx="711517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520" w:space="720"/>
            <w:col w:w="6000"/>
          </w:cols>
          <w:pgMar w:left="320" w:top="122" w:right="3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Cash paid for operating lease liabilities during the year ended August 31, 2025, 2024, and 2023 was $26.4 million, $22.9 million, and $20.1 million, respectively. ROU assets obtained in exchange for lease liabilities during the year ended August 31, 2025 and 2024 were $52.5 million and $3.4 million, respectively. ROU assets obtained in fiscal 2025 include $24.2 million from the acquisition of QSC.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leases that have not yet commenced as of August 31, 2025 that create significant rights and obligations.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our fiscal 2023 sale of our Sunoptics prismatic skylights, we retained certain assets, primarily ROU assets, that we did not plan to continue using in our manufacturing operations. Accordingly, we assessed the recoverability of these assets using an undiscounted cash flow model and concluded that the carrying values of the assets were not fully recoverable, which triggered an impairment test for these assets. We recorded an impairment charge of $4.3 million for these assets using a discounted cash flow model to estimate their fair values in fiscal 2023. The impairments were recorded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pertained to our ABL segment. See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the fiscal 2023 impairments. The recoverability and impairment tests required significant assumptions including estimated future cash flows, the identification of assets within each asset group, and the determination of an appropriate discount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and Lines of Credit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debt is carried at the outstanding balance net of any related unamortized discounts and deferred costs and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public notes due December 2030, principal</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Senior unsecured public notes due December 2030, unamortized discount and deferred costs</w:t>
            </w:r>
          </w:p>
        </w:tc>
        <w:tc>
          <w:tcPr>
            <w:tcW w:w="8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credit agreement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Total debt outstanding</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896.8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Inc. and ABL IP Holding LLC, a wholly-owned subsidiary of Acuity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August 31, 2025 and 2024, respectively.</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25, 2024, we entered into an amendment to the Credit Agreement that, among other things, provided for a delayed draw term loan facility of up to $600.0 million (the “Term Loan Facility”), which could be drawn in a single borrowing at any time, subject to certain conditions. In connection with the acquisition of QSC, we incurred an aggregate $600.0 million in indebtedness under the Term Loan Facility. In fiscal 2025, we voluntarily repaid $200.0 million of the outstanding obligation. We had $400.0 million in borrowings outstanding under the Term Loan Facility at August 31, 2025.</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will mature on June 30, 2027, which is the maturity date of the revolving loans and commitments under the existing Credit Agreement. Borrowings under the Term Loan Facility bear interest at an adjusted term Secured Overnight Financing Rate (“SOFR”), adjusted daily simple SOFR rate, or base rate, at the Company’s option, plus an applicable margin. The applicable margin is based on, at our option, the Company’s leverage ratio or ratings level, each as defined in the Credit Agreement, and ranges from 0.875% to 1.375% (for SOFR-based loans) and from 0% to 0.375% (for base rate loans).</w:t>
      </w:r>
    </w:p>
    <w:p>
      <w:pPr>
        <w:spacing w:after="0" w:line="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covenants and events of default that apply to the revolving loans and commitments under the Credit Agreement also apply to the Term Loan Facility, and borrowings under the Term Loan Facility are guaranteed by the Company and the subsidiaries of the Company that guarantee the revolving loans and commitments.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August 31, 2025. At August 31, 2025, we had additional borrowing capacity under the Credit Agreement of $595.8 million under the most restrictive covenant in effect at the time, which represents the full amount of the Revolving Credit Facility less outstanding letters of credit of $4.2 million issued under the Revolving Credit Facility, primarily for securing collateral requirements under our casualty insurance premiums.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Actuarial estimates used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flows.</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lease certain of our buildings and equipment under noncancellable lease agreements. Please refer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58% of our total work force is covered by collective bargaining agreements. Collective bargaining agreements representing approximately 48% of our work force will expire within one year, primarily due to annual negotiations of union contracts in Mexico.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subject to various legal claims arising in the normal course of business, including without limitation, patent infringement, contract disputes, employment matters, and product liability claims. Based on information currently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during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00" w:type="dxa"/>
            <w:vAlign w:val="bottom"/>
            <w:tcBorders>
              <w:bottom w:val="single" w:sz="8" w:color="auto"/>
            </w:tcBorders>
          </w:tcPr>
          <w:p>
            <w:pPr>
              <w:spacing w:after="0"/>
              <w:rPr>
                <w:sz w:val="18"/>
                <w:szCs w:val="18"/>
                <w:color w:val="auto"/>
              </w:rPr>
            </w:pPr>
          </w:p>
        </w:tc>
      </w:tr>
      <w:tr>
        <w:trPr>
          <w:trHeight w:val="209"/>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6"/>
        </w:trPr>
        <w:tc>
          <w:tcPr>
            <w:tcW w:w="74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present our financial results of operations for our two reportable segments, ABL and AIS, consistent with how our CODM, Neil Ashe, Chairman, President and Chief Executive Officer, evaluates operating results, assesses performance, and allocates resources within the Company. See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how we identify our reportable segments.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both segments, our CODM uses segment operating profit as the measurement of segment profit to allocate resources and assess performance. Our CODM considers target-to-actual differences in operating profit when making decisions on how to allocate capital and resources. Additionally, he considers segment operating profit when evaluating employee compensation and personnel allocations.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allocate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Corporate expenses that are primarily administrative in function and benefit the Company on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entity-wide basis are not allocated to segments. These include expenses related to governance, policy setting, compliance, and certain other shared services functions. Additionally, net interest expense (income), net miscellaneous expense, and income tax expense are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 2025</w:t>
            </w: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3,612.2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4,345.6</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1,957.7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340.3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ind w:left="780"/>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2,267.1</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1,034.2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1,484.9</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line="20" w:lineRule="exact"/>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194"/>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 2024</w:t>
            </w: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3,573.4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3,841.0</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1,960.9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ind w:left="780"/>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2,059.3</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1,029.7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1,228.4</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582.8</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883.9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2,863.1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3,814.6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 2023</w:t>
            </w: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3,722.8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3,952.2</w:t>
            </w: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2,152.5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ind w:left="780"/>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2,239.0</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1,035.8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1,212.9</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line="20" w:lineRule="exact"/>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3,408.5</w:t>
            </w:r>
          </w:p>
        </w:tc>
        <w:tc>
          <w:tcPr>
            <w:tcW w:w="0" w:type="dxa"/>
            <w:vAlign w:val="bottom"/>
          </w:tcPr>
          <w:p>
            <w:pPr>
              <w:spacing w:after="0"/>
              <w:rPr>
                <w:sz w:val="1"/>
                <w:szCs w:val="1"/>
                <w:color w:val="auto"/>
              </w:rPr>
            </w:pPr>
          </w:p>
        </w:tc>
      </w:tr>
      <w:tr>
        <w:trPr>
          <w:trHeight w:val="195"/>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Recognition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Payment is generally due and received within 60 days from the point of sale. In some instances, such as for software as a service agreements, payment is made prior to the transfer of control of goods and services. Payment terms generally do not extend beyond one year, and we apply the significant financing component practical expedient within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Accruals for cash discounts to customers are estimated using the expected value method based on historical experience and are recorded as a reduction to sales.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standard terms and conditions of sale generally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Refund liabilities recorded under ASC 606 relating to rights of return, cash discounts, and other miscellaneous credits to customers were $31.7 million and $28.2 million as of August 31, 2025 and 2024,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recorded right of return assets for products expected to be returned to our facilities,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$3.4 million and $4.5 million as of August 31, 2025 and 2024, respectively.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also maintain one-time and ongoing promotions with certain customers, which may include rebate, sales incentive, marketing, and trade-promotion programs with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Amounts due to our customers associated with these programs totaled $46.5 million and $35.3 million as of August 31, 2025 and 2024,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Costs to obtain and fulfill contracts, such as sales commissions, are generally short-term in nature and are generally expensed as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revenues for the periods presented were generated from short-term contracts with our customers to deliver only tangible goods such as luminaires, lighting controls, building system controls, and audio, video, and control platform products.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Claims related to service-type warranties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We recognize revenue for software based on the contractual rights provided to a customer, which in certain instances results in the recognition of revenue ratably over the contractual service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small portion of our revenue was derived from the combination of any or all of our products, professional services, and software.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account for shipping and handling activities for customers as activities to fulfill the promise to transfer products to our customers. As such, we do not consider shipping and handling activities to be separate performance obligations, and we expense these costs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100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41.5</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upfront fees collected for service-type warranties, time-bound software licenses, software as a service arrangements, and professional fees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earned from beginning contract balances during the year ended August 31, 2025 approximated the current deferred revenue balance at August 31, 2024.</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years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August 31, 2025 and consist primarily of orders for physical goods that have not yet been shipped.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luminaires and electronics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AIS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August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5"/>
        </w:trPr>
        <w:tc>
          <w:tcPr>
            <w:tcW w:w="604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2,646.8</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2,551.7</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2,671.0</w:t>
            </w:r>
          </w:p>
        </w:tc>
      </w:tr>
      <w:tr>
        <w:trPr>
          <w:trHeight w:val="217"/>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r>
      <w:tr>
        <w:trPr>
          <w:trHeight w:val="215"/>
        </w:trPr>
        <w:tc>
          <w:tcPr>
            <w:tcW w:w="604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194.9</w:t>
            </w:r>
          </w:p>
        </w:tc>
      </w:tr>
      <w:tr>
        <w:trPr>
          <w:trHeight w:val="217"/>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15"/>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3,722.8</w:t>
            </w: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AIS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252.7</w:t>
            </w: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3,952.2</w:t>
            </w: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Payments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Stock Compensation Incentive and Directors’ Equity Plans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2022, our stockholders approved the Amended and Restated Acuity Inc. 2012 Omnibus Stock Compensation Incentive Plan (the “Stock Incentive Plan”), which, among other things, increased the total number of shares authorized for issuance pursuant to the Stock Incentive Plan from 2.7 million to 3.6 million, with a corresponding increase to shares available for grant. The Compensation and Management Development Committee of the Board of Directors (the “Compensation Committee”)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Shares available for grant under the Stock Incentive Plan were approximately 0.6 million, 0.7 million, and 1.0 million at August 31, 2025, 2024, and 2023, respectively. Any shares subject to an award under the Stock Incentive Plan that are forfeited, canceled, expired, or settled for cash will be available for future grant under the Stock Incentive Plan.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payment awards are valued based on their grant date fair values as described further below. We recognize compensation cost for share-based payment transactions in accordance with ASC 718. For most of our awards, compensation cost is recognized on a straight-line basis over the award's requisite service period.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Compensation expense recognized related to our share-based payment awards during the periods presented is summarized as follows (in millions):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8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 and units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Performance stock units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Director stock units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payment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August 31, 2025, we had approximately 0.2 million shares outstanding of restricted stock to officers, directors, and other key employees under the Stock Incentive Plan. Grants awarded beginning in fiscal 2022 vest primarily over a three-year period, and grants awarded prior to fiscal 2022 vest primarily over a four-year period. Our restricted stock grants are valued at the closing stock price on the date of the grant.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periods presented was as follows (in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144.51</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175.23</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(0.1)</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163.37</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2023</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168.74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153.74</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154.90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2024</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167.39</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295.56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204.37</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2025</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229.73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August 31, 2025, there was $34.9 million of total unrecognized compensation cost related to unvested restricted stock, which is expected to be recognized over a weighted-average period of 1.4 years. The total fair value of stock vested during the years ended August 31, 2025, 2024, and 2023 was approximately $26.2 million, $22.9 million, and $19.9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August 31, 2025, we had approximately 0.3 million performance stock units outstanding to officers and other key employees under the Stock Incentive Plan. Our performance stock units vest over a three-year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most of these grants, the actual number of performance stock units earned for these awards will be determined at the end of the related performance period based on the level of achievement of established performance thresholds. Such grants are valued at the closing stock price on the date of grant. We recognize compensation expense for these grants proportionately over the requisite service period for each employee when it becomes probable that the performance metric will be satisfied.</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small subset of our performance stock units granted in fiscal 2025, 2024, and 2023 have a payout based on a total shareholder return relative to a peer group index over a three-year period. These awards are valued using a Monte-Carlo simulation and are expensed over the longer of the requisite service period and the derived service period. Stock compensation may be accelerated if a market condition is met prior to the derived service period lapsing. All inputs into the Monte Carlo simulation are estimates made at the time of grant, which are summarized in the table below. Actual realized value of each award could materially differ from these estimates, without impact to future reported net income. Dividends were assumed to be reinvested on the ex-dividend date for us and peer companies. Expected volatility was based on historical volatility of our stock as well as our peer group. The risk-free interest rate was based on the U.S. Treasury yield consistent with the derived performance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740" w:type="dxa"/>
            <w:vAlign w:val="bottom"/>
          </w:tcPr>
          <w:p>
            <w:pPr>
              <w:jc w:val="center"/>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46.7%</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Fair value of awards</w:t>
            </w:r>
          </w:p>
        </w:tc>
        <w:tc>
          <w:tcPr>
            <w:tcW w:w="1740" w:type="dxa"/>
            <w:vAlign w:val="bottom"/>
          </w:tcPr>
          <w:p>
            <w:pPr>
              <w:jc w:val="center"/>
              <w:spacing w:after="0"/>
              <w:rPr>
                <w:sz w:val="20"/>
                <w:szCs w:val="20"/>
                <w:color w:val="auto"/>
              </w:rPr>
            </w:pPr>
            <w:r>
              <w:rPr>
                <w:rFonts w:ascii="Arial" w:cs="Arial" w:eastAsia="Arial" w:hAnsi="Arial"/>
                <w:sz w:val="16"/>
                <w:szCs w:val="16"/>
                <w:color w:val="auto"/>
              </w:rPr>
              <w:t>$470.66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$241.39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$254.19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performance stock units during the periods presented was as follows (in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145.46</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195.67</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2023</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171.01</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172.98</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91.36</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Outstanding at August 31, 2024</w:t>
            </w:r>
          </w:p>
        </w:tc>
        <w:tc>
          <w:tcPr>
            <w:tcW w:w="1780" w:type="dxa"/>
            <w:vAlign w:val="bottom"/>
          </w:tcPr>
          <w:p>
            <w:pPr>
              <w:jc w:val="center"/>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186.66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321.59</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tcPr>
          <w:p>
            <w:pPr>
              <w:jc w:val="center"/>
              <w:spacing w:after="0"/>
              <w:rPr>
                <w:sz w:val="20"/>
                <w:szCs w:val="20"/>
                <w:color w:val="auto"/>
              </w:rPr>
            </w:pPr>
            <w:r>
              <w:rPr>
                <w:rFonts w:ascii="Arial" w:cs="Arial" w:eastAsia="Arial" w:hAnsi="Arial"/>
                <w:sz w:val="16"/>
                <w:szCs w:val="16"/>
                <w:color w:val="auto"/>
                <w:w w:val="97"/>
              </w:rPr>
              <w:t>(0.1)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178.82</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Outstanding at August 31, 2025</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214.89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August 31, 2025 there was $13.6 million of total unrecognized compensation cost related to unvested performance stock units. This cost is expected to be recognized over a weighted-average period of approximately 1.4 years. The total fair value of performance units vested during the years ended August 31, 2025, 2024, and 2023 was $14.9 million, $5.0 million, and $11.5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2025, we had approximately 0.8 million options outstanding to officers as well as other key current and former employees under the Stock Incentive Plan, all of which were granted in previous fiscal years. Of these options, 0.3 million were granted in fiscal 2021 and become exercisable over a four-year period. Options issued under the Stock Incentive Plan are generally granted with an exercise price equal to the fair market value of our stock on the date of grant, but never less than the fair market value on the grant date, and expire 10 years from the date of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Outstanding</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Exercisable</w:t>
            </w:r>
          </w:p>
        </w:tc>
      </w:tr>
      <w:tr>
        <w:trPr>
          <w:trHeight w:val="156"/>
        </w:trPr>
        <w:tc>
          <w:tcPr>
            <w:tcW w:w="50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Weighted</w:t>
            </w:r>
          </w:p>
        </w:tc>
      </w:tr>
      <w:tr>
        <w:trPr>
          <w:trHeight w:val="162"/>
        </w:trPr>
        <w:tc>
          <w:tcPr>
            <w:tcW w:w="5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Options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8"/>
              </w:rPr>
              <w:t>Average</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Average</w:t>
            </w:r>
          </w:p>
        </w:tc>
      </w:tr>
      <w:tr>
        <w:trPr>
          <w:trHeight w:val="216"/>
        </w:trPr>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Exercise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Exercise Price</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143.15</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126.92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2023</w:t>
            </w:r>
          </w:p>
        </w:tc>
        <w:tc>
          <w:tcPr>
            <w:tcW w:w="1360" w:type="dxa"/>
            <w:vAlign w:val="bottom"/>
          </w:tcPr>
          <w:p>
            <w:pPr>
              <w:jc w:val="center"/>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131.81</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135.91</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2024</w:t>
            </w:r>
          </w:p>
        </w:tc>
        <w:tc>
          <w:tcPr>
            <w:tcW w:w="1360" w:type="dxa"/>
            <w:vAlign w:val="bottom"/>
          </w:tcPr>
          <w:p>
            <w:pPr>
              <w:jc w:val="center"/>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130.74</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132.48</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0.8</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119.81</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119.81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Range of option exercise prices: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$100.00 - $160.00 (average life - 4.6 years)</w:t>
            </w:r>
          </w:p>
        </w:tc>
        <w:tc>
          <w:tcPr>
            <w:tcW w:w="1360" w:type="dxa"/>
            <w:vAlign w:val="bottom"/>
          </w:tcPr>
          <w:p>
            <w:pPr>
              <w:jc w:val="center"/>
              <w:spacing w:after="0"/>
              <w:rPr>
                <w:sz w:val="20"/>
                <w:szCs w:val="20"/>
                <w:color w:val="auto"/>
              </w:rPr>
            </w:pPr>
            <w:r>
              <w:rPr>
                <w:rFonts w:ascii="Arial" w:cs="Arial" w:eastAsia="Arial" w:hAnsi="Arial"/>
                <w:sz w:val="16"/>
                <w:szCs w:val="16"/>
                <w:color w:val="auto"/>
              </w:rPr>
              <w:t>0.8</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117.46</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117.46</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$210.01 - $239.76 (average life - 1.1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of less than 0.1 million.</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total intrinsic value of options exercised during the years ended August 31, 2025, 2024, and 2023 was approximately $13.9 million, $6.6 million, and $0.5 million, respectively. As of August 31, 2025, the total intrinsic value of options outstanding and exercisable was $166.1 million. As of August 31, 2025, there was no intrinsic value of options expected to vest. As of August 31, 2025, there was no unrecognized compensation cost related to unvested options.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Stock Units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January 2022, the total remaining shares available for issuance under the Director Plan were transferred into the Stock Incentive Plan. As of August 31, 2025, approximately 27,000 stock units were deferred but undistributed under the Director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2025. Employees may participate at their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and Defined Contribution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and equity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fourth quarter of fiscal 2025, we completed full and partial settlements of our domestic qualified defined benefit plans through the purchases of nonparticipating annuities and lump sum elections. Additionally, we terminated one of our international pension plans. As a result of these transactions, we recognized one-time, non-cash pension settlement charges totaling $30.9 million in the fourth quarter of fiscal 2025. These pension settlement charges are primarily related to the accelerated recognition of actuarial losses included within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in the C</w:t>
      </w:r>
      <w:r>
        <w:rPr>
          <w:rFonts w:ascii="Arial" w:cs="Arial" w:eastAsia="Arial" w:hAnsi="Arial"/>
          <w:sz w:val="18"/>
          <w:szCs w:val="18"/>
          <w:i w:val="1"/>
          <w:iCs w:val="1"/>
          <w:color w:val="auto"/>
        </w:rPr>
        <w:t>onsolidated Statements of Comprehensive Income</w:t>
      </w:r>
      <w:r>
        <w:rPr>
          <w:rFonts w:ascii="Arial" w:cs="Arial" w:eastAsia="Arial" w:hAnsi="Arial"/>
          <w:sz w:val="18"/>
          <w:szCs w:val="18"/>
          <w:color w:val="auto"/>
        </w:rPr>
        <w:t>. The combined financial impact of the settlements and de-risking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taken overall are reflected in the accompanying tables and disclosures within this note.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 based) and international pension plans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0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r>
      <w:tr>
        <w:trPr>
          <w:trHeight w:val="196"/>
        </w:trPr>
        <w:tc>
          <w:tcPr>
            <w:tcW w:w="6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34.6</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(gains) losses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Benefit obligation at end of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r>
      <w:tr>
        <w:trPr>
          <w:trHeight w:val="195"/>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Actual (loss) return on plan assets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0.6</w:t>
            </w:r>
          </w:p>
        </w:tc>
      </w:tr>
      <w:tr>
        <w:trPr>
          <w:trHeight w:val="200"/>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color w:val="auto"/>
              </w:rPr>
              <w:t>Funded status at the end of year</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25"/>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amount recognized in consolidated balance sheets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9"/>
        </w:trPr>
        <w:tc>
          <w:tcPr>
            <w:tcW w:w="646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00"/>
        </w:trPr>
        <w:tc>
          <w:tcPr>
            <w:tcW w:w="6460" w:type="dxa"/>
            <w:vAlign w:val="bottom"/>
          </w:tcPr>
          <w:p>
            <w:pPr>
              <w:ind w:left="180"/>
              <w:spacing w:after="0"/>
              <w:rPr>
                <w:sz w:val="20"/>
                <w:szCs w:val="20"/>
                <w:color w:val="auto"/>
              </w:rPr>
            </w:pPr>
            <w:r>
              <w:rPr>
                <w:rFonts w:ascii="Arial" w:cs="Arial" w:eastAsia="Arial" w:hAnsi="Arial"/>
                <w:sz w:val="14"/>
                <w:szCs w:val="14"/>
                <w:color w:val="auto"/>
              </w:rPr>
              <w:t>Amounts in accumulated other comprehensive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r>
      <w:tr>
        <w:trPr>
          <w:trHeight w:val="202"/>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28.9</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labor costs,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We utilize a corridor approach to amortize cumulative unrecognized actuarial gains or losses over</w:t>
      </w:r>
      <w:r>
        <w:rPr>
          <w:rFonts w:ascii="Arial" w:cs="Arial" w:eastAsia="Arial" w:hAnsi="Arial"/>
          <w:sz w:val="18"/>
          <w:szCs w:val="18"/>
          <w:i w:val="1"/>
          <w:iCs w:val="1"/>
          <w:color w:val="auto"/>
        </w:rPr>
        <w:t xml:space="preserve"> </w:t>
      </w:r>
      <w:r>
        <w:rPr>
          <w:rFonts w:ascii="Arial" w:cs="Arial" w:eastAsia="Arial" w:hAnsi="Arial"/>
          <w:sz w:val="18"/>
          <w:szCs w:val="18"/>
          <w:color w:val="auto"/>
        </w:rPr>
        <w:t>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during the periods presented included the following components before tax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Domestic Plans</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International Plans</w:t>
            </w:r>
          </w:p>
        </w:tc>
        <w:tc>
          <w:tcPr>
            <w:tcW w:w="880" w:type="dxa"/>
            <w:vAlign w:val="bottom"/>
            <w:tcBorders>
              <w:bottom w:val="single" w:sz="8" w:color="auto"/>
            </w:tcBorders>
          </w:tcPr>
          <w:p>
            <w:pPr>
              <w:spacing w:after="0"/>
              <w:rPr>
                <w:sz w:val="18"/>
                <w:szCs w:val="18"/>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Settlement loss (gain)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600" w:type="dxa"/>
            <w:vAlign w:val="bottom"/>
            <w:gridSpan w:val="4"/>
          </w:tcPr>
          <w:p>
            <w:pPr>
              <w:ind w:left="640"/>
              <w:spacing w:after="0"/>
              <w:rPr>
                <w:sz w:val="20"/>
                <w:szCs w:val="20"/>
                <w:color w:val="auto"/>
              </w:rPr>
            </w:pPr>
            <w:r>
              <w:rPr>
                <w:rFonts w:ascii="Arial" w:cs="Arial" w:eastAsia="Arial" w:hAnsi="Arial"/>
                <w:sz w:val="16"/>
                <w:szCs w:val="16"/>
                <w:b w:val="1"/>
                <w:bCs w:val="1"/>
                <w:color w:val="auto"/>
              </w:rPr>
              <w:t>Domestic Plans</w:t>
            </w:r>
          </w:p>
        </w:tc>
        <w:tc>
          <w:tcPr>
            <w:tcW w:w="25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International Plans</w:t>
            </w:r>
          </w:p>
        </w:tc>
      </w:tr>
      <w:tr>
        <w:trPr>
          <w:trHeight w:val="210"/>
        </w:trPr>
        <w:tc>
          <w:tcPr>
            <w:tcW w:w="6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3.4 %</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26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5.3 %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bl>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for fiscal 2025 approximately $0.3 million for the domestic plans and $0.7 million for the international plans. The expected return on plan assets is derived primarily from a periodic study of long-term historical rates of return on the fair value of our various asset classes included in our targeted pension plan asset allocation as well as future expectations. We estimate that each 100 basis point reduction in the expected return on plan assets would result in additional net periodic pension cost of $0.8 million and $ 0.3 million for domestic plans and international plans, respectively. We also evaluate the rate of compensation increase annually and adjust if necessary.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fixed income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2025, the U.S. targeted asset allocation approximated 70% fixed income securities, 15% real estate securities, and 15% equity securities. Our investment objective for the international plan assets is to cover the value of the plans’ liabilities. At August 31, 2025, the international asset target allocation approximated 100% guaranteed insurance policies.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by asset category as of the dates presented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 of Plan Assets</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Domestic Plans</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International Plans</w:t>
            </w: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2024</w:t>
            </w: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Fixed income securities</w:t>
            </w:r>
          </w:p>
        </w:tc>
        <w:tc>
          <w:tcPr>
            <w:tcW w:w="640" w:type="dxa"/>
            <w:vAlign w:val="bottom"/>
          </w:tcPr>
          <w:p>
            <w:pPr>
              <w:jc w:val="right"/>
              <w:spacing w:after="0"/>
              <w:rPr>
                <w:sz w:val="20"/>
                <w:szCs w:val="20"/>
                <w:color w:val="auto"/>
              </w:rPr>
            </w:pPr>
            <w:r>
              <w:rPr>
                <w:rFonts w:ascii="Arial" w:cs="Arial" w:eastAsia="Arial" w:hAnsi="Arial"/>
                <w:sz w:val="16"/>
                <w:szCs w:val="16"/>
                <w:color w:val="auto"/>
              </w:rPr>
              <w:t>71.6 %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77.3 %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93.2 %</w:t>
            </w:r>
          </w:p>
        </w:tc>
      </w:tr>
      <w:tr>
        <w:trPr>
          <w:trHeight w:val="21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Multi-strategy investments</w:t>
            </w: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 %</w:t>
            </w:r>
          </w:p>
        </w:tc>
        <w:tc>
          <w:tcPr>
            <w:tcW w:w="186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 %</w:t>
            </w:r>
          </w:p>
        </w:tc>
        <w:tc>
          <w:tcPr>
            <w:tcW w:w="1860" w:type="dxa"/>
            <w:vAlign w:val="bottom"/>
            <w:gridSpan w:val="3"/>
            <w:shd w:val="clear" w:color="auto" w:fill="CCEEFF"/>
          </w:tcPr>
          <w:p>
            <w:pPr>
              <w:jc w:val="right"/>
              <w:ind w:right="80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5"/>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Real estate</w:t>
            </w:r>
          </w:p>
        </w:tc>
        <w:tc>
          <w:tcPr>
            <w:tcW w:w="640" w:type="dxa"/>
            <w:vAlign w:val="bottom"/>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gridSpan w:val="3"/>
          </w:tcPr>
          <w:p>
            <w:pPr>
              <w:jc w:val="right"/>
              <w:ind w:right="80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Guaranteed insurance policies</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99.6 %</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Plans' Assets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under U.S. GAAP.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as of August 31, 2025 and August 31, 2024 are described in further detail below.</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Short-term Fixed Income Investments (Level 1)</w:t>
      </w:r>
      <w:r>
        <w:rPr>
          <w:rFonts w:ascii="Arial" w:cs="Arial" w:eastAsia="Arial" w:hAnsi="Arial"/>
          <w:sz w:val="18"/>
          <w:szCs w:val="18"/>
          <w:color w:val="auto"/>
        </w:rPr>
        <w:t>: Short-term investments consist of money market funds, which are valued at the daily closing price as reported by the relevant fund.</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Mutual Funds (Level 1)</w:t>
      </w:r>
      <w:r>
        <w:rPr>
          <w:rFonts w:ascii="Arial" w:cs="Arial" w:eastAsia="Arial" w:hAnsi="Arial"/>
          <w:sz w:val="18"/>
          <w:szCs w:val="18"/>
          <w:color w:val="auto"/>
        </w:rPr>
        <w:t>: 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Collective Trust (Level 2)</w:t>
      </w:r>
      <w:r>
        <w:rPr>
          <w:rFonts w:ascii="Arial" w:cs="Arial" w:eastAsia="Arial" w:hAnsi="Arial"/>
          <w:sz w:val="18"/>
          <w:szCs w:val="18"/>
          <w:color w:val="auto"/>
        </w:rPr>
        <w:t>: The collective trust seeks to outperform the overall small-cap stock market and is comprised primarily of small-cap equity securities with quoted prices in active markets for identical investments. The value of this fund is calculated on each business day based on its daily net asset value; however, the collective trust is not deemed to be actively traded.</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Fixed Income Investments (Level 2)</w:t>
      </w:r>
      <w:r>
        <w:rPr>
          <w:rFonts w:ascii="Arial" w:cs="Arial" w:eastAsia="Arial" w:hAnsi="Arial"/>
          <w:sz w:val="18"/>
          <w:szCs w:val="18"/>
          <w:color w:val="auto"/>
        </w:rPr>
        <w:t>: The fixed income investment seeks to maximize total return by investing primarily in a diversified portfolio of investment-grade fixed income securities, primarily publicly traded corporate bonds as well as U.S. government and municipal bonds. The investment is valued on each business day based on the values of the underlying holdings and is not actively traded.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U.S. Treasury Investments (Level 2)</w:t>
      </w:r>
      <w:r>
        <w:rPr>
          <w:rFonts w:ascii="Arial" w:cs="Arial" w:eastAsia="Arial" w:hAnsi="Arial"/>
          <w:sz w:val="18"/>
          <w:szCs w:val="18"/>
          <w:color w:val="auto"/>
        </w:rPr>
        <w:t>: The domestic plans hold several fixed-income U.S. Treasury securities that are valued based on discounted future cash flows using rates currently available for debt of similar terms and maturity.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Real Estate Fund (NAV)</w:t>
      </w:r>
      <w:r>
        <w:rPr>
          <w:rFonts w:ascii="Arial" w:cs="Arial" w:eastAsia="Arial" w:hAnsi="Arial"/>
          <w:sz w:val="18"/>
          <w:szCs w:val="18"/>
          <w:color w:val="auto"/>
        </w:rPr>
        <w:t>: 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the dates presented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260" w:type="dxa"/>
            <w:vAlign w:val="bottom"/>
          </w:tcPr>
          <w:p>
            <w:pPr>
              <w:jc w:val="center"/>
              <w:ind w:left="339"/>
              <w:spacing w:after="0"/>
              <w:rPr>
                <w:sz w:val="20"/>
                <w:szCs w:val="20"/>
                <w:color w:val="auto"/>
              </w:rPr>
            </w:pPr>
            <w:r>
              <w:rPr>
                <w:rFonts w:ascii="Arial" w:cs="Arial" w:eastAsia="Arial" w:hAnsi="Arial"/>
                <w:sz w:val="16"/>
                <w:szCs w:val="16"/>
                <w:b w:val="1"/>
                <w:bCs w:val="1"/>
                <w:color w:val="auto"/>
                <w:w w:val="99"/>
              </w:rPr>
              <w:t>Fair Value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6"/>
            <w:vMerge w:val="restart"/>
          </w:tcPr>
          <w:p>
            <w:pPr>
              <w:jc w:val="center"/>
              <w:ind w:right="159"/>
              <w:spacing w:after="0"/>
              <w:rPr>
                <w:sz w:val="20"/>
                <w:szCs w:val="20"/>
                <w:color w:val="auto"/>
              </w:rPr>
            </w:pPr>
            <w:r>
              <w:rPr>
                <w:rFonts w:ascii="Arial" w:cs="Arial" w:eastAsia="Arial" w:hAnsi="Arial"/>
                <w:sz w:val="16"/>
                <w:szCs w:val="16"/>
                <w:b w:val="1"/>
                <w:bCs w:val="1"/>
                <w:color w:val="auto"/>
              </w:rPr>
              <w:t>Fair Value Measurements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60" w:type="dxa"/>
            <w:vAlign w:val="bottom"/>
          </w:tcPr>
          <w:p>
            <w:pPr>
              <w:jc w:val="center"/>
              <w:ind w:left="359"/>
              <w:spacing w:after="0"/>
              <w:rPr>
                <w:sz w:val="20"/>
                <w:szCs w:val="20"/>
                <w:color w:val="auto"/>
              </w:rPr>
            </w:pPr>
            <w:r>
              <w:rPr>
                <w:rFonts w:ascii="Arial" w:cs="Arial" w:eastAsia="Arial" w:hAnsi="Arial"/>
                <w:sz w:val="16"/>
                <w:szCs w:val="16"/>
                <w:b w:val="1"/>
                <w:bCs w:val="1"/>
                <w:color w:val="auto"/>
              </w:rPr>
              <w:t>as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vMerge w:val="continue"/>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(Level 2)</w:t>
            </w:r>
          </w:p>
        </w:tc>
        <w:tc>
          <w:tcPr>
            <w:tcW w:w="3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Fixed-income investments</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investments</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0" w:type="dxa"/>
            <w:vAlign w:val="bottom"/>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fund</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assets at net asset value</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40" w:type="dxa"/>
            <w:vAlign w:val="bottom"/>
            <w:gridSpan w:val="6"/>
            <w:vMerge w:val="restart"/>
          </w:tcPr>
          <w:p>
            <w:pPr>
              <w:jc w:val="center"/>
              <w:ind w:right="220"/>
              <w:spacing w:after="0"/>
              <w:rPr>
                <w:sz w:val="20"/>
                <w:szCs w:val="20"/>
                <w:color w:val="auto"/>
              </w:rPr>
            </w:pPr>
            <w:r>
              <w:rPr>
                <w:rFonts w:ascii="Arial" w:cs="Arial" w:eastAsia="Arial" w:hAnsi="Arial"/>
                <w:sz w:val="16"/>
                <w:szCs w:val="16"/>
                <w:b w:val="1"/>
                <w:bCs w:val="1"/>
                <w:color w:val="auto"/>
              </w:rPr>
              <w:t>Fair Value Measurements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vMerge w:val="continue"/>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2024</w:t>
            </w:r>
          </w:p>
        </w:tc>
        <w:tc>
          <w:tcPr>
            <w:tcW w:w="100" w:type="dxa"/>
            <w:vAlign w:val="bottom"/>
          </w:tcPr>
          <w:p>
            <w:pPr>
              <w:spacing w:after="0"/>
              <w:rPr>
                <w:sz w:val="18"/>
                <w:szCs w:val="18"/>
                <w:color w:val="auto"/>
              </w:rPr>
            </w:pPr>
          </w:p>
        </w:tc>
        <w:tc>
          <w:tcPr>
            <w:tcW w:w="164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rPr>
              <w:t>(Level 2)</w:t>
            </w:r>
          </w:p>
        </w:tc>
        <w:tc>
          <w:tcPr>
            <w:tcW w:w="142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investments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gridSpan w:val="3"/>
          </w:tcPr>
          <w:p>
            <w:pPr>
              <w:jc w:val="right"/>
              <w:ind w:right="4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Plans' Investments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fiscal 2025, we entered into a buy-in insurance policy to transfer our U.K. pension assets to a third-party insurance company. As of August 31, 2025, the remaining plan assets consist primarily of the buy-in insurance policy. The fair value of the related insurance assets are set equal to the insured liabilities, which are comprised of the projected benefit obligations associated with the plan (Level 3). The unobservable inputs for the fair value of the insurance policy include the discount rate and rate of compensation increases utilized in the actuarial valuation of the related projected benefit obligation.</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fourth fiscal quarter of fiscal 2025, we terminated one of our pension plans in Mexico. As a part of this termination, no plan assets remain.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international pension plan assets by major category as of the dates presented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80" w:type="dxa"/>
            <w:vAlign w:val="bottom"/>
            <w:gridSpan w:val="6"/>
            <w:vMerge w:val="restart"/>
          </w:tcPr>
          <w:p>
            <w:pPr>
              <w:jc w:val="center"/>
              <w:ind w:right="179"/>
              <w:spacing w:after="0"/>
              <w:rPr>
                <w:sz w:val="20"/>
                <w:szCs w:val="20"/>
                <w:color w:val="auto"/>
              </w:rPr>
            </w:pPr>
            <w:r>
              <w:rPr>
                <w:rFonts w:ascii="Arial" w:cs="Arial" w:eastAsia="Arial" w:hAnsi="Arial"/>
                <w:sz w:val="16"/>
                <w:szCs w:val="16"/>
                <w:b w:val="1"/>
                <w:bCs w:val="1"/>
                <w:color w:val="auto"/>
              </w:rPr>
              <w:t>Fair Value Measurements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 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3"/>
          </w:tcPr>
          <w:p>
            <w:pPr>
              <w:jc w:val="center"/>
              <w:ind w:right="659"/>
              <w:spacing w:after="0"/>
              <w:rPr>
                <w:sz w:val="20"/>
                <w:szCs w:val="20"/>
                <w:color w:val="auto"/>
              </w:rPr>
            </w:pPr>
            <w:r>
              <w:rPr>
                <w:rFonts w:ascii="Arial" w:cs="Arial" w:eastAsia="Arial" w:hAnsi="Arial"/>
                <w:sz w:val="16"/>
                <w:szCs w:val="16"/>
                <w:b w:val="1"/>
                <w:bCs w:val="1"/>
                <w:color w:val="auto"/>
              </w:rPr>
              <w:t>(Level 2)</w:t>
            </w: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Insurance policy</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gridSpan w:val="3"/>
          </w:tcPr>
          <w:p>
            <w:pPr>
              <w:ind w:left="11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6"/>
            <w:vMerge w:val="restart"/>
          </w:tcPr>
          <w:p>
            <w:pPr>
              <w:jc w:val="center"/>
              <w:ind w:right="159"/>
              <w:spacing w:after="0"/>
              <w:rPr>
                <w:sz w:val="20"/>
                <w:szCs w:val="20"/>
                <w:color w:val="auto"/>
              </w:rPr>
            </w:pPr>
            <w:r>
              <w:rPr>
                <w:rFonts w:ascii="Arial" w:cs="Arial" w:eastAsia="Arial" w:hAnsi="Arial"/>
                <w:sz w:val="16"/>
                <w:szCs w:val="16"/>
                <w:b w:val="1"/>
                <w:bCs w:val="1"/>
                <w:color w:val="auto"/>
              </w:rPr>
              <w:t>Fair Value Measurements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vMerge w:val="continue"/>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 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right="639"/>
              <w:spacing w:after="0"/>
              <w:rPr>
                <w:sz w:val="20"/>
                <w:szCs w:val="20"/>
                <w:color w:val="auto"/>
              </w:rPr>
            </w:pPr>
            <w:r>
              <w:rPr>
                <w:rFonts w:ascii="Arial" w:cs="Arial" w:eastAsia="Arial" w:hAnsi="Arial"/>
                <w:sz w:val="16"/>
                <w:szCs w:val="16"/>
                <w:b w:val="1"/>
                <w:bCs w:val="1"/>
                <w:color w:val="auto"/>
                <w:w w:val="98"/>
              </w:rPr>
              <w:t>(Level 2)</w:t>
            </w:r>
          </w:p>
        </w:tc>
        <w:tc>
          <w:tcPr>
            <w:tcW w:w="14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a reconciliation of the beginning and ending balances of the fair value measurements using significant unobservable inputs (Level 3)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Year Ended August 31,</w:t>
            </w:r>
          </w:p>
        </w:tc>
      </w:tr>
      <w:tr>
        <w:trPr>
          <w:trHeight w:val="210"/>
        </w:trPr>
        <w:tc>
          <w:tcPr>
            <w:tcW w:w="8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2025</w:t>
            </w:r>
          </w:p>
        </w:tc>
      </w:tr>
      <w:tr>
        <w:trPr>
          <w:trHeight w:val="210"/>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940" w:type="dxa"/>
            <w:vAlign w:val="bottom"/>
          </w:tcPr>
          <w:p>
            <w:pPr>
              <w:ind w:left="2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w:t>
            </w:r>
          </w:p>
        </w:tc>
        <w:tc>
          <w:tcPr>
            <w:tcW w:w="2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894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expect to contribute to the remaining plans in fiscal 2026 based on the funded status of the plans as well as current legal minimum funding requirements.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during the years ending August 31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2027</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2029</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2031-2035</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defined contribution plans to which both employees and the Company make contributions. Employer matching amounts are allocated in accordance with the participants’ investment elections for elective deferrals and totaled $ 14.9 million, $11.7 million, and $11.1 million for the years ended August 31, 2025, 2024, and 2023, respectively. At August 31, 2025, assets of certain domestic defined contribution plans included shares of our common stock with a market value of approximately $12.8 million, which represented approximately 2.2% of the total fair market value of the assets in those defined contribution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Special Charges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August 31, 2025, we recognized $29.7 million of pre-tax special charges, which consisted primarily of impairments of long-lived assets as well as employee severance costs related to productivity initiatives. We recognized no pre-tax special charges during the year ended August 31, 2024.</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August 31, 2023, we recognized $26.9 million of pre-tax special charges, which primarily included impairment charges of indefinite-lived intangible assets; impairments of certain retained assets associated with our previously owned Sunoptics prismatic skylights business that were not transferred in connection with the sale; and severance and employee-related costs in connection with the Sunoptics divestiture as well as streamlining activities initiated during the fourth quarter of fiscal 2023.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special charges during the periods presented are summarized as follows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1520" w:type="dxa"/>
            <w:vAlign w:val="bottom"/>
            <w:tcBorders>
              <w:bottom w:val="single" w:sz="8" w:color="auto"/>
            </w:tcBorders>
          </w:tcPr>
          <w:p>
            <w:pPr>
              <w:spacing w:after="0"/>
              <w:rPr>
                <w:sz w:val="18"/>
                <w:szCs w:val="18"/>
                <w:color w:val="auto"/>
              </w:rPr>
            </w:pPr>
          </w:p>
        </w:tc>
      </w:tr>
      <w:tr>
        <w:trPr>
          <w:trHeight w:val="209"/>
        </w:trPr>
        <w:tc>
          <w:tcPr>
            <w:tcW w:w="6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2023</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5"/>
        </w:trPr>
        <w:tc>
          <w:tcPr>
            <w:tcW w:w="6160" w:type="dxa"/>
            <w:vAlign w:val="bottom"/>
          </w:tcPr>
          <w:p>
            <w:pPr>
              <w:spacing w:after="0"/>
              <w:rPr>
                <w:sz w:val="20"/>
                <w:szCs w:val="20"/>
                <w:color w:val="auto"/>
              </w:rPr>
            </w:pPr>
            <w:r>
              <w:rPr>
                <w:rFonts w:ascii="Arial" w:cs="Arial" w:eastAsia="Arial" w:hAnsi="Arial"/>
                <w:sz w:val="16"/>
                <w:szCs w:val="16"/>
                <w:color w:val="auto"/>
              </w:rPr>
              <w:t>Severance and employee-related costs</w:t>
            </w:r>
          </w:p>
        </w:tc>
        <w:tc>
          <w:tcPr>
            <w:tcW w:w="1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Other items</w:t>
            </w:r>
          </w:p>
        </w:tc>
        <w:tc>
          <w:tcPr>
            <w:tcW w:w="1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6160" w:type="dxa"/>
            <w:vAlign w:val="bottom"/>
          </w:tcPr>
          <w:p>
            <w:pPr>
              <w:spacing w:after="0"/>
              <w:rPr>
                <w:sz w:val="20"/>
                <w:szCs w:val="20"/>
                <w:color w:val="auto"/>
              </w:rPr>
            </w:pPr>
            <w:r>
              <w:rPr>
                <w:rFonts w:ascii="Arial" w:cs="Arial" w:eastAsia="Arial" w:hAnsi="Arial"/>
                <w:sz w:val="16"/>
                <w:szCs w:val="16"/>
                <w:color w:val="auto"/>
              </w:rPr>
              <w:t>Total special charges</w:t>
            </w:r>
          </w:p>
        </w:tc>
        <w:tc>
          <w:tcPr>
            <w:tcW w:w="150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0"/>
        </w:trPr>
        <w:tc>
          <w:tcPr>
            <w:tcW w:w="6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 of August 31, 2025, we had $0.4 million of remaining accruals related to special charges, which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related to unpaid severance and employee-related costs from our third quarter fiscal 2025 actions. As of August 31, 2024, there were no remaining accruals related to special charges.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and Related Matters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during the periods presented were as follows (amounts and shares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8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Common Stock</w:t>
            </w:r>
          </w:p>
        </w:tc>
      </w:tr>
      <w:tr>
        <w:trPr>
          <w:trHeight w:val="210"/>
        </w:trPr>
        <w:tc>
          <w:tcPr>
            <w:tcW w:w="858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09"/>
        </w:trPr>
        <w:tc>
          <w:tcPr>
            <w:tcW w:w="85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(At par)</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Vesting of share-based payment awards</w:t>
            </w:r>
            <w:r>
              <w:rPr>
                <w:rFonts w:ascii="Arial" w:cs="Arial" w:eastAsia="Arial" w:hAnsi="Arial"/>
                <w:sz w:val="9"/>
                <w:szCs w:val="9"/>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share-based payment awards</w:t>
            </w:r>
            <w:r>
              <w:rPr>
                <w:rFonts w:ascii="Arial" w:cs="Arial" w:eastAsia="Arial" w:hAnsi="Arial"/>
                <w:sz w:val="9"/>
                <w:szCs w:val="9"/>
                <w:color w:val="auto"/>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 exercised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Vesting of share-based payment awards</w:t>
            </w:r>
            <w:r>
              <w:rPr>
                <w:rFonts w:ascii="Arial" w:cs="Arial" w:eastAsia="Arial" w:hAnsi="Arial"/>
                <w:sz w:val="9"/>
                <w:szCs w:val="9"/>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
        </w:trPr>
        <w:tc>
          <w:tcPr>
            <w:tcW w:w="8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6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Shown net of cancellations for tax withholdings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August 31, 2025 and 2024, we had 24.2 million and 23.8 million of repurchased shares, respectively, recorded as treasury stock at an original repurchase cost of $ 2.65 billion and $2.53 billion, respectively. Excise taxes on corporate stock repurchases are accounted for as an increase to the cost basis of our share repurchases.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fiscal 2025, we repurchased approximately 0.4 million shares of our outstanding common stock. As of August 31, 2025, the maximum number of shares that may yet be repurchased under the share repurchase program authorized by the Board equaled 3.3 million shares. We may repurchase shares of our common stock from time to time at prevailing market prices, depending on market conditions, through open market or privately negotiated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2025 or 2024, and no shares of preferred stock are outstanding.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during the periods presented (in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31.806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0.358</w:t>
            </w: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32.164</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Basic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tcPr>
          <w:p>
            <w:pPr>
              <w:ind w:left="20"/>
              <w:spacing w:after="0" w:line="19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23"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the years ended August 31, 2025, 2024, and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Organization for Economic Co-operation and Development (“OECD”) released the Global Anti-base Erosion (“GloBE”) Model Rules for Pillar Two on December 20, 2021, which defined a 15% global minimum tax. Since the model rules have been released, many countries have enacted or continue to consider changes in their tax laws and regulations based on the Pillar Two proposals, of which some are effective for us in fiscal 2025. We are continuing to evaluate the impact of these proposed and enacted legislative changes as new guidance becomes available. Pillar Two as currently enacted did not have a material impact on our financial statements as most jurisdictions in which we operate have an effective tax rate above the 15% threshold.</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4, 2025, the One Big Beautiful Bill Act (“OBBBA”) was enacted into law, introducing significant changes to corporate income tax rates and deductions. For fiscal year 2025, OBBA did not have a material impact on our financial statements. We continue to evaluate the future impact of the OBBBA for those provisions that are effective after fiscal year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during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federal taxes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Provision for current state taxes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foreign taxes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from deferred taxes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income before income taxes for our domestic and foreign operations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w:t>
            </w: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500.2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during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income tax computed at statutory rate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State income tax, net of federal income tax benefit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permanent differences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Foreign permanent differences and rate differential</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income tax liabilities as of the dates presented include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Operating lease right of use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Self-insurance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Capitalized 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9"/>
        </w:trPr>
        <w:tc>
          <w:tcPr>
            <w:tcW w:w="8420" w:type="dxa"/>
            <w:vAlign w:val="bottom"/>
          </w:tcPr>
          <w:p>
            <w:pPr>
              <w:ind w:left="22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0"/>
        </w:trPr>
        <w:tc>
          <w:tcPr>
            <w:tcW w:w="8420" w:type="dxa"/>
            <w:vAlign w:val="bottom"/>
          </w:tcPr>
          <w:p>
            <w:pPr>
              <w:ind w:left="36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2025, the estimated undistributed earnings from foreign subsidiaries was $365.4 million. We have recorded a deferred income tax liability of $0.4 million for certain foreign withholding taxes and U.S.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August 31, 2025, we had federal tax credit carryforwards of approximately $11.2 million that begin to expire in 2029, and state tax credit carryforwards of approximately $0.5 million that begin to expire in 2027. Approximately $ 11.2 million in federal tax credit carryforwards are subject to a full valuation allowance as we do not expect to realize any future tax benefit. At August 31, 2025, we had federal net operating loss carryforwards of $9.1 million that begin to expire in 2029, state net operating loss carryforwards of $27.4 million that begin to expire in 2026, and foreign net operating loss carryforwards of $15.2 million that begin to expire in 2028.</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gross amount of unrecognized tax benefits as of August 31, 2025 and 2024 totaled $18.5 million and $21.1 million, respectively. The amount of unrecognized tax benefits that would affect the Company's effective income tax rate was $18.5 million and $21.1 million as of August 31, 2025 and 2024, respectively.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2022 or for foreign income tax examinations before 2017. We anticipate that unrecognized tax benefits may decrease within the next 12 months by $5.6 million, of which $1.3 million is interest, due to the expiring of the statute of limitations.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during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settlements</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5"/>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end of year</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Total accrued interest was $2.4 million, $4.6 million, and $3.3 million as of August 31, 2025, 2024, and 2023, respectively. Income tax penalties of $0.8 million were accrued during fiscal 2025.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are routinely under audit from various tax jurisdictions. We do not currently anticipate material audit assessments.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Supplemental Disaggregated Information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of lighting, lighting controls, building management solutions, and audio, video, and control solutions, excluding services accounted for approximately 99% of total consolidated net sales in fiscal 2025, 2024, and 2023. Our geographic distribution of net sales, operating profit, income before income taxes, and long-lived assets is summarized in the following table during and as of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209"/>
        </w:trPr>
        <w:tc>
          <w:tcPr>
            <w:tcW w:w="7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02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3,756.7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3,262.9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3,412.9</w:t>
            </w:r>
          </w:p>
        </w:tc>
      </w:tr>
      <w:tr>
        <w:trPr>
          <w:trHeight w:val="216"/>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539.3</w:t>
            </w:r>
          </w:p>
        </w:tc>
      </w:tr>
      <w:tr>
        <w:trPr>
          <w:trHeight w:val="183"/>
        </w:trPr>
        <w:tc>
          <w:tcPr>
            <w:tcW w:w="7020" w:type="dxa"/>
            <w:vAlign w:val="bottom"/>
          </w:tcPr>
          <w:p>
            <w:pPr>
              <w:ind w:left="220"/>
              <w:spacing w:after="0" w:line="183" w:lineRule="exact"/>
              <w:rPr>
                <w:sz w:val="20"/>
                <w:szCs w:val="20"/>
                <w:color w:val="auto"/>
              </w:rPr>
            </w:pPr>
            <w:r>
              <w:rPr>
                <w:rFonts w:ascii="Arial" w:cs="Arial" w:eastAsia="Arial" w:hAnsi="Arial"/>
                <w:sz w:val="16"/>
                <w:szCs w:val="16"/>
                <w:color w:val="auto"/>
              </w:rPr>
              <w:t>Total net sales</w:t>
            </w: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4,345.6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3,841.0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02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323.8</w:t>
            </w:r>
          </w:p>
        </w:tc>
      </w:tr>
      <w:tr>
        <w:trPr>
          <w:trHeight w:val="215"/>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Total long-lived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sales are attributed to each country based on the selling location.</w:t>
      </w:r>
    </w:p>
    <w:p>
      <w:pPr>
        <w:spacing w:after="0" w:line="28" w:lineRule="exact"/>
        <w:rPr>
          <w:rFonts w:ascii="Arial" w:cs="Arial" w:eastAsia="Arial" w:hAnsi="Arial"/>
          <w:sz w:val="9"/>
          <w:szCs w:val="9"/>
          <w:color w:val="auto"/>
        </w:rPr>
      </w:pPr>
    </w:p>
    <w:p>
      <w:pPr>
        <w:ind w:left="640" w:hanging="308"/>
        <w:spacing w:after="0"/>
        <w:tabs>
          <w:tab w:leader="none" w:pos="640" w:val="left"/>
        </w:tabs>
        <w:numPr>
          <w:ilvl w:val="0"/>
          <w:numId w:val="19"/>
        </w:numPr>
        <w:rPr>
          <w:rFonts w:ascii="Arial" w:cs="Arial" w:eastAsia="Arial" w:hAnsi="Arial"/>
          <w:sz w:val="9"/>
          <w:szCs w:val="9"/>
          <w:color w:val="auto"/>
        </w:rPr>
      </w:pPr>
      <w:r>
        <w:rPr>
          <w:rFonts w:ascii="Arial" w:cs="Arial" w:eastAsia="Arial" w:hAnsi="Arial"/>
          <w:sz w:val="14"/>
          <w:szCs w:val="14"/>
          <w:color w:val="auto"/>
        </w:rPr>
        <w:t>Domestic amounts include amounts for U.S. based operations.</w:t>
      </w:r>
    </w:p>
    <w:p>
      <w:pPr>
        <w:spacing w:after="0" w:line="14" w:lineRule="exact"/>
        <w:rPr>
          <w:rFonts w:ascii="Arial" w:cs="Arial" w:eastAsia="Arial" w:hAnsi="Arial"/>
          <w:sz w:val="9"/>
          <w:szCs w:val="9"/>
          <w:color w:val="auto"/>
        </w:rPr>
      </w:pPr>
    </w:p>
    <w:p>
      <w:pPr>
        <w:ind w:left="660" w:hanging="328"/>
        <w:spacing w:after="0" w:line="222" w:lineRule="auto"/>
        <w:tabs>
          <w:tab w:leader="none" w:pos="65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 xml:space="preserve">Long-lived assets include net property, plant, and equipment, operating lease right-of-use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ACUITY INC.</w:t>
      </w:r>
    </w:p>
    <w:p>
      <w:pPr>
        <w:spacing w:after="0" w:line="40"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October 8, 2025, we voluntarily repaid an additional $100.0 million of our outstanding Term Loan Facility obligation.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2025. The scope of our efforts to comply with the SEC rules included all of our operations except for QSC, LLC (“QSC”), which we acquired on January 1, 2025. SEC guidance permits management to omit an assessment of an acquired business' financial reporting from management's assessment of disclosure controls and procedures for a period not to exceed one year from the date of the acquisition. This evaluation was carried out under the supervision and with the participation of management, including the principal executive officer and principal financial officer. Based on this evaluation, which as discussed herein excluded the operations of QSC, these officers have concluded that the design and operation of our disclosure controls and procedures are effective at a reasonable assurance level as of August 31, 2025. As of August 31, 2025, QSC assets and net assets after excluding acquired goodwill and intangible assets constituted 7% of both the Company’s consolidated total assets and net assets. For the year ended August 31, 2025, QSC net sales and pre-tax income constituted 10% of the Company's net sales and 4% of the Company's pre-tax income, respectively.</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2025 Financial Statements in Item 8 of this Annual Report on Form 10-K, under the headings, </w:t>
      </w: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Internal Control Over Financial Reporting, respectively, and are incorporated herein by reference.</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our most recent quarter that have materially affected, or are reasonably likely to materially affect, our internal control over financial reporting.</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fourth quarter of fiscal 2025, none of our directors or Section 16 officers adopted or terminated any “Rule 10b5-1 trading arrangement” or “non-Rule 10b5-1 trading arrangement” (as each term is defined an Item 408(a) of Regulation S-K).</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2025, the Company’s Board of Directors approved up to 50 hours per fiscal year of personal use of Company-leased, operated, owned, or chartered aircraft by the Company’s Chairman, President and Chief Executive Officer (the “CEO”), beginning in fiscal 2026. The Board approved this personal use to enhance the security, safety, and business productivity and availability of the CEO while traveling. The Company does not intend to provide any tax reimbursement or make-whole payments to the CEO relating to such personal use.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will be included under the caption </w:t>
      </w:r>
      <w:r>
        <w:rPr>
          <w:rFonts w:ascii="Arial" w:cs="Arial" w:eastAsia="Arial" w:hAnsi="Arial"/>
          <w:sz w:val="18"/>
          <w:szCs w:val="18"/>
          <w:i w:val="1"/>
          <w:iCs w:val="1"/>
          <w:color w:val="auto"/>
        </w:rPr>
        <w:t>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Information </w:t>
      </w:r>
      <w:r>
        <w:rPr>
          <w:rFonts w:ascii="Arial" w:cs="Arial" w:eastAsia="Arial" w:hAnsi="Arial"/>
          <w:sz w:val="18"/>
          <w:szCs w:val="18"/>
          <w:color w:val="auto"/>
        </w:rPr>
        <w:t>of our proxy statement for the annual meeting of stockholders to be held January 21, 2026, to</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with the Securities and Exchange Commission pursuant to Regulation 14A, and is incorporated herein by reference.</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21, 2026, to be filed with the Securities and Exchange Commission pursuant to Regulation 14A, and is incorporated herein by reference.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captions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2026, to be filed with the Securities and Exchange Commission pursuant to Regulation 14A, and is incorporated herein by reference.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adopted an insider trading policy that governs the purchase, sale, and/or other dispositions of our securities (and related derivative securities) by directors, officers and employees, other covered persons, and the Company and is designed to promote compliance with insider trading laws, rules and regulations, and listing standards applicable to the Company. A copy of the Company’s insider trading policy is filed as Exhibit 19 to this Annual Report on Form 10-K.</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Director Information, Board and Committees (</w:t>
      </w:r>
      <w:r>
        <w:rPr>
          <w:rFonts w:ascii="Arial" w:cs="Arial" w:eastAsia="Arial" w:hAnsi="Arial"/>
          <w:sz w:val="18"/>
          <w:szCs w:val="18"/>
          <w:color w:val="auto"/>
        </w:rPr>
        <w:t xml:space="preserve">including </w:t>
      </w:r>
      <w:r>
        <w:rPr>
          <w:rFonts w:ascii="Arial" w:cs="Arial" w:eastAsia="Arial" w:hAnsi="Arial"/>
          <w:sz w:val="18"/>
          <w:szCs w:val="18"/>
          <w:i w:val="1"/>
          <w:iCs w:val="1"/>
          <w:color w:val="auto"/>
        </w:rPr>
        <w:t xml:space="preserve">Compensation Committee Interlocks and Insider Participation), Compensation of Directors, Compensation Discussion and Analysis, Equity Award Grant Practices, Report of the Compensation and Management Development Committee, Fiscal 2025 Summary Compensation Table, Fiscal 2025 Grants of Plan-Based Awards, Outstanding Equity Awards at Fiscal 2025 Year-End, Option Exercises and Stock Vested in Fiscal 2025, Pension Benefits in Fiscal 2025, Fiscal 2025 Non-Qualified Deferred Compensation, Employment Arrangements, Potential Payments upon Termination, CEO Pay Ratio,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 statement for the annual meeting of stockholders to be held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21, 2026, to be filed with the Securities and Exchange Commission pursuant to Regulation 14A, and is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Beneficial Ownership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Company’s Securities </w:t>
      </w:r>
      <w:r>
        <w:rPr>
          <w:rFonts w:ascii="Arial" w:cs="Arial" w:eastAsia="Arial" w:hAnsi="Arial"/>
          <w:sz w:val="18"/>
          <w:szCs w:val="18"/>
          <w:color w:val="auto"/>
        </w:rPr>
        <w:t>of our proxy statement for the annual meeting of stockholders to be held January 21, 2026,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Certain Relationships and Related Party Transactions,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Board and Committees </w:t>
      </w:r>
      <w:r>
        <w:rPr>
          <w:rFonts w:ascii="Arial" w:cs="Arial" w:eastAsia="Arial" w:hAnsi="Arial"/>
          <w:sz w:val="18"/>
          <w:szCs w:val="18"/>
          <w:color w:val="auto"/>
        </w:rPr>
        <w:t>of our proxy statement for the annual meeting of stockholders to be held January 21, 2026,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pursuant to Regulation 14A, and is incorporated herein by reference.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Ernst &amp; Young LLP, PCAOB ID: 42.</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information required by this item concerning our principal accountant will be included under the captions </w:t>
      </w:r>
      <w:r>
        <w:rPr>
          <w:rFonts w:ascii="Arial" w:cs="Arial" w:eastAsia="Arial" w:hAnsi="Arial"/>
          <w:sz w:val="18"/>
          <w:szCs w:val="18"/>
          <w:i w:val="1"/>
          <w:iCs w:val="1"/>
          <w:color w:val="auto"/>
        </w:rPr>
        <w:t>Audit Fees and Other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Preapproval Policies and 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the Audit Committee </w:t>
      </w:r>
      <w:r>
        <w:rPr>
          <w:rFonts w:ascii="Arial" w:cs="Arial" w:eastAsia="Arial" w:hAnsi="Arial"/>
          <w:sz w:val="18"/>
          <w:szCs w:val="18"/>
          <w:color w:val="auto"/>
        </w:rPr>
        <w:t>of our proxy statement for the annual meeting of stockholders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January 21, 2026, to be filed with 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800" w:type="dxa"/>
            <w:vAlign w:val="bottom"/>
            <w:gridSpan w:val="7"/>
          </w:tcPr>
          <w:p>
            <w:pPr>
              <w:ind w:left="108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1"/>
                <w:szCs w:val="21"/>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300" w:type="dxa"/>
            <w:vAlign w:val="bottom"/>
            <w:gridSpan w:val="8"/>
          </w:tcPr>
          <w:p>
            <w:pPr>
              <w:ind w:left="6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30"/>
        </w:trPr>
        <w:tc>
          <w:tcPr>
            <w:tcW w:w="11000" w:type="dxa"/>
            <w:vAlign w:val="bottom"/>
            <w:gridSpan w:val="9"/>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49"/>
        </w:trPr>
        <w:tc>
          <w:tcPr>
            <w:tcW w:w="11000" w:type="dxa"/>
            <w:vAlign w:val="bottom"/>
            <w:gridSpan w:val="9"/>
          </w:tcPr>
          <w:p>
            <w:pPr>
              <w:ind w:left="2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color w:val="0000FF"/>
              </w:rPr>
              <w:t>Management’s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32</w:t>
            </w:r>
          </w:p>
        </w:tc>
      </w:tr>
      <w:tr>
        <w:trPr>
          <w:trHeight w:val="210"/>
        </w:trPr>
        <w:tc>
          <w:tcPr>
            <w:tcW w:w="700" w:type="dxa"/>
            <w:vAlign w:val="bottom"/>
          </w:tcPr>
          <w:p>
            <w:pPr>
              <w:spacing w:after="0"/>
              <w:rPr>
                <w:sz w:val="18"/>
                <w:szCs w:val="18"/>
                <w:color w:val="auto"/>
              </w:rPr>
            </w:pPr>
          </w:p>
        </w:tc>
        <w:tc>
          <w:tcPr>
            <w:tcW w:w="4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Reports of Independent Registered Public Accounting Firm</w:t>
            </w:r>
          </w:p>
        </w:tc>
        <w:tc>
          <w:tcPr>
            <w:tcW w:w="600" w:type="dxa"/>
            <w:vAlign w:val="bottom"/>
            <w:tcBorders>
              <w:top w:val="single" w:sz="8" w:color="0000FF"/>
            </w:tcBorders>
            <w:gridSpan w:val="2"/>
          </w:tcPr>
          <w:p>
            <w:pPr>
              <w:spacing w:after="0"/>
              <w:rPr>
                <w:sz w:val="18"/>
                <w:szCs w:val="18"/>
                <w:color w:val="auto"/>
              </w:rPr>
            </w:pPr>
          </w:p>
        </w:tc>
        <w:tc>
          <w:tcPr>
            <w:tcW w:w="500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89"/>
              </w:rPr>
              <w:t>33</w:t>
            </w:r>
          </w:p>
        </w:tc>
      </w:tr>
      <w:tr>
        <w:trPr>
          <w:trHeight w:val="210"/>
        </w:trPr>
        <w:tc>
          <w:tcPr>
            <w:tcW w:w="70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Balance Sheets as of August 31, 2025 and 2024</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37</w:t>
            </w:r>
          </w:p>
        </w:tc>
      </w:tr>
      <w:tr>
        <w:trPr>
          <w:trHeight w:val="20"/>
        </w:trPr>
        <w:tc>
          <w:tcPr>
            <w:tcW w:w="7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Comprehensive Income for the years ended August 31, 2025, 2024, and 2023</w:t>
            </w:r>
          </w:p>
        </w:tc>
        <w:tc>
          <w:tcPr>
            <w:tcW w:w="18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209"/>
        </w:trPr>
        <w:tc>
          <w:tcPr>
            <w:tcW w:w="700" w:type="dxa"/>
            <w:vAlign w:val="bottom"/>
          </w:tcPr>
          <w:p>
            <w:pPr>
              <w:spacing w:after="0"/>
              <w:rPr>
                <w:sz w:val="18"/>
                <w:szCs w:val="18"/>
                <w:color w:val="auto"/>
              </w:rPr>
            </w:pPr>
          </w:p>
        </w:tc>
        <w:tc>
          <w:tcPr>
            <w:tcW w:w="7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 for the years ended August 31, 2025, 2024, and 2023</w:t>
            </w:r>
          </w:p>
        </w:tc>
        <w:tc>
          <w:tcPr>
            <w:tcW w:w="278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209"/>
        </w:trPr>
        <w:tc>
          <w:tcPr>
            <w:tcW w:w="70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2025, 2024, and 2023</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40</w:t>
            </w:r>
          </w:p>
        </w:tc>
      </w:tr>
      <w:tr>
        <w:trPr>
          <w:trHeight w:val="210"/>
        </w:trPr>
        <w:tc>
          <w:tcPr>
            <w:tcW w:w="700" w:type="dxa"/>
            <w:vAlign w:val="bottom"/>
          </w:tcPr>
          <w:p>
            <w:pPr>
              <w:spacing w:after="0"/>
              <w:rPr>
                <w:sz w:val="18"/>
                <w:szCs w:val="18"/>
                <w:color w:val="auto"/>
              </w:rPr>
            </w:pPr>
          </w:p>
        </w:tc>
        <w:tc>
          <w:tcPr>
            <w:tcW w:w="82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100" w:type="dxa"/>
            <w:vAlign w:val="bottom"/>
            <w:gridSpan w:val="2"/>
          </w:tcPr>
          <w:p>
            <w:pPr>
              <w:spacing w:after="0"/>
              <w:rPr>
                <w:sz w:val="18"/>
                <w:szCs w:val="18"/>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41</w:t>
            </w:r>
          </w:p>
        </w:tc>
      </w:tr>
      <w:tr>
        <w:trPr>
          <w:trHeight w:val="20"/>
        </w:trPr>
        <w:tc>
          <w:tcPr>
            <w:tcW w:w="7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700" w:hanging="4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31" w:lineRule="exact"/>
        <w:rPr>
          <w:rFonts w:ascii="Arial" w:cs="Arial" w:eastAsia="Arial" w:hAnsi="Arial"/>
          <w:sz w:val="18"/>
          <w:szCs w:val="18"/>
          <w:color w:val="auto"/>
        </w:rPr>
      </w:pPr>
    </w:p>
    <w:p>
      <w:pPr>
        <w:ind w:left="700" w:right="1520"/>
        <w:spacing w:after="0" w:line="234" w:lineRule="auto"/>
        <w:rPr>
          <w:rFonts w:ascii="Arial" w:cs="Arial" w:eastAsia="Arial" w:hAnsi="Arial"/>
          <w:sz w:val="18"/>
          <w:szCs w:val="18"/>
          <w:color w:val="auto"/>
        </w:rPr>
      </w:pPr>
      <w:r>
        <w:rPr>
          <w:rFonts w:ascii="Arial" w:cs="Arial" w:eastAsia="Arial" w:hAnsi="Arial"/>
          <w:sz w:val="18"/>
          <w:szCs w:val="18"/>
          <w:color w:val="auto"/>
        </w:rPr>
        <w:t>Any of Schedules I through V not listed above have been omitted because they are not applicable or the required information is included in the consolidated financial statements or notes thereto</w:t>
      </w:r>
    </w:p>
    <w:p>
      <w:pPr>
        <w:spacing w:after="0" w:line="5" w:lineRule="exact"/>
        <w:rPr>
          <w:rFonts w:ascii="Arial" w:cs="Arial" w:eastAsia="Arial" w:hAnsi="Arial"/>
          <w:sz w:val="18"/>
          <w:szCs w:val="18"/>
          <w:color w:val="auto"/>
        </w:rPr>
      </w:pPr>
    </w:p>
    <w:p>
      <w:pPr>
        <w:ind w:left="700" w:hanging="4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31" w:lineRule="exact"/>
        <w:rPr>
          <w:rFonts w:ascii="Arial" w:cs="Arial" w:eastAsia="Arial" w:hAnsi="Arial"/>
          <w:sz w:val="18"/>
          <w:szCs w:val="18"/>
          <w:color w:val="auto"/>
        </w:rPr>
      </w:pPr>
    </w:p>
    <w:p>
      <w:pPr>
        <w:ind w:left="700" w:right="840"/>
        <w:spacing w:after="0" w:line="234"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Inc., Investor Relations Department, 1170 Peachtree Street, N.E., Suite 1200, Atlanta, Georgia 30309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45"/>
        </w:trPr>
        <w:tc>
          <w:tcPr>
            <w:tcW w:w="1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5"/>
          </w:tcPr>
          <w:p>
            <w:pPr>
              <w:ind w:left="380"/>
              <w:spacing w:after="0"/>
              <w:rPr>
                <w:sz w:val="20"/>
                <w:szCs w:val="20"/>
                <w:color w:val="auto"/>
              </w:rPr>
            </w:pPr>
            <w:r>
              <w:rPr>
                <w:rFonts w:ascii="Arial" w:cs="Arial" w:eastAsia="Arial" w:hAnsi="Arial"/>
                <w:sz w:val="18"/>
                <w:szCs w:val="18"/>
                <w:b w:val="1"/>
                <w:bCs w:val="1"/>
                <w:color w:val="auto"/>
              </w:rPr>
              <w:t>INDEX TO EXHIBITS</w:t>
            </w:r>
          </w:p>
        </w:tc>
      </w:tr>
      <w:tr>
        <w:trPr>
          <w:trHeight w:val="204"/>
        </w:trPr>
        <w:tc>
          <w:tcPr>
            <w:tcW w:w="17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EXHIBIT 3</w:t>
            </w:r>
          </w:p>
        </w:tc>
        <w:tc>
          <w:tcPr>
            <w:tcW w:w="680" w:type="dxa"/>
            <w:vAlign w:val="bottom"/>
          </w:tcPr>
          <w:p>
            <w:pPr>
              <w:ind w:left="300"/>
              <w:spacing w:after="0" w:line="204" w:lineRule="exact"/>
              <w:rPr>
                <w:sz w:val="20"/>
                <w:szCs w:val="20"/>
                <w:color w:val="auto"/>
              </w:rPr>
            </w:pPr>
            <w:r>
              <w:rPr>
                <w:rFonts w:ascii="Arial" w:cs="Arial" w:eastAsia="Arial" w:hAnsi="Arial"/>
                <w:sz w:val="18"/>
                <w:szCs w:val="18"/>
                <w:color w:val="auto"/>
              </w:rPr>
              <w:t>(a)</w:t>
            </w:r>
          </w:p>
        </w:tc>
        <w:tc>
          <w:tcPr>
            <w:tcW w:w="4360" w:type="dxa"/>
            <w:vAlign w:val="bottom"/>
            <w:gridSpan w:val="32"/>
          </w:tcPr>
          <w:p>
            <w:pPr>
              <w:spacing w:after="0" w:line="204" w:lineRule="exact"/>
              <w:rPr>
                <w:rFonts w:ascii="Arial" w:cs="Arial" w:eastAsia="Arial" w:hAnsi="Arial"/>
                <w:sz w:val="18"/>
                <w:szCs w:val="18"/>
                <w:color w:val="0000FF"/>
              </w:rPr>
            </w:pPr>
            <w:hyperlink r:id="rId152">
              <w:r>
                <w:rPr>
                  <w:rFonts w:ascii="Arial" w:cs="Arial" w:eastAsia="Arial" w:hAnsi="Arial"/>
                  <w:sz w:val="18"/>
                  <w:szCs w:val="18"/>
                  <w:color w:val="0000FF"/>
                </w:rPr>
                <w:t>Restated Certificate of Incorporation of Acuity</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Brands, Inc., dated as of January 25, 2024.</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(b)</w:t>
            </w:r>
          </w:p>
        </w:tc>
        <w:tc>
          <w:tcPr>
            <w:tcW w:w="4360" w:type="dxa"/>
            <w:vAlign w:val="bottom"/>
            <w:gridSpan w:val="32"/>
          </w:tcPr>
          <w:p>
            <w:pPr>
              <w:spacing w:after="0"/>
              <w:rPr>
                <w:rFonts w:ascii="Arial" w:cs="Arial" w:eastAsia="Arial" w:hAnsi="Arial"/>
                <w:sz w:val="18"/>
                <w:szCs w:val="18"/>
                <w:color w:val="0000FF"/>
              </w:rPr>
            </w:pPr>
            <w:hyperlink r:id="rId153">
              <w:r>
                <w:rPr>
                  <w:rFonts w:ascii="Arial" w:cs="Arial" w:eastAsia="Arial" w:hAnsi="Arial"/>
                  <w:sz w:val="18"/>
                  <w:szCs w:val="18"/>
                  <w:color w:val="0000FF"/>
                </w:rPr>
                <w:t>Certificate of Amendment to the Restated Certificate</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of Incorporation of Acuity Inc., effective as of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53">
              <w:r>
                <w:rPr>
                  <w:rFonts w:ascii="Arial" w:cs="Arial" w:eastAsia="Arial" w:hAnsi="Arial"/>
                  <w:sz w:val="18"/>
                  <w:szCs w:val="18"/>
                  <w:color w:val="0000FF"/>
                  <w:w w:val="98"/>
                </w:rPr>
                <w:t>26, 2025.</w:t>
              </w:r>
            </w:hyperlink>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(c)</w:t>
            </w:r>
          </w:p>
        </w:tc>
        <w:tc>
          <w:tcPr>
            <w:tcW w:w="4360" w:type="dxa"/>
            <w:vAlign w:val="bottom"/>
            <w:gridSpan w:val="32"/>
          </w:tcPr>
          <w:p>
            <w:pPr>
              <w:spacing w:after="0"/>
              <w:rPr>
                <w:rFonts w:ascii="Arial" w:cs="Arial" w:eastAsia="Arial" w:hAnsi="Arial"/>
                <w:sz w:val="18"/>
                <w:szCs w:val="18"/>
                <w:color w:val="0000FF"/>
              </w:rPr>
            </w:pPr>
            <w:hyperlink r:id="rId154">
              <w:r>
                <w:rPr>
                  <w:rFonts w:ascii="Arial" w:cs="Arial" w:eastAsia="Arial" w:hAnsi="Arial"/>
                  <w:sz w:val="18"/>
                  <w:szCs w:val="18"/>
                  <w:color w:val="0000FF"/>
                </w:rPr>
                <w:t>Amended and Restated Bylaws of Acuity Inc.,</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effective as of March 26, 2025.</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EXHIBIT 4</w:t>
            </w:r>
          </w:p>
        </w:tc>
        <w:tc>
          <w:tcPr>
            <w:tcW w:w="680" w:type="dxa"/>
            <w:vAlign w:val="bottom"/>
          </w:tcPr>
          <w:p>
            <w:pPr>
              <w:ind w:left="300"/>
              <w:spacing w:after="0"/>
              <w:rPr>
                <w:sz w:val="20"/>
                <w:szCs w:val="20"/>
                <w:color w:val="auto"/>
              </w:rPr>
            </w:pPr>
            <w:r>
              <w:rPr>
                <w:rFonts w:ascii="Arial" w:cs="Arial" w:eastAsia="Arial" w:hAnsi="Arial"/>
                <w:sz w:val="18"/>
                <w:szCs w:val="18"/>
                <w:color w:val="auto"/>
              </w:rPr>
              <w:t>(a)</w:t>
            </w:r>
          </w:p>
        </w:tc>
        <w:tc>
          <w:tcPr>
            <w:tcW w:w="20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Description of Securities.</w:t>
            </w:r>
          </w:p>
        </w:tc>
        <w:tc>
          <w:tcPr>
            <w:tcW w:w="460" w:type="dxa"/>
            <w:vAlign w:val="bottom"/>
            <w:tcBorders>
              <w:top w:val="single" w:sz="8" w:color="0000FF"/>
            </w:tcBorders>
          </w:tcPr>
          <w:p>
            <w:pPr>
              <w:spacing w:after="0"/>
              <w:rPr>
                <w:sz w:val="24"/>
                <w:szCs w:val="24"/>
                <w:color w:val="auto"/>
              </w:rPr>
            </w:pPr>
          </w:p>
        </w:tc>
        <w:tc>
          <w:tcPr>
            <w:tcW w:w="1900" w:type="dxa"/>
            <w:vAlign w:val="bottom"/>
            <w:gridSpan w:val="24"/>
          </w:tcPr>
          <w:p>
            <w:pPr>
              <w:spacing w:after="0"/>
              <w:rPr>
                <w:sz w:val="24"/>
                <w:szCs w:val="24"/>
                <w:color w:val="auto"/>
              </w:rPr>
            </w:pPr>
          </w:p>
        </w:tc>
      </w:tr>
      <w:tr>
        <w:trPr>
          <w:trHeight w:val="398"/>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(b)</w:t>
            </w:r>
          </w:p>
        </w:tc>
        <w:tc>
          <w:tcPr>
            <w:tcW w:w="4360" w:type="dxa"/>
            <w:vAlign w:val="bottom"/>
            <w:gridSpan w:val="32"/>
          </w:tcPr>
          <w:p>
            <w:pPr>
              <w:spacing w:after="0"/>
              <w:rPr>
                <w:rFonts w:ascii="Arial" w:cs="Arial" w:eastAsia="Arial" w:hAnsi="Arial"/>
                <w:sz w:val="18"/>
                <w:szCs w:val="18"/>
                <w:color w:val="0000FF"/>
              </w:rPr>
            </w:pPr>
            <w:hyperlink r:id="rId155">
              <w:r>
                <w:rPr>
                  <w:rFonts w:ascii="Arial" w:cs="Arial" w:eastAsia="Arial" w:hAnsi="Arial"/>
                  <w:sz w:val="18"/>
                  <w:szCs w:val="18"/>
                  <w:color w:val="0000FF"/>
                </w:rPr>
                <w:t>Indenture, dated as of November 10, 2020, between</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Acuity Brands Lighting, Inc. and U.S.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(c)</w:t>
            </w:r>
          </w:p>
        </w:tc>
        <w:tc>
          <w:tcPr>
            <w:tcW w:w="4360" w:type="dxa"/>
            <w:vAlign w:val="bottom"/>
            <w:gridSpan w:val="32"/>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First Supplemental Indenture, dated as of November</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10, 2020, among Acuity Brands Lighting, Inc., Acuity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Brands, Inc. and ABL IP Holding, LLC, and U.S.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Bank National Association, as trustee.</w:t>
              </w:r>
            </w:hyperlink>
          </w:p>
        </w:tc>
        <w:tc>
          <w:tcPr>
            <w:tcW w:w="7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(d)</w:t>
            </w:r>
          </w:p>
        </w:tc>
        <w:tc>
          <w:tcPr>
            <w:tcW w:w="4360" w:type="dxa"/>
            <w:vAlign w:val="bottom"/>
            <w:gridSpan w:val="32"/>
          </w:tcPr>
          <w:p>
            <w:pPr>
              <w:spacing w:after="0"/>
              <w:rPr>
                <w:rFonts w:ascii="Arial" w:cs="Arial" w:eastAsia="Arial" w:hAnsi="Arial"/>
                <w:sz w:val="18"/>
                <w:szCs w:val="18"/>
                <w:color w:val="0000FF"/>
              </w:rPr>
            </w:pPr>
            <w:hyperlink r:id="rId157">
              <w:r>
                <w:rPr>
                  <w:rFonts w:ascii="Arial" w:cs="Arial" w:eastAsia="Arial" w:hAnsi="Arial"/>
                  <w:sz w:val="18"/>
                  <w:szCs w:val="18"/>
                  <w:color w:val="0000FF"/>
                </w:rPr>
                <w:t>Officer’s Certificate, dated as of November 10, 2020,</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pursuant to Sections 3.01 and 3.03 of the Indenture,</w:t>
              </w:r>
            </w:hyperlink>
          </w:p>
        </w:tc>
        <w:tc>
          <w:tcPr>
            <w:tcW w:w="20" w:type="dxa"/>
            <w:vAlign w:val="bottom"/>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dated November 10, 2020, setting forth the terms of</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the 2.150% Senior Notes due 2030. the 2.150%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Senior Notes due 2030.</w:t>
              </w:r>
            </w:hyperlink>
          </w:p>
        </w:tc>
        <w:tc>
          <w:tcPr>
            <w:tcW w:w="194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(e)</w:t>
            </w:r>
          </w:p>
        </w:tc>
        <w:tc>
          <w:tcPr>
            <w:tcW w:w="4360" w:type="dxa"/>
            <w:vAlign w:val="bottom"/>
            <w:gridSpan w:val="32"/>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2.150% Senior Notes due 2030 (included in</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57">
              <w:r>
                <w:rPr>
                  <w:rFonts w:ascii="Arial" w:cs="Arial" w:eastAsia="Arial" w:hAnsi="Arial"/>
                  <w:sz w:val="18"/>
                  <w:szCs w:val="18"/>
                  <w:color w:val="0000FF"/>
                  <w:w w:val="98"/>
                </w:rPr>
                <w:t>Exhibit 4.3).</w:t>
              </w:r>
            </w:hyperlink>
          </w:p>
        </w:tc>
        <w:tc>
          <w:tcPr>
            <w:tcW w:w="32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74"/>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(f)</w:t>
            </w:r>
          </w:p>
        </w:tc>
        <w:tc>
          <w:tcPr>
            <w:tcW w:w="4360" w:type="dxa"/>
            <w:vAlign w:val="bottom"/>
            <w:gridSpan w:val="32"/>
          </w:tcPr>
          <w:p>
            <w:pPr>
              <w:spacing w:after="0"/>
              <w:rPr>
                <w:rFonts w:ascii="Arial" w:cs="Arial" w:eastAsia="Arial" w:hAnsi="Arial"/>
                <w:sz w:val="18"/>
                <w:szCs w:val="18"/>
                <w:color w:val="0000FF"/>
              </w:rPr>
            </w:pPr>
            <w:hyperlink r:id="rId158">
              <w:r>
                <w:rPr>
                  <w:rFonts w:ascii="Arial" w:cs="Arial" w:eastAsia="Arial" w:hAnsi="Arial"/>
                  <w:sz w:val="18"/>
                  <w:szCs w:val="18"/>
                  <w:color w:val="0000FF"/>
                </w:rPr>
                <w:t>Indenture, dated as of July 28, 2025, among Acuity</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Inc., Acuity Brands Lighting, Inc., ABL IP Holding</w:t>
              </w:r>
            </w:hyperlink>
          </w:p>
        </w:tc>
        <w:tc>
          <w:tcPr>
            <w:tcW w:w="16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60" w:type="dxa"/>
            <w:vAlign w:val="bottom"/>
            <w:gridSpan w:val="32"/>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LLC, Acuity Intelligent Spaces Inc., QSC, LLC and</w:t>
              </w:r>
            </w:hyperlink>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94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60" w:type="dxa"/>
            <w:vAlign w:val="bottom"/>
            <w:gridSpan w:val="32"/>
          </w:tcPr>
          <w:p>
            <w:pPr>
              <w:spacing w:after="0" w:line="169" w:lineRule="exact"/>
              <w:rPr>
                <w:rFonts w:ascii="Arial" w:cs="Arial" w:eastAsia="Arial" w:hAnsi="Arial"/>
                <w:sz w:val="18"/>
                <w:szCs w:val="18"/>
                <w:color w:val="0000FF"/>
              </w:rPr>
            </w:pPr>
            <w:hyperlink r:id="rId158">
              <w:r>
                <w:rPr>
                  <w:rFonts w:ascii="Arial" w:cs="Arial" w:eastAsia="Arial" w:hAnsi="Arial"/>
                  <w:sz w:val="18"/>
                  <w:szCs w:val="18"/>
                  <w:color w:val="0000FF"/>
                </w:rPr>
                <w:t>U.S. Bank Trust Company, National Association, as</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trustee.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9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EXHIBIT 10(i)</w:t>
            </w:r>
          </w:p>
        </w:tc>
        <w:tc>
          <w:tcPr>
            <w:tcW w:w="680" w:type="dxa"/>
            <w:vAlign w:val="bottom"/>
          </w:tcPr>
          <w:p>
            <w:pPr>
              <w:ind w:left="300"/>
              <w:spacing w:after="0"/>
              <w:rPr>
                <w:sz w:val="20"/>
                <w:szCs w:val="20"/>
                <w:color w:val="auto"/>
              </w:rPr>
            </w:pPr>
            <w:r>
              <w:rPr>
                <w:rFonts w:ascii="Arial" w:cs="Arial" w:eastAsia="Arial" w:hAnsi="Arial"/>
                <w:sz w:val="18"/>
                <w:szCs w:val="18"/>
                <w:color w:val="auto"/>
              </w:rPr>
              <w:t>(1)</w:t>
            </w:r>
          </w:p>
        </w:tc>
        <w:tc>
          <w:tcPr>
            <w:tcW w:w="4000" w:type="dxa"/>
            <w:vAlign w:val="bottom"/>
            <w:tcBorders>
              <w:bottom w:val="single" w:sz="8" w:color="0000FF"/>
            </w:tcBorders>
            <w:gridSpan w:val="16"/>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Five-Year Credit Agreement dated June 30, 2022.</w:t>
              </w:r>
            </w:hyperlink>
          </w:p>
        </w:tc>
        <w:tc>
          <w:tcPr>
            <w:tcW w:w="360" w:type="dxa"/>
            <w:vAlign w:val="bottom"/>
            <w:gridSpan w:val="16"/>
          </w:tcPr>
          <w:p>
            <w:pPr>
              <w:spacing w:after="0"/>
              <w:rPr>
                <w:sz w:val="19"/>
                <w:szCs w:val="19"/>
                <w:color w:val="auto"/>
              </w:rPr>
            </w:pPr>
          </w:p>
        </w:tc>
      </w:tr>
      <w:tr>
        <w:trPr>
          <w:trHeight w:val="574"/>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(2)</w:t>
            </w:r>
          </w:p>
        </w:tc>
        <w:tc>
          <w:tcPr>
            <w:tcW w:w="4360" w:type="dxa"/>
            <w:vAlign w:val="bottom"/>
            <w:gridSpan w:val="32"/>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Amendment No. 1 to Credit Agreement, dated as of</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November 25, 2024, by and among Acuity Brands,</w:t>
              </w:r>
            </w:hyperlink>
          </w:p>
        </w:tc>
        <w:tc>
          <w:tcPr>
            <w:tcW w:w="8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60" w:type="dxa"/>
            <w:vAlign w:val="bottom"/>
            <w:gridSpan w:val="32"/>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Inc., Acuity Brands Lighting, Inc., J.P. Morgan Chase</w:t>
              </w:r>
            </w:hyperlink>
          </w:p>
        </w:tc>
      </w:tr>
      <w:tr>
        <w:trPr>
          <w:trHeight w:val="169"/>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60">
              <w:r>
                <w:rPr>
                  <w:rFonts w:ascii="Arial" w:cs="Arial" w:eastAsia="Arial" w:hAnsi="Arial"/>
                  <w:sz w:val="18"/>
                  <w:szCs w:val="18"/>
                  <w:color w:val="0000FF"/>
                </w:rPr>
                <w:t>Bank, N.A., as administrative agent, and the lenders</w:t>
              </w:r>
            </w:hyperlink>
          </w:p>
        </w:tc>
        <w:tc>
          <w:tcPr>
            <w:tcW w:w="40" w:type="dxa"/>
            <w:vAlign w:val="bottom"/>
            <w:gridSpan w:val="2"/>
          </w:tcPr>
          <w:p>
            <w:pPr>
              <w:spacing w:after="0"/>
              <w:rPr>
                <w:sz w:val="14"/>
                <w:szCs w:val="14"/>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party thereto.</w:t>
              </w:r>
            </w:hyperlink>
          </w:p>
        </w:tc>
        <w:tc>
          <w:tcPr>
            <w:tcW w:w="160" w:type="dxa"/>
            <w:vAlign w:val="bottom"/>
            <w:gridSpan w:val="8"/>
          </w:tcPr>
          <w:p>
            <w:pPr>
              <w:spacing w:after="0"/>
              <w:rPr>
                <w:sz w:val="13"/>
                <w:szCs w:val="13"/>
                <w:color w:val="auto"/>
              </w:rPr>
            </w:pPr>
          </w:p>
        </w:tc>
      </w:tr>
      <w:tr>
        <w:trPr>
          <w:trHeight w:val="20"/>
        </w:trPr>
        <w:tc>
          <w:tcPr>
            <w:tcW w:w="1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300" w:type="dxa"/>
            <w:vAlign w:val="bottom"/>
            <w:gridSpan w:val="28"/>
          </w:tcPr>
          <w:p>
            <w:pPr>
              <w:spacing w:after="0" w:line="20" w:lineRule="exact"/>
              <w:rPr>
                <w:sz w:val="1"/>
                <w:szCs w:val="1"/>
                <w:color w:val="auto"/>
              </w:rPr>
            </w:pPr>
          </w:p>
        </w:tc>
      </w:tr>
      <w:tr>
        <w:trPr>
          <w:trHeight w:val="326"/>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EXHIBIT 10(iii)A</w:t>
            </w:r>
          </w:p>
        </w:tc>
        <w:tc>
          <w:tcPr>
            <w:tcW w:w="680" w:type="dxa"/>
            <w:vAlign w:val="bottom"/>
          </w:tcPr>
          <w:p>
            <w:pPr>
              <w:spacing w:after="0"/>
              <w:rPr>
                <w:sz w:val="24"/>
                <w:szCs w:val="24"/>
                <w:color w:val="auto"/>
              </w:rPr>
            </w:pPr>
          </w:p>
        </w:tc>
        <w:tc>
          <w:tcPr>
            <w:tcW w:w="4360" w:type="dxa"/>
            <w:vAlign w:val="bottom"/>
            <w:gridSpan w:val="32"/>
          </w:tcPr>
          <w:p>
            <w:pPr>
              <w:ind w:left="80"/>
              <w:spacing w:after="0"/>
              <w:rPr>
                <w:sz w:val="20"/>
                <w:szCs w:val="20"/>
                <w:color w:val="auto"/>
              </w:rPr>
            </w:pPr>
            <w:r>
              <w:rPr>
                <w:rFonts w:ascii="Arial" w:cs="Arial" w:eastAsia="Arial" w:hAnsi="Arial"/>
                <w:sz w:val="18"/>
                <w:szCs w:val="18"/>
                <w:color w:val="auto"/>
              </w:rPr>
              <w:t>Management Contracts and Compensatory</w:t>
            </w:r>
          </w:p>
        </w:tc>
      </w:tr>
      <w:tr>
        <w:trPr>
          <w:trHeight w:val="239"/>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60" w:type="dxa"/>
            <w:vAlign w:val="bottom"/>
            <w:gridSpan w:val="32"/>
          </w:tcPr>
          <w:p>
            <w:pPr>
              <w:ind w:left="80"/>
              <w:spacing w:after="0"/>
              <w:rPr>
                <w:sz w:val="20"/>
                <w:szCs w:val="20"/>
                <w:color w:val="auto"/>
              </w:rPr>
            </w:pPr>
            <w:r>
              <w:rPr>
                <w:rFonts w:ascii="Arial" w:cs="Arial" w:eastAsia="Arial" w:hAnsi="Arial"/>
                <w:sz w:val="18"/>
                <w:szCs w:val="18"/>
                <w:color w:val="auto"/>
              </w:rPr>
              <w:t>Arrangements:</w:t>
            </w:r>
          </w:p>
        </w:tc>
      </w:tr>
    </w:tbl>
    <w:p>
      <w:pPr>
        <w:ind w:left="2000"/>
        <w:spacing w:after="0" w:line="229" w:lineRule="auto"/>
        <w:tabs>
          <w:tab w:leader="none" w:pos="2440" w:val="left"/>
        </w:tabs>
        <w:rPr>
          <w:rFonts w:ascii="Arial" w:cs="Arial" w:eastAsia="Arial" w:hAnsi="Arial"/>
          <w:sz w:val="18"/>
          <w:szCs w:val="18"/>
          <w:u w:val="single" w:color="auto"/>
          <w:color w:val="0000FF"/>
        </w:rPr>
      </w:pPr>
      <w:r>
        <w:rPr>
          <w:rFonts w:ascii="Arial" w:cs="Arial" w:eastAsia="Arial" w:hAnsi="Arial"/>
          <w:sz w:val="18"/>
          <w:szCs w:val="18"/>
          <w:color w:val="auto"/>
        </w:rPr>
        <w:t>(1)</w:t>
      </w:r>
      <w:r>
        <w:rPr>
          <w:sz w:val="20"/>
          <w:szCs w:val="20"/>
          <w:color w:val="auto"/>
        </w:rPr>
        <w:tab/>
      </w:r>
      <w:hyperlink r:id="rId161">
        <w:r>
          <w:rPr>
            <w:rFonts w:ascii="Arial" w:cs="Arial" w:eastAsia="Arial" w:hAnsi="Arial"/>
            <w:sz w:val="18"/>
            <w:szCs w:val="18"/>
            <w:u w:val="single" w:color="auto"/>
            <w:color w:val="0000FF"/>
          </w:rPr>
          <w:t>Acuity Inc. 2005 Supplemental Deferred Savings</w:t>
        </w:r>
      </w:hyperlink>
    </w:p>
    <w:p>
      <w:pPr>
        <w:ind w:left="2460" w:right="460"/>
        <w:spacing w:after="0" w:line="229"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Plan, as amended and restated effective as of</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March 26, 2025.</w:t>
        </w:r>
      </w:hyperlink>
    </w:p>
    <w:p>
      <w:pPr>
        <w:ind w:left="2000"/>
        <w:spacing w:after="0" w:line="230" w:lineRule="auto"/>
        <w:tabs>
          <w:tab w:leader="none" w:pos="2440" w:val="left"/>
        </w:tabs>
        <w:rPr>
          <w:rFonts w:ascii="Arial" w:cs="Arial" w:eastAsia="Arial" w:hAnsi="Arial"/>
          <w:sz w:val="18"/>
          <w:szCs w:val="18"/>
          <w:u w:val="single" w:color="auto"/>
          <w:color w:val="0000FF"/>
        </w:rPr>
      </w:pPr>
      <w:r>
        <w:rPr>
          <w:rFonts w:ascii="Arial" w:cs="Arial" w:eastAsia="Arial" w:hAnsi="Arial"/>
          <w:sz w:val="18"/>
          <w:szCs w:val="18"/>
          <w:color w:val="auto"/>
        </w:rPr>
        <w:t>(2)</w:t>
      </w:r>
      <w:r>
        <w:rPr>
          <w:sz w:val="20"/>
          <w:szCs w:val="20"/>
          <w:color w:val="auto"/>
        </w:rPr>
        <w:tab/>
      </w:r>
      <w:hyperlink r:id="rId162">
        <w:r>
          <w:rPr>
            <w:rFonts w:ascii="Arial" w:cs="Arial" w:eastAsia="Arial" w:hAnsi="Arial"/>
            <w:sz w:val="18"/>
            <w:szCs w:val="18"/>
            <w:u w:val="single" w:color="auto"/>
            <w:color w:val="0000FF"/>
          </w:rPr>
          <w:t>Amended and Restated Acuity Brands, Inc. 2011</w:t>
        </w:r>
      </w:hyperlink>
    </w:p>
    <w:p>
      <w:pPr>
        <w:spacing w:after="0" w:line="1" w:lineRule="exact"/>
        <w:rPr>
          <w:sz w:val="20"/>
          <w:szCs w:val="20"/>
          <w:color w:val="auto"/>
        </w:rPr>
      </w:pPr>
    </w:p>
    <w:p>
      <w:pPr>
        <w:ind w:left="2460" w:right="380"/>
        <w:spacing w:after="0" w:line="246"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Nonemployee Director Deferred Compensation</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Plan, Effective as of January 5, 2022.</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3.1 of registrant’s Form 8-K as filed with the Commission on March 12, 2025, which is incorporated herein by reference.</w:t>
      </w:r>
    </w:p>
    <w:p>
      <w:pPr>
        <w:spacing w:after="0" w:line="3"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3.3 of registrant’s Form 8-K as filed with the Commission on March 12, 2025, which is incorporated herein by reference.</w:t>
      </w:r>
    </w:p>
    <w:p>
      <w:pPr>
        <w:spacing w:after="0" w:line="3" w:lineRule="exact"/>
        <w:rPr>
          <w:sz w:val="20"/>
          <w:szCs w:val="20"/>
          <w:color w:val="auto"/>
        </w:rPr>
      </w:pPr>
    </w:p>
    <w:p>
      <w:pPr>
        <w:ind w:left="20" w:right="16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4.1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spacing w:after="0" w:line="224" w:lineRule="auto"/>
        <w:rPr>
          <w:sz w:val="20"/>
          <w:szCs w:val="20"/>
          <w:color w:val="auto"/>
        </w:rPr>
      </w:pPr>
      <w:r>
        <w:rPr>
          <w:rFonts w:ascii="Arial" w:cs="Arial" w:eastAsia="Arial" w:hAnsi="Arial"/>
          <w:sz w:val="17"/>
          <w:szCs w:val="17"/>
          <w:color w:val="auto"/>
        </w:rPr>
        <w:t>Reference is made to Exhibit 4.2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spacing w:after="0" w:line="224"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94"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spacing w:after="0" w:line="224" w:lineRule="auto"/>
        <w:rPr>
          <w:sz w:val="20"/>
          <w:szCs w:val="20"/>
          <w:color w:val="auto"/>
        </w:rPr>
      </w:pPr>
      <w:r>
        <w:rPr>
          <w:rFonts w:ascii="Arial" w:cs="Arial" w:eastAsia="Arial" w:hAnsi="Arial"/>
          <w:sz w:val="17"/>
          <w:szCs w:val="17"/>
          <w:color w:val="auto"/>
        </w:rPr>
        <w:t>Reference is made to Exhibit 4.10 of registrant’s Post-Effective Amendment No. 1 to Form S-3 Registration Statement as filed with the Commission</w:t>
      </w:r>
    </w:p>
    <w:p>
      <w:pPr>
        <w:spacing w:after="0" w:line="1" w:lineRule="exact"/>
        <w:rPr>
          <w:sz w:val="20"/>
          <w:szCs w:val="20"/>
          <w:color w:val="auto"/>
        </w:rPr>
      </w:pPr>
    </w:p>
    <w:p>
      <w:pPr>
        <w:ind w:left="20" w:right="260"/>
        <w:spacing w:after="0" w:line="229" w:lineRule="auto"/>
        <w:rPr>
          <w:sz w:val="20"/>
          <w:szCs w:val="20"/>
          <w:color w:val="auto"/>
        </w:rPr>
      </w:pPr>
      <w:r>
        <w:rPr>
          <w:rFonts w:ascii="Arial" w:cs="Arial" w:eastAsia="Arial" w:hAnsi="Arial"/>
          <w:sz w:val="18"/>
          <w:szCs w:val="18"/>
          <w:color w:val="auto"/>
        </w:rPr>
        <w:t>on July 28, 2025, which is incorporated herein by reference.</w:t>
      </w:r>
    </w:p>
    <w:p>
      <w:pPr>
        <w:spacing w:after="0" w:line="6"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10.1 of registrant’s Form 10-Q as filed with the Commission on June 30, 2022, which is incorporated herein by reference.</w:t>
      </w:r>
    </w:p>
    <w:p>
      <w:pPr>
        <w:spacing w:after="0" w:line="3"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10.1 of registrant’s Form 8-K as filed with the Commission on November 27, 2024,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10(a) of registrant’s</w:t>
      </w:r>
    </w:p>
    <w:p>
      <w:pPr>
        <w:ind w:right="40"/>
        <w:spacing w:after="0" w:line="243" w:lineRule="auto"/>
        <w:rPr>
          <w:sz w:val="20"/>
          <w:szCs w:val="20"/>
          <w:color w:val="auto"/>
        </w:rPr>
      </w:pPr>
      <w:r>
        <w:rPr>
          <w:rFonts w:ascii="Arial" w:cs="Arial" w:eastAsia="Arial" w:hAnsi="Arial"/>
          <w:sz w:val="17"/>
          <w:szCs w:val="17"/>
          <w:color w:val="auto"/>
        </w:rPr>
        <w:t>Form 10-Q as filed with the Commission on June 26, 2025, which is incorporated herein by reference.</w:t>
      </w:r>
    </w:p>
    <w:p>
      <w:pPr>
        <w:spacing w:after="0" w:line="229" w:lineRule="auto"/>
        <w:rPr>
          <w:sz w:val="20"/>
          <w:szCs w:val="20"/>
          <w:color w:val="auto"/>
        </w:rPr>
      </w:pPr>
      <w:r>
        <w:rPr>
          <w:rFonts w:ascii="Arial" w:cs="Arial" w:eastAsia="Arial" w:hAnsi="Arial"/>
          <w:sz w:val="18"/>
          <w:szCs w:val="18"/>
          <w:color w:val="auto"/>
        </w:rPr>
        <w:t>Reference is made to Exhibit 10(c) of registrant's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Form 10-Q as filed with the Commission on January 7, 2022, which is incorporated herein by reference.</w:t>
      </w:r>
    </w:p>
    <w:p>
      <w:pPr>
        <w:sectPr>
          <w:pgSz w:w="11900" w:h="16838" w:orient="portrait"/>
          <w:cols w:equalWidth="0" w:num="2">
            <w:col w:w="6580" w:space="460"/>
            <w:col w:w="4180"/>
          </w:cols>
          <w:pgMar w:left="320" w:top="230"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00"/>
          </w:cols>
          <w:pgMar w:left="320" w:top="2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60" w:right="780" w:hanging="469"/>
        <w:spacing w:after="0"/>
        <w:tabs>
          <w:tab w:leader="none" w:pos="2460" w:val="left"/>
        </w:tabs>
        <w:numPr>
          <w:ilvl w:val="0"/>
          <w:numId w:val="21"/>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Acuity Brands, Inc. Compensation for Non-</w:t>
        </w:r>
      </w:hyperlink>
      <w:hyperlink r:id="rId164">
        <w:r>
          <w:rPr>
            <w:rFonts w:ascii="Arial" w:cs="Arial" w:eastAsia="Arial" w:hAnsi="Arial"/>
            <w:sz w:val="18"/>
            <w:szCs w:val="18"/>
            <w:u w:val="single" w:color="auto"/>
            <w:color w:val="0000FF"/>
          </w:rPr>
          <w:t>Employee Directors.</w:t>
        </w:r>
      </w:hyperlink>
    </w:p>
    <w:p>
      <w:pPr>
        <w:spacing w:after="0" w:line="355" w:lineRule="exact"/>
        <w:rPr>
          <w:rFonts w:ascii="Arial" w:cs="Arial" w:eastAsia="Arial" w:hAnsi="Arial"/>
          <w:sz w:val="18"/>
          <w:szCs w:val="18"/>
          <w:u w:val="single" w:color="auto"/>
          <w:color w:val="0000FF"/>
        </w:rPr>
      </w:pPr>
    </w:p>
    <w:p>
      <w:pPr>
        <w:ind w:left="2460" w:right="400" w:hanging="469"/>
        <w:spacing w:after="0"/>
        <w:tabs>
          <w:tab w:leader="none" w:pos="2460" w:val="left"/>
        </w:tabs>
        <w:numPr>
          <w:ilvl w:val="0"/>
          <w:numId w:val="21"/>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Acuity Brands, Inc. Senior Management Benefit</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Plan.</w:t>
        </w:r>
      </w:hyperlink>
    </w:p>
    <w:p>
      <w:pPr>
        <w:spacing w:after="0" w:line="355" w:lineRule="exact"/>
        <w:rPr>
          <w:rFonts w:ascii="Arial" w:cs="Arial" w:eastAsia="Arial" w:hAnsi="Arial"/>
          <w:sz w:val="18"/>
          <w:szCs w:val="18"/>
          <w:u w:val="single" w:color="auto"/>
          <w:color w:val="0000FF"/>
        </w:rPr>
      </w:pPr>
    </w:p>
    <w:p>
      <w:pPr>
        <w:ind w:left="2460" w:right="420" w:hanging="469"/>
        <w:spacing w:after="0"/>
        <w:tabs>
          <w:tab w:leader="none" w:pos="2460" w:val="left"/>
        </w:tabs>
        <w:numPr>
          <w:ilvl w:val="0"/>
          <w:numId w:val="21"/>
        </w:numPr>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Management Benefit Plan.</w:t>
        </w:r>
      </w:hyperlink>
    </w:p>
    <w:p>
      <w:pPr>
        <w:spacing w:after="0" w:line="355" w:lineRule="exact"/>
        <w:rPr>
          <w:rFonts w:ascii="Arial" w:cs="Arial" w:eastAsia="Arial" w:hAnsi="Arial"/>
          <w:sz w:val="18"/>
          <w:szCs w:val="18"/>
          <w:u w:val="single" w:color="auto"/>
          <w:color w:val="0000FF"/>
        </w:rPr>
      </w:pPr>
    </w:p>
    <w:p>
      <w:pPr>
        <w:ind w:left="2460" w:hanging="469"/>
        <w:spacing w:after="0"/>
        <w:tabs>
          <w:tab w:leader="none" w:pos="2460" w:val="left"/>
        </w:tabs>
        <w:numPr>
          <w:ilvl w:val="0"/>
          <w:numId w:val="21"/>
        </w:numPr>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362" w:lineRule="exact"/>
        <w:rPr>
          <w:rFonts w:ascii="Arial" w:cs="Arial" w:eastAsia="Arial" w:hAnsi="Arial"/>
          <w:sz w:val="18"/>
          <w:szCs w:val="18"/>
          <w:u w:val="single" w:color="auto"/>
          <w:color w:val="0000FF"/>
        </w:rPr>
      </w:pPr>
    </w:p>
    <w:p>
      <w:pPr>
        <w:ind w:left="2460" w:right="200" w:hanging="469"/>
        <w:spacing w:after="0"/>
        <w:tabs>
          <w:tab w:leader="none" w:pos="2460" w:val="left"/>
        </w:tabs>
        <w:numPr>
          <w:ilvl w:val="0"/>
          <w:numId w:val="21"/>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Acuity Brands, Inc. Supplemental Retirement Plan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for Executives.</w:t>
        </w:r>
      </w:hyperlink>
    </w:p>
    <w:p>
      <w:pPr>
        <w:spacing w:after="0" w:line="355" w:lineRule="exact"/>
        <w:rPr>
          <w:rFonts w:ascii="Arial" w:cs="Arial" w:eastAsia="Arial" w:hAnsi="Arial"/>
          <w:sz w:val="18"/>
          <w:szCs w:val="18"/>
          <w:u w:val="single" w:color="auto"/>
          <w:color w:val="0000FF"/>
        </w:rPr>
      </w:pPr>
    </w:p>
    <w:p>
      <w:pPr>
        <w:ind w:left="2460" w:right="520" w:hanging="469"/>
        <w:spacing w:after="0" w:line="268" w:lineRule="auto"/>
        <w:tabs>
          <w:tab w:leader="none" w:pos="2460" w:val="left"/>
        </w:tabs>
        <w:numPr>
          <w:ilvl w:val="0"/>
          <w:numId w:val="21"/>
        </w:numPr>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Supplemental Retirement Plan for Executives.</w:t>
        </w:r>
      </w:hyperlink>
    </w:p>
    <w:p>
      <w:pPr>
        <w:spacing w:after="0" w:line="332" w:lineRule="exact"/>
        <w:rPr>
          <w:rFonts w:ascii="Arial" w:cs="Arial" w:eastAsia="Arial" w:hAnsi="Arial"/>
          <w:sz w:val="17"/>
          <w:szCs w:val="17"/>
          <w:u w:val="single" w:color="auto"/>
          <w:color w:val="0000FF"/>
        </w:rPr>
      </w:pPr>
    </w:p>
    <w:p>
      <w:pPr>
        <w:ind w:left="2460" w:hanging="469"/>
        <w:spacing w:after="0"/>
        <w:tabs>
          <w:tab w:leader="none" w:pos="2460" w:val="left"/>
        </w:tabs>
        <w:numPr>
          <w:ilvl w:val="0"/>
          <w:numId w:val="21"/>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7"/>
          <w:szCs w:val="17"/>
          <w:u w:val="single" w:color="auto"/>
          <w:color w:val="0000FF"/>
        </w:rPr>
      </w:pPr>
    </w:p>
    <w:p>
      <w:pPr>
        <w:spacing w:after="0" w:line="363" w:lineRule="exact"/>
        <w:rPr>
          <w:rFonts w:ascii="Arial" w:cs="Arial" w:eastAsia="Arial" w:hAnsi="Arial"/>
          <w:sz w:val="17"/>
          <w:szCs w:val="17"/>
          <w:u w:val="single" w:color="auto"/>
          <w:color w:val="0000FF"/>
        </w:rPr>
      </w:pPr>
    </w:p>
    <w:p>
      <w:pPr>
        <w:ind w:left="2460" w:right="260" w:hanging="519"/>
        <w:spacing w:after="0" w:line="227" w:lineRule="auto"/>
        <w:tabs>
          <w:tab w:leader="none" w:pos="2460" w:val="left"/>
        </w:tabs>
        <w:numPr>
          <w:ilvl w:val="0"/>
          <w:numId w:val="22"/>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Retirement Plan, As Amended and Restated</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Effective As of July 1, 2019.</w:t>
        </w:r>
      </w:hyperlink>
    </w:p>
    <w:p>
      <w:pPr>
        <w:spacing w:after="0" w:line="6" w:lineRule="exact"/>
        <w:rPr>
          <w:rFonts w:ascii="Arial" w:cs="Arial" w:eastAsia="Arial" w:hAnsi="Arial"/>
          <w:sz w:val="18"/>
          <w:szCs w:val="18"/>
          <w:u w:val="single" w:color="auto"/>
          <w:color w:val="0000FF"/>
        </w:rPr>
      </w:pPr>
    </w:p>
    <w:p>
      <w:pPr>
        <w:ind w:left="2460" w:right="540" w:hanging="513"/>
        <w:spacing w:after="0" w:line="268" w:lineRule="auto"/>
        <w:tabs>
          <w:tab w:leader="none" w:pos="2460" w:val="left"/>
        </w:tabs>
        <w:numPr>
          <w:ilvl w:val="0"/>
          <w:numId w:val="22"/>
        </w:numPr>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Amendment No. 1 to Acuity Brands, Inc. 2002</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Supplemental Executive Retirement Plan.</w:t>
        </w:r>
      </w:hyperlink>
    </w:p>
    <w:p>
      <w:pPr>
        <w:spacing w:after="0" w:line="157" w:lineRule="exact"/>
        <w:rPr>
          <w:rFonts w:ascii="Arial" w:cs="Arial" w:eastAsia="Arial" w:hAnsi="Arial"/>
          <w:sz w:val="17"/>
          <w:szCs w:val="17"/>
          <w:u w:val="single" w:color="auto"/>
          <w:color w:val="0000FF"/>
        </w:rPr>
      </w:pPr>
    </w:p>
    <w:p>
      <w:pPr>
        <w:ind w:left="2460" w:right="120" w:hanging="519"/>
        <w:spacing w:after="0" w:line="268" w:lineRule="auto"/>
        <w:tabs>
          <w:tab w:leader="none" w:pos="2460" w:val="left"/>
        </w:tabs>
        <w:numPr>
          <w:ilvl w:val="0"/>
          <w:numId w:val="22"/>
        </w:numPr>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Agreement entered into as of April 21, 2006.</w:t>
        </w:r>
      </w:hyperlink>
    </w:p>
    <w:p>
      <w:pPr>
        <w:spacing w:after="0" w:line="157" w:lineRule="exact"/>
        <w:rPr>
          <w:rFonts w:ascii="Arial" w:cs="Arial" w:eastAsia="Arial" w:hAnsi="Arial"/>
          <w:sz w:val="17"/>
          <w:szCs w:val="17"/>
          <w:u w:val="single" w:color="auto"/>
          <w:color w:val="0000FF"/>
        </w:rPr>
      </w:pPr>
    </w:p>
    <w:p>
      <w:pPr>
        <w:ind w:left="2460" w:right="40" w:hanging="519"/>
        <w:spacing w:after="0"/>
        <w:tabs>
          <w:tab w:leader="none" w:pos="2460" w:val="left"/>
        </w:tabs>
        <w:numPr>
          <w:ilvl w:val="0"/>
          <w:numId w:val="22"/>
        </w:numPr>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Neil M. Ashe, dated January 9, 2020</w:t>
        </w:r>
      </w:hyperlink>
    </w:p>
    <w:p>
      <w:pPr>
        <w:spacing w:after="0" w:line="180" w:lineRule="exact"/>
        <w:rPr>
          <w:rFonts w:ascii="Arial" w:cs="Arial" w:eastAsia="Arial" w:hAnsi="Arial"/>
          <w:sz w:val="18"/>
          <w:szCs w:val="18"/>
          <w:u w:val="single" w:color="auto"/>
          <w:color w:val="0000FF"/>
        </w:rPr>
      </w:pPr>
    </w:p>
    <w:p>
      <w:pPr>
        <w:ind w:left="2460" w:right="480" w:hanging="519"/>
        <w:spacing w:after="0" w:line="227" w:lineRule="auto"/>
        <w:tabs>
          <w:tab w:leader="none" w:pos="2460" w:val="left"/>
        </w:tabs>
        <w:numPr>
          <w:ilvl w:val="0"/>
          <w:numId w:val="22"/>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Agreement (options subject only to time-based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conditions)</w:t>
        </w:r>
      </w:hyperlink>
    </w:p>
    <w:p>
      <w:pPr>
        <w:spacing w:after="0" w:line="6"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2"/>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Agreement (options subject to time-based and share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price performance conditions)</w:t>
        </w:r>
      </w:hyperlink>
    </w:p>
    <w:p>
      <w:pPr>
        <w:spacing w:after="0" w:line="6" w:lineRule="exact"/>
        <w:rPr>
          <w:rFonts w:ascii="Arial" w:cs="Arial" w:eastAsia="Arial" w:hAnsi="Arial"/>
          <w:sz w:val="18"/>
          <w:szCs w:val="18"/>
          <w:u w:val="single" w:color="auto"/>
          <w:color w:val="0000FF"/>
        </w:rPr>
      </w:pPr>
    </w:p>
    <w:p>
      <w:pPr>
        <w:ind w:left="2460" w:right="460" w:hanging="519"/>
        <w:spacing w:after="0"/>
        <w:tabs>
          <w:tab w:leader="none" w:pos="2460" w:val="left"/>
        </w:tabs>
        <w:numPr>
          <w:ilvl w:val="0"/>
          <w:numId w:val="22"/>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Form of Severance Agreement between Acuity</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Brands, Inc. and Neil M. Ashe</w:t>
        </w:r>
      </w:hyperlink>
    </w:p>
    <w:p>
      <w:pPr>
        <w:spacing w:after="0" w:line="180" w:lineRule="exact"/>
        <w:rPr>
          <w:rFonts w:ascii="Arial" w:cs="Arial" w:eastAsia="Arial" w:hAnsi="Arial"/>
          <w:sz w:val="18"/>
          <w:szCs w:val="18"/>
          <w:u w:val="single" w:color="auto"/>
          <w:color w:val="0000FF"/>
        </w:rPr>
      </w:pPr>
    </w:p>
    <w:p>
      <w:pPr>
        <w:ind w:left="2460" w:right="540" w:hanging="519"/>
        <w:spacing w:after="0" w:line="268" w:lineRule="auto"/>
        <w:tabs>
          <w:tab w:leader="none" w:pos="2460" w:val="left"/>
        </w:tabs>
        <w:numPr>
          <w:ilvl w:val="0"/>
          <w:numId w:val="22"/>
        </w:numPr>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Amendment No. 1 to Severance Agreement</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between Acuity Brands, Inc. and Neil M. Ashe</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4" w:lineRule="exact"/>
        <w:rPr>
          <w:rFonts w:ascii="Arial" w:cs="Arial" w:eastAsia="Arial" w:hAnsi="Arial"/>
          <w:sz w:val="17"/>
          <w:szCs w:val="17"/>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right="40"/>
        <w:spacing w:after="0" w:line="215" w:lineRule="auto"/>
        <w:rPr>
          <w:sz w:val="20"/>
          <w:szCs w:val="20"/>
          <w:color w:val="auto"/>
        </w:rPr>
      </w:pPr>
      <w:r>
        <w:rPr>
          <w:rFonts w:ascii="Arial" w:cs="Arial" w:eastAsia="Arial" w:hAnsi="Arial"/>
          <w:sz w:val="18"/>
          <w:szCs w:val="18"/>
          <w:color w:val="auto"/>
        </w:rPr>
        <w:t>Reference is made to Exhibit 10(iii)A(12) of registrant's Form 10-K as filed with the Commission on October 26, 2022, which is incorporated herein</w:t>
      </w:r>
    </w:p>
    <w:p>
      <w:pPr>
        <w:spacing w:after="0" w:line="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7"/>
          <w:szCs w:val="17"/>
          <w:color w:val="auto"/>
        </w:rPr>
      </w:pPr>
    </w:p>
    <w:p>
      <w:pPr>
        <w:spacing w:after="0" w:line="224" w:lineRule="auto"/>
        <w:rPr>
          <w:sz w:val="20"/>
          <w:szCs w:val="20"/>
          <w:color w:val="auto"/>
        </w:rPr>
      </w:pPr>
      <w:r>
        <w:rPr>
          <w:rFonts w:ascii="Arial" w:cs="Arial" w:eastAsia="Arial" w:hAnsi="Arial"/>
          <w:sz w:val="17"/>
          <w:szCs w:val="17"/>
          <w:color w:val="auto"/>
        </w:rPr>
        <w:t>Reference is made to Exhibit 10.16 of registrant’s Form 8-K as filed with the Commission on December 14, 2001, which is incorporated herein by</w:t>
      </w:r>
    </w:p>
    <w:p>
      <w:pPr>
        <w:spacing w:after="0" w:line="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ind w:right="20"/>
        <w:spacing w:after="0" w:line="212" w:lineRule="auto"/>
        <w:rPr>
          <w:sz w:val="20"/>
          <w:szCs w:val="20"/>
          <w:color w:val="auto"/>
        </w:rPr>
      </w:pPr>
      <w:r>
        <w:rPr>
          <w:rFonts w:ascii="Arial" w:cs="Arial" w:eastAsia="Arial" w:hAnsi="Arial"/>
          <w:sz w:val="18"/>
          <w:szCs w:val="18"/>
          <w:color w:val="auto"/>
        </w:rPr>
        <w:t>Reference is made to Exhibit 10(iii)A(5) of registrant’s Form 10-Q as filed with the Commission on July 10, 2007, which is incorporated herein by</w:t>
      </w: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spacing w:after="0" w:line="224" w:lineRule="auto"/>
        <w:rPr>
          <w:sz w:val="20"/>
          <w:szCs w:val="20"/>
          <w:color w:val="auto"/>
        </w:rPr>
      </w:pPr>
      <w:r>
        <w:rPr>
          <w:rFonts w:ascii="Arial" w:cs="Arial" w:eastAsia="Arial" w:hAnsi="Arial"/>
          <w:sz w:val="17"/>
          <w:szCs w:val="17"/>
          <w:color w:val="auto"/>
        </w:rPr>
        <w:t>Reference is made to Exhibit 10.18 of registrant’s Form 8-K as filed with the Commission on December 14, 2001, which is incorporated herein by</w:t>
      </w:r>
    </w:p>
    <w:p>
      <w:pPr>
        <w:spacing w:after="0" w:line="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spacing w:after="0" w:line="224" w:lineRule="auto"/>
        <w:rPr>
          <w:sz w:val="20"/>
          <w:szCs w:val="20"/>
          <w:color w:val="auto"/>
        </w:rPr>
      </w:pPr>
      <w:r>
        <w:rPr>
          <w:rFonts w:ascii="Arial" w:cs="Arial" w:eastAsia="Arial" w:hAnsi="Arial"/>
          <w:sz w:val="17"/>
          <w:szCs w:val="17"/>
          <w:color w:val="auto"/>
        </w:rPr>
        <w:t>Reference is made to Exhibit 10.19 of registrant’s Form 8-K as filed with the Commission on December 14, 2001, which is incorporated herein by</w:t>
      </w:r>
    </w:p>
    <w:p>
      <w:pPr>
        <w:spacing w:after="0" w:line="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ind w:right="20"/>
        <w:spacing w:after="0" w:line="212" w:lineRule="auto"/>
        <w:rPr>
          <w:sz w:val="20"/>
          <w:szCs w:val="20"/>
          <w:color w:val="auto"/>
        </w:rPr>
      </w:pPr>
      <w:r>
        <w:rPr>
          <w:rFonts w:ascii="Arial" w:cs="Arial" w:eastAsia="Arial" w:hAnsi="Arial"/>
          <w:sz w:val="18"/>
          <w:szCs w:val="18"/>
          <w:color w:val="auto"/>
        </w:rPr>
        <w:t>Reference is made to Exhibit 10(iii)A(2) of registrant’s Form 10-Q as filed with the Commission on April 14, 2003, which is incorporated by</w:t>
      </w: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spacing w:after="0" w:line="224" w:lineRule="auto"/>
        <w:rPr>
          <w:sz w:val="20"/>
          <w:szCs w:val="20"/>
          <w:color w:val="auto"/>
        </w:rPr>
      </w:pPr>
      <w:r>
        <w:rPr>
          <w:rFonts w:ascii="Arial" w:cs="Arial" w:eastAsia="Arial" w:hAnsi="Arial"/>
          <w:sz w:val="17"/>
          <w:szCs w:val="17"/>
          <w:color w:val="auto"/>
        </w:rPr>
        <w:t>Reference is made to Exhibit 10.21 of registrant’s Form 8-K as filed with the Commission on December 14, 2001, which is incorporated herein by</w:t>
      </w:r>
    </w:p>
    <w:p>
      <w:pPr>
        <w:spacing w:after="0" w:line="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7"/>
          <w:szCs w:val="17"/>
          <w:color w:val="auto"/>
        </w:rPr>
      </w:pPr>
    </w:p>
    <w:p>
      <w:pPr>
        <w:ind w:right="140"/>
        <w:spacing w:after="0" w:line="237" w:lineRule="auto"/>
        <w:rPr>
          <w:sz w:val="20"/>
          <w:szCs w:val="20"/>
          <w:color w:val="auto"/>
        </w:rPr>
      </w:pPr>
      <w:r>
        <w:rPr>
          <w:rFonts w:ascii="Arial" w:cs="Arial" w:eastAsia="Arial" w:hAnsi="Arial"/>
          <w:sz w:val="17"/>
          <w:szCs w:val="17"/>
          <w:color w:val="auto"/>
        </w:rPr>
        <w:t>Reference is made to Exhibit 10(c) of registrant's Form 10-Q as filed with the Commission on July 2, 2019, which is incorporated herein by reference.</w:t>
      </w:r>
    </w:p>
    <w:p>
      <w:pPr>
        <w:spacing w:after="0" w:line="6" w:lineRule="exact"/>
        <w:rPr>
          <w:rFonts w:ascii="Arial" w:cs="Arial" w:eastAsia="Arial" w:hAnsi="Arial"/>
          <w:sz w:val="17"/>
          <w:szCs w:val="17"/>
          <w:color w:val="auto"/>
        </w:rPr>
      </w:pPr>
    </w:p>
    <w:p>
      <w:pPr>
        <w:ind w:right="20"/>
        <w:spacing w:after="0" w:line="242" w:lineRule="auto"/>
        <w:rPr>
          <w:sz w:val="20"/>
          <w:szCs w:val="20"/>
          <w:color w:val="auto"/>
        </w:rPr>
      </w:pPr>
      <w:r>
        <w:rPr>
          <w:rFonts w:ascii="Arial" w:cs="Arial" w:eastAsia="Arial" w:hAnsi="Arial"/>
          <w:sz w:val="17"/>
          <w:szCs w:val="17"/>
          <w:color w:val="auto"/>
        </w:rPr>
        <w:t>Reference is made to Exhibit 10(a) of registrant's Form 10-Q as filed with the Commission on January 7, 2020, which is incorporated herein by reference.</w:t>
      </w:r>
    </w:p>
    <w:p>
      <w:pPr>
        <w:spacing w:after="0" w:line="3" w:lineRule="exact"/>
        <w:rPr>
          <w:rFonts w:ascii="Arial" w:cs="Arial" w:eastAsia="Arial" w:hAnsi="Arial"/>
          <w:sz w:val="17"/>
          <w:szCs w:val="17"/>
          <w:color w:val="auto"/>
        </w:rPr>
      </w:pPr>
    </w:p>
    <w:p>
      <w:pPr>
        <w:jc w:val="both"/>
        <w:ind w:right="320"/>
        <w:spacing w:after="0" w:line="242" w:lineRule="auto"/>
        <w:rPr>
          <w:sz w:val="20"/>
          <w:szCs w:val="20"/>
          <w:color w:val="auto"/>
        </w:rPr>
      </w:pPr>
      <w:r>
        <w:rPr>
          <w:rFonts w:ascii="Arial" w:cs="Arial" w:eastAsia="Arial" w:hAnsi="Arial"/>
          <w:sz w:val="17"/>
          <w:szCs w:val="17"/>
          <w:color w:val="auto"/>
        </w:rPr>
        <w:t>Reference is made to Exhibit 99.1 of registrant’s Form 8-K filed with the Commission on April 27, 2006, which is incorporated herein by reference.</w:t>
      </w:r>
    </w:p>
    <w:p>
      <w:pPr>
        <w:spacing w:after="0" w:line="3" w:lineRule="exact"/>
        <w:rPr>
          <w:rFonts w:ascii="Arial" w:cs="Arial" w:eastAsia="Arial" w:hAnsi="Arial"/>
          <w:sz w:val="17"/>
          <w:szCs w:val="17"/>
          <w:color w:val="auto"/>
        </w:rPr>
      </w:pPr>
    </w:p>
    <w:p>
      <w:pPr>
        <w:ind w:right="120"/>
        <w:spacing w:after="0" w:line="242" w:lineRule="auto"/>
        <w:rPr>
          <w:sz w:val="20"/>
          <w:szCs w:val="20"/>
          <w:color w:val="auto"/>
        </w:rPr>
      </w:pPr>
      <w:r>
        <w:rPr>
          <w:rFonts w:ascii="Arial" w:cs="Arial" w:eastAsia="Arial" w:hAnsi="Arial"/>
          <w:sz w:val="17"/>
          <w:szCs w:val="17"/>
          <w:color w:val="auto"/>
        </w:rPr>
        <w:t>Reference is made to Exhibit 10.1 of registrant’s Form 8-K as filed with the Commission on January 9, 2020, which is incorporated herein by reference.</w:t>
      </w:r>
    </w:p>
    <w:p>
      <w:pPr>
        <w:spacing w:after="0" w:line="3" w:lineRule="exact"/>
        <w:rPr>
          <w:rFonts w:ascii="Arial" w:cs="Arial" w:eastAsia="Arial" w:hAnsi="Arial"/>
          <w:sz w:val="17"/>
          <w:szCs w:val="17"/>
          <w:color w:val="auto"/>
        </w:rPr>
      </w:pPr>
    </w:p>
    <w:p>
      <w:pPr>
        <w:ind w:right="120"/>
        <w:spacing w:after="0" w:line="242" w:lineRule="auto"/>
        <w:rPr>
          <w:sz w:val="20"/>
          <w:szCs w:val="20"/>
          <w:color w:val="auto"/>
        </w:rPr>
      </w:pPr>
      <w:r>
        <w:rPr>
          <w:rFonts w:ascii="Arial" w:cs="Arial" w:eastAsia="Arial" w:hAnsi="Arial"/>
          <w:sz w:val="17"/>
          <w:szCs w:val="17"/>
          <w:color w:val="auto"/>
        </w:rPr>
        <w:t>Reference is made to Exhibit 10.2 of registrant’s Form 8-K as filed with the Commission on January 9, 2020, which is incorporated herein by reference.</w:t>
      </w:r>
    </w:p>
    <w:p>
      <w:pPr>
        <w:spacing w:after="0" w:line="3" w:lineRule="exact"/>
        <w:rPr>
          <w:rFonts w:ascii="Arial" w:cs="Arial" w:eastAsia="Arial" w:hAnsi="Arial"/>
          <w:sz w:val="17"/>
          <w:szCs w:val="17"/>
          <w:color w:val="auto"/>
        </w:rPr>
      </w:pPr>
    </w:p>
    <w:p>
      <w:pPr>
        <w:ind w:right="120"/>
        <w:spacing w:after="0" w:line="242" w:lineRule="auto"/>
        <w:rPr>
          <w:sz w:val="20"/>
          <w:szCs w:val="20"/>
          <w:color w:val="auto"/>
        </w:rPr>
      </w:pPr>
      <w:r>
        <w:rPr>
          <w:rFonts w:ascii="Arial" w:cs="Arial" w:eastAsia="Arial" w:hAnsi="Arial"/>
          <w:sz w:val="17"/>
          <w:szCs w:val="17"/>
          <w:color w:val="auto"/>
        </w:rPr>
        <w:t>Reference is made to Exhibit 10.3 of registrant’s Form 8-K as filed with the Commission on January 9, 2020, which is incorporated herein by reference.</w:t>
      </w:r>
    </w:p>
    <w:p>
      <w:pPr>
        <w:spacing w:after="0" w:line="3" w:lineRule="exact"/>
        <w:rPr>
          <w:rFonts w:ascii="Arial" w:cs="Arial" w:eastAsia="Arial" w:hAnsi="Arial"/>
          <w:sz w:val="17"/>
          <w:szCs w:val="17"/>
          <w:color w:val="auto"/>
        </w:rPr>
      </w:pPr>
    </w:p>
    <w:p>
      <w:pPr>
        <w:ind w:right="120"/>
        <w:spacing w:after="0" w:line="242" w:lineRule="auto"/>
        <w:rPr>
          <w:sz w:val="20"/>
          <w:szCs w:val="20"/>
          <w:color w:val="auto"/>
        </w:rPr>
      </w:pPr>
      <w:r>
        <w:rPr>
          <w:rFonts w:ascii="Arial" w:cs="Arial" w:eastAsia="Arial" w:hAnsi="Arial"/>
          <w:sz w:val="17"/>
          <w:szCs w:val="17"/>
          <w:color w:val="auto"/>
        </w:rPr>
        <w:t>Reference is made to Exhibit 10.4 of registrant’s Form 8-K as filed with the Commission on January 9, 2020, which is incorporated herein by reference.</w:t>
      </w:r>
    </w:p>
    <w:p>
      <w:pPr>
        <w:spacing w:after="0" w:line="3" w:lineRule="exact"/>
        <w:rPr>
          <w:rFonts w:ascii="Arial" w:cs="Arial" w:eastAsia="Arial" w:hAnsi="Arial"/>
          <w:sz w:val="17"/>
          <w:szCs w:val="17"/>
          <w:color w:val="auto"/>
        </w:rPr>
      </w:pPr>
    </w:p>
    <w:p>
      <w:pPr>
        <w:ind w:right="40"/>
        <w:spacing w:after="0" w:line="215" w:lineRule="auto"/>
        <w:rPr>
          <w:sz w:val="20"/>
          <w:szCs w:val="20"/>
          <w:color w:val="auto"/>
        </w:rPr>
      </w:pPr>
      <w:r>
        <w:rPr>
          <w:rFonts w:ascii="Arial" w:cs="Arial" w:eastAsia="Arial" w:hAnsi="Arial"/>
          <w:sz w:val="18"/>
          <w:szCs w:val="18"/>
          <w:color w:val="auto"/>
        </w:rPr>
        <w:t>Reference is made to Exhibit 10(iii)A(26) of registrant's Form 10-K as filed with the Commission on October 26, 2023, which is incorporated herein</w:t>
      </w:r>
    </w:p>
    <w:p>
      <w:pPr>
        <w:spacing w:after="0" w:line="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by reference.</w:t>
      </w:r>
    </w:p>
    <w:p>
      <w:pPr>
        <w:sectPr>
          <w:pgSz w:w="11900" w:h="16838" w:orient="portrait"/>
          <w:cols w:equalWidth="0" w:num="2">
            <w:col w:w="6640" w:space="400"/>
            <w:col w:w="4160"/>
          </w:cols>
          <w:pgMar w:left="320" w:top="242" w:right="37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1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60" w:right="400" w:hanging="519"/>
        <w:spacing w:after="0"/>
        <w:tabs>
          <w:tab w:leader="none" w:pos="2460" w:val="left"/>
        </w:tabs>
        <w:numPr>
          <w:ilvl w:val="0"/>
          <w:numId w:val="23"/>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Form of Change in Control Agreement between</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Acuity Brands, Inc. and Neil M. Ashe</w:t>
        </w:r>
      </w:hyperlink>
    </w:p>
    <w:p>
      <w:pPr>
        <w:spacing w:after="0" w:line="180"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3"/>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Acuity Inc. Matching Gift Program.</w:t>
        </w:r>
      </w:hyperlink>
    </w:p>
    <w:p>
      <w:pPr>
        <w:spacing w:after="0" w:line="387" w:lineRule="exact"/>
        <w:rPr>
          <w:rFonts w:ascii="Arial" w:cs="Arial" w:eastAsia="Arial" w:hAnsi="Arial"/>
          <w:sz w:val="18"/>
          <w:szCs w:val="18"/>
          <w:u w:val="single" w:color="auto"/>
          <w:color w:val="0000FF"/>
        </w:rPr>
      </w:pPr>
    </w:p>
    <w:p>
      <w:pPr>
        <w:ind w:left="2460" w:right="100" w:hanging="519"/>
        <w:spacing w:after="0" w:line="268" w:lineRule="auto"/>
        <w:tabs>
          <w:tab w:leader="none" w:pos="2460" w:val="left"/>
        </w:tabs>
        <w:numPr>
          <w:ilvl w:val="0"/>
          <w:numId w:val="23"/>
        </w:numPr>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between Acuity Brands, Inc. and Richard K. Reece.</w:t>
        </w:r>
      </w:hyperlink>
    </w:p>
    <w:p>
      <w:pPr>
        <w:spacing w:after="0" w:line="157" w:lineRule="exact"/>
        <w:rPr>
          <w:rFonts w:ascii="Arial" w:cs="Arial" w:eastAsia="Arial" w:hAnsi="Arial"/>
          <w:sz w:val="17"/>
          <w:szCs w:val="17"/>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Brands, Inc. and Richard K. Reece.</w:t>
        </w:r>
      </w:hyperlink>
    </w:p>
    <w:p>
      <w:pPr>
        <w:spacing w:after="0" w:line="6"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Brands, Inc. and Richard K. Reece.</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Brands, Inc. and Richard K. Reece.</w:t>
        </w:r>
      </w:hyperlink>
    </w:p>
    <w:p>
      <w:pPr>
        <w:spacing w:after="0" w:line="6"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Brands, Inc. and Richard K. Reece.</w:t>
        </w:r>
      </w:hyperlink>
    </w:p>
    <w:p>
      <w:pPr>
        <w:spacing w:after="0" w:line="6" w:lineRule="exact"/>
        <w:rPr>
          <w:rFonts w:ascii="Arial" w:cs="Arial" w:eastAsia="Arial" w:hAnsi="Arial"/>
          <w:sz w:val="18"/>
          <w:szCs w:val="18"/>
          <w:u w:val="single" w:color="auto"/>
          <w:color w:val="0000FF"/>
        </w:rPr>
      </w:pPr>
    </w:p>
    <w:p>
      <w:pPr>
        <w:jc w:val="both"/>
        <w:ind w:left="2460" w:right="120" w:hanging="519"/>
        <w:spacing w:after="0" w:line="242" w:lineRule="auto"/>
        <w:tabs>
          <w:tab w:leader="none" w:pos="2460" w:val="left"/>
        </w:tabs>
        <w:numPr>
          <w:ilvl w:val="0"/>
          <w:numId w:val="23"/>
        </w:numPr>
        <w:rPr>
          <w:rFonts w:ascii="Arial" w:cs="Arial" w:eastAsia="Arial" w:hAnsi="Arial"/>
          <w:sz w:val="17"/>
          <w:szCs w:val="17"/>
          <w:u w:val="single" w:color="auto"/>
          <w:color w:val="0000FF"/>
        </w:rPr>
      </w:pPr>
      <w:hyperlink r:id="rId192">
        <w:r>
          <w:rPr>
            <w:rFonts w:ascii="Arial" w:cs="Arial" w:eastAsia="Arial" w:hAnsi="Arial"/>
            <w:sz w:val="17"/>
            <w:szCs w:val="17"/>
            <w:u w:val="single" w:color="auto"/>
            <w:color w:val="0000FF"/>
          </w:rPr>
          <w:t>Acuity Brands Lighting, Inc. Severance Agreement,</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entered into as of March 28, 2018, by and between</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Acuity Brands Lighting, Inc. and Karen J. Holcom.</w:t>
        </w:r>
      </w:hyperlink>
    </w:p>
    <w:p>
      <w:pPr>
        <w:spacing w:after="0" w:line="178" w:lineRule="exact"/>
        <w:rPr>
          <w:rFonts w:ascii="Arial" w:cs="Arial" w:eastAsia="Arial" w:hAnsi="Arial"/>
          <w:sz w:val="17"/>
          <w:szCs w:val="17"/>
          <w:u w:val="single" w:color="auto"/>
          <w:color w:val="0000FF"/>
        </w:rPr>
      </w:pPr>
    </w:p>
    <w:p>
      <w:pPr>
        <w:ind w:left="2460" w:right="30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Lighting, Inc. and Karen J. Holcom.</w:t>
        </w:r>
      </w:hyperlink>
    </w:p>
    <w:p>
      <w:pPr>
        <w:spacing w:after="0" w:line="182" w:lineRule="exact"/>
        <w:rPr>
          <w:rFonts w:ascii="Arial" w:cs="Arial" w:eastAsia="Arial" w:hAnsi="Arial"/>
          <w:sz w:val="18"/>
          <w:szCs w:val="18"/>
          <w:u w:val="single" w:color="auto"/>
          <w:color w:val="0000FF"/>
        </w:rPr>
      </w:pPr>
    </w:p>
    <w:p>
      <w:pPr>
        <w:ind w:left="2460" w:right="30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Lighting, Inc. and Karen J. Holcom.</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8" w:lineRule="exact"/>
        <w:rPr>
          <w:rFonts w:ascii="Arial" w:cs="Arial" w:eastAsia="Arial" w:hAnsi="Arial"/>
          <w:sz w:val="18"/>
          <w:szCs w:val="18"/>
          <w:u w:val="single" w:color="auto"/>
          <w:color w:val="0000FF"/>
        </w:rPr>
      </w:pPr>
    </w:p>
    <w:p>
      <w:pPr>
        <w:ind w:right="100"/>
        <w:spacing w:after="0" w:line="242" w:lineRule="auto"/>
        <w:rPr>
          <w:sz w:val="20"/>
          <w:szCs w:val="20"/>
          <w:color w:val="auto"/>
        </w:rPr>
      </w:pPr>
      <w:r>
        <w:rPr>
          <w:rFonts w:ascii="Arial" w:cs="Arial" w:eastAsia="Arial" w:hAnsi="Arial"/>
          <w:sz w:val="17"/>
          <w:szCs w:val="17"/>
          <w:color w:val="auto"/>
        </w:rPr>
        <w:t>Reference is made to Exhibit 10.5 of registrant’s Form 8-K as filed with the Commission on January 9, 2020, which is incorporated herein by reference.</w:t>
      </w:r>
    </w:p>
    <w:p>
      <w:pPr>
        <w:spacing w:after="0" w:line="3" w:lineRule="exact"/>
        <w:rPr>
          <w:rFonts w:ascii="Arial" w:cs="Arial" w:eastAsia="Arial" w:hAnsi="Arial"/>
          <w:sz w:val="18"/>
          <w:szCs w:val="18"/>
          <w:u w:val="single" w:color="auto"/>
          <w:color w:val="0000FF"/>
        </w:rPr>
      </w:pPr>
    </w:p>
    <w:p>
      <w:pPr>
        <w:spacing w:after="0" w:line="242" w:lineRule="auto"/>
        <w:rPr>
          <w:sz w:val="20"/>
          <w:szCs w:val="20"/>
          <w:color w:val="auto"/>
        </w:rPr>
      </w:pPr>
      <w:r>
        <w:rPr>
          <w:rFonts w:ascii="Arial" w:cs="Arial" w:eastAsia="Arial" w:hAnsi="Arial"/>
          <w:sz w:val="17"/>
          <w:szCs w:val="17"/>
          <w:color w:val="auto"/>
        </w:rPr>
        <w:t>Reference is made to Exhibit 10(c) of registrant’s Form 10-Q as filed with the Commission on June 26, 2025, which is incorporated herein by reference.</w:t>
      </w:r>
    </w:p>
    <w:p>
      <w:pPr>
        <w:spacing w:after="0" w:line="3" w:lineRule="exact"/>
        <w:rPr>
          <w:rFonts w:ascii="Arial" w:cs="Arial" w:eastAsia="Arial" w:hAnsi="Arial"/>
          <w:sz w:val="18"/>
          <w:szCs w:val="18"/>
          <w:u w:val="single" w:color="auto"/>
          <w:color w:val="0000FF"/>
        </w:rPr>
      </w:pPr>
    </w:p>
    <w:p>
      <w:pPr>
        <w:spacing w:after="0" w:line="242" w:lineRule="auto"/>
        <w:rPr>
          <w:sz w:val="20"/>
          <w:szCs w:val="20"/>
          <w:color w:val="auto"/>
        </w:rPr>
      </w:pPr>
      <w:r>
        <w:rPr>
          <w:rFonts w:ascii="Arial" w:cs="Arial" w:eastAsia="Arial" w:hAnsi="Arial"/>
          <w:sz w:val="17"/>
          <w:szCs w:val="17"/>
          <w:color w:val="auto"/>
        </w:rPr>
        <w:t>Reference is made to Exhibit 10.1 of registrant’s Form 8-K filed with the Commission on November 18, 2005, which is incorporated herein by reference.</w:t>
      </w:r>
    </w:p>
    <w:p>
      <w:pPr>
        <w:spacing w:after="0" w:line="3"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10(iii)A(81) of registrant’s Form 10-K as filed with the Commission on October 30, 2009,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spacing w:after="0" w:line="237" w:lineRule="auto"/>
        <w:rPr>
          <w:sz w:val="20"/>
          <w:szCs w:val="20"/>
          <w:color w:val="auto"/>
        </w:rPr>
      </w:pPr>
      <w:r>
        <w:rPr>
          <w:rFonts w:ascii="Arial" w:cs="Arial" w:eastAsia="Arial" w:hAnsi="Arial"/>
          <w:sz w:val="17"/>
          <w:szCs w:val="17"/>
          <w:color w:val="auto"/>
        </w:rPr>
        <w:t>Reference is made to Exhibit 10(f) of registrant’s Form 10-Q as filed with the Commission on March 31, 2010, which is incorporated herein by reference.</w:t>
      </w:r>
    </w:p>
    <w:p>
      <w:pPr>
        <w:spacing w:after="0" w:line="6"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10(iii)A(4) of registrant's Form 10-Q as filed with the Commission on April 2, 2014, which is incorporated herein by</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10(iii)A(46) of registrant's Form 10-K as filed with the Commission on October 29, 2014,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10(iii)A(43) of registrant's Form 10-K as filed with the Commission on October 27, 2015,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10(iii)A(44) of registrant's Form 10-K as filed with the Commission on October 27, 2016,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10(iii)A(45) of registrant's Form 10-K as filed with the Commission on October 26, 2017,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spacing w:after="0" w:line="237" w:lineRule="auto"/>
        <w:rPr>
          <w:sz w:val="20"/>
          <w:szCs w:val="20"/>
          <w:color w:val="auto"/>
        </w:rPr>
      </w:pPr>
      <w:r>
        <w:rPr>
          <w:rFonts w:ascii="Arial" w:cs="Arial" w:eastAsia="Arial" w:hAnsi="Arial"/>
          <w:sz w:val="17"/>
          <w:szCs w:val="17"/>
          <w:color w:val="auto"/>
        </w:rPr>
        <w:t>Reference is made to Exhibit 10(a) of registrant's Form 10-Q as filed with the Commission on January 9, 2019, which is incorporated herein by reference.</w:t>
      </w:r>
    </w:p>
    <w:p>
      <w:pPr>
        <w:spacing w:after="0" w:line="6" w:lineRule="exact"/>
        <w:rPr>
          <w:rFonts w:ascii="Arial" w:cs="Arial" w:eastAsia="Arial" w:hAnsi="Arial"/>
          <w:sz w:val="18"/>
          <w:szCs w:val="18"/>
          <w:u w:val="single" w:color="auto"/>
          <w:color w:val="0000FF"/>
        </w:rPr>
      </w:pPr>
    </w:p>
    <w:p>
      <w:pPr>
        <w:ind w:right="80"/>
        <w:spacing w:after="0" w:line="227" w:lineRule="auto"/>
        <w:rPr>
          <w:sz w:val="20"/>
          <w:szCs w:val="20"/>
          <w:color w:val="auto"/>
        </w:rPr>
      </w:pPr>
      <w:r>
        <w:rPr>
          <w:rFonts w:ascii="Arial" w:cs="Arial" w:eastAsia="Arial" w:hAnsi="Arial"/>
          <w:sz w:val="18"/>
          <w:szCs w:val="18"/>
          <w:color w:val="auto"/>
        </w:rPr>
        <w:t>Reference is made to Exhibit 10(b) of registrant's Form 10-Q as filed with the Commission on April 3, 2019, which is incorporated herein by reference.</w:t>
      </w:r>
    </w:p>
    <w:p>
      <w:pPr>
        <w:spacing w:after="0" w:line="7"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10(iii)A(51) of registrant's Form 10-K as filed with the Commission on October 29, 2019,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10(iii)A(52) of registrant's Form 10-K as filed with the Commission on October 29, 2019,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10(iii)A(53) of registrant's Form 10-K as filed with the Commission on October 29, 2019, which is incorporated herein</w:t>
      </w:r>
    </w:p>
    <w:p>
      <w:pPr>
        <w:spacing w:after="0"/>
        <w:rPr>
          <w:sz w:val="20"/>
          <w:szCs w:val="20"/>
          <w:color w:val="auto"/>
        </w:rPr>
      </w:pPr>
      <w:r>
        <w:rPr>
          <w:rFonts w:ascii="Arial" w:cs="Arial" w:eastAsia="Arial" w:hAnsi="Arial"/>
          <w:sz w:val="18"/>
          <w:szCs w:val="18"/>
          <w:color w:val="auto"/>
        </w:rPr>
        <w:t>by reference.</w:t>
      </w:r>
    </w:p>
    <w:p>
      <w:pPr>
        <w:sectPr>
          <w:pgSz w:w="11900" w:h="16838" w:orient="portrait"/>
          <w:cols w:equalWidth="0" w:num="2">
            <w:col w:w="6640" w:space="400"/>
            <w:col w:w="4140"/>
          </w:cols>
          <w:pgMar w:left="320" w:top="242" w:right="3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1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60" w:right="28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Amendment No. 3 to Acuity Brands Lighting, Inc.</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Lighting, Inc. and Karen J. Holcom.</w:t>
        </w:r>
      </w:hyperlink>
    </w:p>
    <w:p>
      <w:pPr>
        <w:spacing w:after="0" w:line="6" w:lineRule="exact"/>
        <w:rPr>
          <w:rFonts w:ascii="Arial" w:cs="Arial" w:eastAsia="Arial" w:hAnsi="Arial"/>
          <w:sz w:val="18"/>
          <w:szCs w:val="18"/>
          <w:u w:val="single" w:color="auto"/>
          <w:color w:val="0000FF"/>
        </w:rPr>
      </w:pPr>
    </w:p>
    <w:p>
      <w:pPr>
        <w:ind w:left="2460" w:right="28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Amendment No. 4 to Acuity Brands Lighting, Inc.</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Lighting, Inc. and Karen J. Holcom.</w:t>
        </w:r>
      </w:hyperlink>
    </w:p>
    <w:p>
      <w:pPr>
        <w:spacing w:after="0" w:line="182"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and Karen J. Holcom.</w:t>
        </w:r>
      </w:hyperlink>
    </w:p>
    <w:p>
      <w:pPr>
        <w:spacing w:after="0" w:line="182" w:lineRule="exact"/>
        <w:rPr>
          <w:rFonts w:ascii="Arial" w:cs="Arial" w:eastAsia="Arial" w:hAnsi="Arial"/>
          <w:sz w:val="18"/>
          <w:szCs w:val="18"/>
          <w:u w:val="single" w:color="auto"/>
          <w:color w:val="0000FF"/>
        </w:rPr>
      </w:pPr>
    </w:p>
    <w:p>
      <w:pPr>
        <w:ind w:left="2460" w:right="2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Karen J. Holcom.</w:t>
        </w:r>
      </w:hyperlink>
    </w:p>
    <w:p>
      <w:pPr>
        <w:spacing w:after="0" w:line="182" w:lineRule="exact"/>
        <w:rPr>
          <w:rFonts w:ascii="Arial" w:cs="Arial" w:eastAsia="Arial" w:hAnsi="Arial"/>
          <w:sz w:val="18"/>
          <w:szCs w:val="18"/>
          <w:u w:val="single" w:color="auto"/>
          <w:color w:val="0000FF"/>
        </w:rPr>
      </w:pPr>
    </w:p>
    <w:p>
      <w:pPr>
        <w:ind w:left="2460" w:right="2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0">
        <w:r>
          <w:rPr>
            <w:rFonts w:ascii="Arial" w:cs="Arial" w:eastAsia="Arial" w:hAnsi="Arial"/>
            <w:sz w:val="17"/>
            <w:szCs w:val="17"/>
            <w:u w:val="single" w:color="auto"/>
            <w:color w:val="0000FF"/>
          </w:rPr>
          <w:t>Change in Control Agreement dated March 28,</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2018, by and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Goldman.</w:t>
        </w:r>
      </w:hyperlink>
    </w:p>
    <w:p>
      <w:pPr>
        <w:spacing w:after="0" w:line="193" w:lineRule="exact"/>
        <w:rPr>
          <w:rFonts w:ascii="Arial" w:cs="Arial" w:eastAsia="Arial" w:hAnsi="Arial"/>
          <w:sz w:val="18"/>
          <w:szCs w:val="18"/>
          <w:u w:val="single" w:color="auto"/>
          <w:color w:val="0000FF"/>
        </w:rPr>
      </w:pPr>
    </w:p>
    <w:p>
      <w:pPr>
        <w:ind w:left="2460" w:right="2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Amendment No. 1 to Acuity Brands, Inc. Change in</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Barry R. Goldman.</w:t>
        </w:r>
      </w:hyperlink>
    </w:p>
    <w:p>
      <w:pPr>
        <w:spacing w:after="0" w:line="182" w:lineRule="exact"/>
        <w:rPr>
          <w:rFonts w:ascii="Arial" w:cs="Arial" w:eastAsia="Arial" w:hAnsi="Arial"/>
          <w:sz w:val="18"/>
          <w:szCs w:val="18"/>
          <w:u w:val="single" w:color="auto"/>
          <w:color w:val="0000FF"/>
        </w:rPr>
      </w:pPr>
    </w:p>
    <w:p>
      <w:pPr>
        <w:ind w:left="2460" w:right="28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Severance Agreement dated March 28, 2020, by</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and between Acuity Brands, Inc. and Barry R.</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Goldman.</w:t>
        </w:r>
      </w:hyperlink>
    </w:p>
    <w:p>
      <w:pPr>
        <w:spacing w:after="0" w:line="182" w:lineRule="exact"/>
        <w:rPr>
          <w:rFonts w:ascii="Arial" w:cs="Arial" w:eastAsia="Arial" w:hAnsi="Arial"/>
          <w:sz w:val="18"/>
          <w:szCs w:val="18"/>
          <w:u w:val="single" w:color="auto"/>
          <w:color w:val="0000FF"/>
        </w:rPr>
      </w:pPr>
    </w:p>
    <w:p>
      <w:pPr>
        <w:ind w:left="2460" w:right="6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Goldman.</w:t>
        </w:r>
      </w:hyperlink>
    </w:p>
    <w:p>
      <w:pPr>
        <w:spacing w:after="0" w:line="193" w:lineRule="exact"/>
        <w:rPr>
          <w:rFonts w:ascii="Arial" w:cs="Arial" w:eastAsia="Arial" w:hAnsi="Arial"/>
          <w:sz w:val="18"/>
          <w:szCs w:val="18"/>
          <w:u w:val="single" w:color="auto"/>
          <w:color w:val="0000FF"/>
        </w:rPr>
      </w:pPr>
    </w:p>
    <w:p>
      <w:pPr>
        <w:ind w:left="2460" w:right="6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4">
        <w:r>
          <w:rPr>
            <w:rFonts w:ascii="Arial" w:cs="Arial" w:eastAsia="Arial" w:hAnsi="Arial"/>
            <w:sz w:val="17"/>
            <w:szCs w:val="17"/>
            <w:u w:val="single" w:color="auto"/>
            <w:color w:val="0000FF"/>
          </w:rPr>
          <w:t>Amendment No. 2 to Acuity Brands, Inc. Severance</w:t>
        </w:r>
      </w:hyperlink>
      <w:r>
        <w:rPr>
          <w:rFonts w:ascii="Arial" w:cs="Arial" w:eastAsia="Arial" w:hAnsi="Arial"/>
          <w:sz w:val="17"/>
          <w:szCs w:val="17"/>
          <w:u w:val="single" w:color="auto"/>
          <w:color w:val="0000FF"/>
        </w:rPr>
        <w:t xml:space="preserve"> </w:t>
      </w:r>
      <w:hyperlink r:id="rId204">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Goldman.</w:t>
        </w:r>
      </w:hyperlink>
    </w:p>
    <w:p>
      <w:pPr>
        <w:spacing w:after="0" w:line="193" w:lineRule="exact"/>
        <w:rPr>
          <w:rFonts w:ascii="Arial" w:cs="Arial" w:eastAsia="Arial" w:hAnsi="Arial"/>
          <w:sz w:val="18"/>
          <w:szCs w:val="18"/>
          <w:u w:val="single" w:color="auto"/>
          <w:color w:val="0000FF"/>
        </w:rPr>
      </w:pPr>
    </w:p>
    <w:p>
      <w:pPr>
        <w:ind w:left="2460" w:right="6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5">
        <w:r>
          <w:rPr>
            <w:rFonts w:ascii="Arial" w:cs="Arial" w:eastAsia="Arial" w:hAnsi="Arial"/>
            <w:sz w:val="17"/>
            <w:szCs w:val="17"/>
            <w:u w:val="single" w:color="auto"/>
            <w:color w:val="0000FF"/>
          </w:rPr>
          <w:t>Amendment No. 3 to Acuity Brands, Inc. Severance</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Goldman.</w:t>
        </w:r>
      </w:hyperlink>
    </w:p>
    <w:p>
      <w:pPr>
        <w:spacing w:after="0" w:line="261" w:lineRule="exact"/>
        <w:rPr>
          <w:rFonts w:ascii="Arial" w:cs="Arial" w:eastAsia="Arial" w:hAnsi="Arial"/>
          <w:sz w:val="18"/>
          <w:szCs w:val="18"/>
          <w:u w:val="single" w:color="auto"/>
          <w:color w:val="0000FF"/>
        </w:rPr>
      </w:pPr>
    </w:p>
    <w:p>
      <w:pPr>
        <w:ind w:left="2460" w:right="6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6">
        <w:r>
          <w:rPr>
            <w:rFonts w:ascii="Arial" w:cs="Arial" w:eastAsia="Arial" w:hAnsi="Arial"/>
            <w:sz w:val="17"/>
            <w:szCs w:val="17"/>
            <w:u w:val="single" w:color="auto"/>
            <w:color w:val="0000FF"/>
          </w:rPr>
          <w:t>Amendment No. 4 to Acuity Brands, Inc. Severance</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Goldman.</w:t>
        </w:r>
      </w:hyperlink>
    </w:p>
    <w:p>
      <w:pPr>
        <w:spacing w:after="0" w:line="261" w:lineRule="exact"/>
        <w:rPr>
          <w:rFonts w:ascii="Arial" w:cs="Arial" w:eastAsia="Arial" w:hAnsi="Arial"/>
          <w:sz w:val="18"/>
          <w:szCs w:val="18"/>
          <w:u w:val="single" w:color="auto"/>
          <w:color w:val="0000FF"/>
        </w:rPr>
      </w:pPr>
    </w:p>
    <w:p>
      <w:pPr>
        <w:ind w:left="2460" w:right="4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Change in Control Agreement dated March 2, 2020,</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by and between Acuity Brands, Inc. and Dianne S.</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Mills.</w:t>
        </w:r>
      </w:hyperlink>
    </w:p>
    <w:p>
      <w:pPr>
        <w:spacing w:after="0" w:line="182" w:lineRule="exact"/>
        <w:rPr>
          <w:rFonts w:ascii="Arial" w:cs="Arial" w:eastAsia="Arial" w:hAnsi="Arial"/>
          <w:sz w:val="18"/>
          <w:szCs w:val="18"/>
          <w:u w:val="single" w:color="auto"/>
          <w:color w:val="0000FF"/>
        </w:rPr>
      </w:pPr>
    </w:p>
    <w:p>
      <w:pPr>
        <w:ind w:left="2460" w:right="40" w:hanging="519"/>
        <w:spacing w:after="0" w:line="268" w:lineRule="auto"/>
        <w:tabs>
          <w:tab w:leader="none" w:pos="2460" w:val="left"/>
        </w:tabs>
        <w:numPr>
          <w:ilvl w:val="0"/>
          <w:numId w:val="24"/>
        </w:numPr>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Severance Agreement dated March 2, 2020, by and</w:t>
        </w:r>
      </w:hyperlink>
      <w:r>
        <w:rPr>
          <w:rFonts w:ascii="Arial" w:cs="Arial" w:eastAsia="Arial" w:hAnsi="Arial"/>
          <w:sz w:val="17"/>
          <w:szCs w:val="17"/>
          <w:u w:val="single" w:color="auto"/>
          <w:color w:val="0000FF"/>
        </w:rPr>
        <w:t xml:space="preserve"> </w:t>
      </w:r>
      <w:hyperlink r:id="rId208">
        <w:r>
          <w:rPr>
            <w:rFonts w:ascii="Arial" w:cs="Arial" w:eastAsia="Arial" w:hAnsi="Arial"/>
            <w:sz w:val="17"/>
            <w:szCs w:val="17"/>
            <w:u w:val="single" w:color="auto"/>
            <w:color w:val="0000FF"/>
          </w:rPr>
          <w:t>between Acuity Brands, Inc. and Dianne S. Mills.</w:t>
        </w:r>
      </w:hyperlink>
    </w:p>
    <w:p>
      <w:pPr>
        <w:spacing w:after="0" w:line="332" w:lineRule="exact"/>
        <w:rPr>
          <w:rFonts w:ascii="Arial" w:cs="Arial" w:eastAsia="Arial" w:hAnsi="Arial"/>
          <w:sz w:val="17"/>
          <w:szCs w:val="17"/>
          <w:u w:val="single" w:color="auto"/>
          <w:color w:val="0000FF"/>
        </w:rPr>
      </w:pPr>
    </w:p>
    <w:p>
      <w:pPr>
        <w:jc w:val="both"/>
        <w:ind w:left="2460" w:right="40" w:hanging="519"/>
        <w:spacing w:after="0" w:line="226" w:lineRule="auto"/>
        <w:tabs>
          <w:tab w:leader="none" w:pos="2460" w:val="left"/>
        </w:tabs>
        <w:numPr>
          <w:ilvl w:val="0"/>
          <w:numId w:val="24"/>
        </w:numPr>
        <w:rPr>
          <w:rFonts w:ascii="Arial" w:cs="Arial" w:eastAsia="Arial" w:hAnsi="Arial"/>
          <w:sz w:val="17"/>
          <w:szCs w:val="17"/>
          <w:u w:val="single" w:color="auto"/>
          <w:color w:val="0000FF"/>
        </w:rPr>
      </w:pPr>
      <w:hyperlink r:id="rId209">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209">
        <w:r>
          <w:rPr>
            <w:rFonts w:ascii="Arial" w:cs="Arial" w:eastAsia="Arial" w:hAnsi="Arial"/>
            <w:sz w:val="17"/>
            <w:szCs w:val="17"/>
            <w:u w:val="single" w:color="auto"/>
            <w:color w:val="0000FF"/>
          </w:rPr>
          <w:t>Agreement between Acuity Brands, Inc. and Dianne</w:t>
        </w:r>
      </w:hyperlink>
    </w:p>
    <w:p>
      <w:pPr>
        <w:ind w:left="2680" w:hanging="224"/>
        <w:spacing w:after="0"/>
        <w:tabs>
          <w:tab w:leader="none" w:pos="2680" w:val="left"/>
        </w:tabs>
        <w:numPr>
          <w:ilvl w:val="1"/>
          <w:numId w:val="25"/>
        </w:numPr>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Mills.</w:t>
        </w:r>
      </w:hyperlink>
    </w:p>
    <w:p>
      <w:pPr>
        <w:spacing w:after="0" w:line="193"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6"/>
        </w:numPr>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Form of Indemnification Agreement.</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8"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8" w:lineRule="exact"/>
        <w:rPr>
          <w:rFonts w:ascii="Arial" w:cs="Arial" w:eastAsia="Arial" w:hAnsi="Arial"/>
          <w:sz w:val="18"/>
          <w:szCs w:val="18"/>
          <w:u w:val="single" w:color="auto"/>
          <w:color w:val="0000FF"/>
        </w:rPr>
      </w:pPr>
    </w:p>
    <w:p>
      <w:pPr>
        <w:spacing w:after="0" w:line="242" w:lineRule="auto"/>
        <w:rPr>
          <w:sz w:val="20"/>
          <w:szCs w:val="20"/>
          <w:color w:val="auto"/>
        </w:rPr>
      </w:pPr>
      <w:r>
        <w:rPr>
          <w:rFonts w:ascii="Arial" w:cs="Arial" w:eastAsia="Arial" w:hAnsi="Arial"/>
          <w:sz w:val="17"/>
          <w:szCs w:val="17"/>
          <w:color w:val="auto"/>
        </w:rPr>
        <w:t>Reference is made to Exhibit 10(b) of registrant's Form 10-Q as filed with the Commission on January 7, 2020, which is incorporated herein by reference.</w:t>
      </w:r>
    </w:p>
    <w:p>
      <w:pPr>
        <w:spacing w:after="0" w:line="3"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10(iii)A(43) of registrant’s Form 10-K as filed with the Commission on October 28, 2024,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10(iii)A(54) of registrant's Form 10-K as filed with the Commission on October 29, 2019,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10(iii)A(55) of registrant's Form 10-K as filed with the Commission on October 29, 2019,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10(iii)A(81)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10(iii)A(82)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10(iii)A(83)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10(iii)A(84)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10(iii)A(85)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10(iii)A(86)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72"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10(iii)A(80) of registrant’s Form 10-K as filed with the Commission on October 27, 2021,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72"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10(iii)A(87) of registrant’s Form 10-K as filed with the Commission on October 23, 2020,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10(iii)A(88) of registrant’s Form 10-K as filed with the Commission on October 23, 2020,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10(iii)A(83) of registrant’s Form 10-K as filed with the Commission on October 27, 2021,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40"/>
        <w:spacing w:after="0" w:line="237" w:lineRule="auto"/>
        <w:rPr>
          <w:sz w:val="20"/>
          <w:szCs w:val="20"/>
          <w:color w:val="auto"/>
        </w:rPr>
      </w:pPr>
      <w:r>
        <w:rPr>
          <w:rFonts w:ascii="Arial" w:cs="Arial" w:eastAsia="Arial" w:hAnsi="Arial"/>
          <w:sz w:val="17"/>
          <w:szCs w:val="17"/>
          <w:color w:val="auto"/>
        </w:rPr>
        <w:t>Reference is made to Exhibit 10.1 of registrant’s Form 8-K as filed with the Commission on February 9, 2010, which is incorporated herein by reference.</w:t>
      </w:r>
    </w:p>
    <w:p>
      <w:pPr>
        <w:sectPr>
          <w:pgSz w:w="11900" w:h="16838" w:orient="portrait"/>
          <w:cols w:equalWidth="0" w:num="2">
            <w:col w:w="6620" w:space="420"/>
            <w:col w:w="4140"/>
          </w:cols>
          <w:pgMar w:left="320" w:top="242" w:right="3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00"/>
          </w:cols>
          <w:pgMar w:left="320" w:top="2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60" w:right="20" w:hanging="519"/>
        <w:spacing w:after="0"/>
        <w:tabs>
          <w:tab w:leader="none" w:pos="2460" w:val="left"/>
        </w:tabs>
        <w:numPr>
          <w:ilvl w:val="0"/>
          <w:numId w:val="27"/>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stock options, effective October 24, 2013.</w:t>
        </w:r>
      </w:hyperlink>
    </w:p>
    <w:p>
      <w:pPr>
        <w:spacing w:after="0" w:line="355" w:lineRule="exact"/>
        <w:rPr>
          <w:rFonts w:ascii="Arial" w:cs="Arial" w:eastAsia="Arial" w:hAnsi="Arial"/>
          <w:sz w:val="18"/>
          <w:szCs w:val="18"/>
          <w:u w:val="single" w:color="auto"/>
          <w:color w:val="0000FF"/>
        </w:rPr>
      </w:pPr>
    </w:p>
    <w:p>
      <w:pPr>
        <w:ind w:left="2460" w:right="20" w:hanging="519"/>
        <w:spacing w:after="0"/>
        <w:tabs>
          <w:tab w:leader="none" w:pos="2460" w:val="left"/>
        </w:tabs>
        <w:numPr>
          <w:ilvl w:val="0"/>
          <w:numId w:val="27"/>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stock options, effective October 27, 2014.</w:t>
        </w:r>
      </w:hyperlink>
    </w:p>
    <w:p>
      <w:pPr>
        <w:spacing w:after="0" w:line="355" w:lineRule="exact"/>
        <w:rPr>
          <w:rFonts w:ascii="Arial" w:cs="Arial" w:eastAsia="Arial" w:hAnsi="Arial"/>
          <w:sz w:val="18"/>
          <w:szCs w:val="18"/>
          <w:u w:val="single" w:color="auto"/>
          <w:color w:val="0000FF"/>
        </w:rPr>
      </w:pPr>
    </w:p>
    <w:p>
      <w:pPr>
        <w:ind w:left="2460" w:right="20" w:hanging="519"/>
        <w:spacing w:after="0"/>
        <w:tabs>
          <w:tab w:leader="none" w:pos="2460" w:val="left"/>
        </w:tabs>
        <w:numPr>
          <w:ilvl w:val="0"/>
          <w:numId w:val="27"/>
        </w:numPr>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stock options, effective April 1, 2016.</w:t>
        </w:r>
      </w:hyperlink>
    </w:p>
    <w:p>
      <w:pPr>
        <w:spacing w:after="0" w:line="355" w:lineRule="exact"/>
        <w:rPr>
          <w:rFonts w:ascii="Arial" w:cs="Arial" w:eastAsia="Arial" w:hAnsi="Arial"/>
          <w:sz w:val="18"/>
          <w:szCs w:val="18"/>
          <w:u w:val="single" w:color="auto"/>
          <w:color w:val="0000FF"/>
        </w:rPr>
      </w:pPr>
    </w:p>
    <w:p>
      <w:pPr>
        <w:ind w:left="2460" w:right="60" w:hanging="519"/>
        <w:spacing w:after="0"/>
        <w:tabs>
          <w:tab w:leader="none" w:pos="2460" w:val="left"/>
        </w:tabs>
        <w:numPr>
          <w:ilvl w:val="0"/>
          <w:numId w:val="27"/>
        </w:numPr>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Grantees.</w:t>
        </w:r>
      </w:hyperlink>
    </w:p>
    <w:p>
      <w:pPr>
        <w:spacing w:after="0" w:line="355" w:lineRule="exact"/>
        <w:rPr>
          <w:rFonts w:ascii="Arial" w:cs="Arial" w:eastAsia="Arial" w:hAnsi="Arial"/>
          <w:sz w:val="18"/>
          <w:szCs w:val="18"/>
          <w:u w:val="single" w:color="auto"/>
          <w:color w:val="0000FF"/>
        </w:rPr>
      </w:pPr>
    </w:p>
    <w:p>
      <w:pPr>
        <w:ind w:left="2460" w:right="80" w:hanging="519"/>
        <w:spacing w:after="0"/>
        <w:tabs>
          <w:tab w:leader="none" w:pos="2460" w:val="left"/>
        </w:tabs>
        <w:numPr>
          <w:ilvl w:val="0"/>
          <w:numId w:val="27"/>
        </w:numPr>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Non-U.S. Grantees.</w:t>
        </w:r>
      </w:hyperlink>
    </w:p>
    <w:p>
      <w:pPr>
        <w:spacing w:after="0" w:line="355" w:lineRule="exact"/>
        <w:rPr>
          <w:rFonts w:ascii="Arial" w:cs="Arial" w:eastAsia="Arial" w:hAnsi="Arial"/>
          <w:sz w:val="18"/>
          <w:szCs w:val="18"/>
          <w:u w:val="single" w:color="auto"/>
          <w:color w:val="0000FF"/>
        </w:rPr>
      </w:pPr>
    </w:p>
    <w:p>
      <w:pPr>
        <w:ind w:left="2460" w:right="880" w:hanging="519"/>
        <w:spacing w:after="0"/>
        <w:tabs>
          <w:tab w:leader="none" w:pos="2460" w:val="left"/>
        </w:tabs>
        <w:numPr>
          <w:ilvl w:val="0"/>
          <w:numId w:val="27"/>
        </w:numPr>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Agreement.</w:t>
        </w:r>
      </w:hyperlink>
    </w:p>
    <w:p>
      <w:pPr>
        <w:spacing w:after="0" w:line="355" w:lineRule="exact"/>
        <w:rPr>
          <w:rFonts w:ascii="Arial" w:cs="Arial" w:eastAsia="Arial" w:hAnsi="Arial"/>
          <w:sz w:val="18"/>
          <w:szCs w:val="18"/>
          <w:u w:val="single" w:color="auto"/>
          <w:color w:val="0000FF"/>
        </w:rPr>
      </w:pPr>
    </w:p>
    <w:p>
      <w:pPr>
        <w:jc w:val="both"/>
        <w:ind w:left="2460" w:right="860" w:hanging="519"/>
        <w:spacing w:after="0" w:line="268" w:lineRule="auto"/>
        <w:tabs>
          <w:tab w:leader="none" w:pos="2460" w:val="left"/>
        </w:tabs>
        <w:numPr>
          <w:ilvl w:val="0"/>
          <w:numId w:val="27"/>
        </w:numPr>
        <w:rPr>
          <w:rFonts w:ascii="Arial" w:cs="Arial" w:eastAsia="Arial" w:hAnsi="Arial"/>
          <w:sz w:val="17"/>
          <w:szCs w:val="17"/>
          <w:u w:val="single" w:color="auto"/>
          <w:color w:val="0000FF"/>
        </w:rPr>
      </w:pPr>
      <w:hyperlink r:id="rId218">
        <w:r>
          <w:rPr>
            <w:rFonts w:ascii="Arial" w:cs="Arial" w:eastAsia="Arial" w:hAnsi="Arial"/>
            <w:sz w:val="17"/>
            <w:szCs w:val="17"/>
            <w:u w:val="single" w:color="auto"/>
            <w:color w:val="0000FF"/>
          </w:rPr>
          <w:t>Form of Nonqualified Stock Option Award</w:t>
        </w:r>
      </w:hyperlink>
      <w:r>
        <w:rPr>
          <w:rFonts w:ascii="Arial" w:cs="Arial" w:eastAsia="Arial" w:hAnsi="Arial"/>
          <w:sz w:val="17"/>
          <w:szCs w:val="17"/>
          <w:u w:val="single" w:color="auto"/>
          <w:color w:val="0000FF"/>
        </w:rPr>
        <w:t xml:space="preserve"> </w:t>
      </w:r>
      <w:hyperlink r:id="rId218">
        <w:r>
          <w:rPr>
            <w:rFonts w:ascii="Arial" w:cs="Arial" w:eastAsia="Arial" w:hAnsi="Arial"/>
            <w:sz w:val="17"/>
            <w:szCs w:val="17"/>
            <w:u w:val="single" w:color="auto"/>
            <w:color w:val="0000FF"/>
          </w:rPr>
          <w:t>Agreement for Named Executive Officers.</w:t>
        </w:r>
      </w:hyperlink>
    </w:p>
    <w:p>
      <w:pPr>
        <w:spacing w:after="0" w:line="332" w:lineRule="exact"/>
        <w:rPr>
          <w:rFonts w:ascii="Arial" w:cs="Arial" w:eastAsia="Arial" w:hAnsi="Arial"/>
          <w:sz w:val="17"/>
          <w:szCs w:val="17"/>
          <w:u w:val="single" w:color="auto"/>
          <w:color w:val="0000FF"/>
        </w:rPr>
      </w:pPr>
    </w:p>
    <w:p>
      <w:pPr>
        <w:ind w:left="2460" w:right="660" w:hanging="519"/>
        <w:spacing w:after="0"/>
        <w:tabs>
          <w:tab w:leader="none" w:pos="2460" w:val="left"/>
        </w:tabs>
        <w:numPr>
          <w:ilvl w:val="0"/>
          <w:numId w:val="27"/>
        </w:numPr>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Acuity Brands, Inc. 2017 Management Cash</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Incentive Plan.</w:t>
        </w:r>
      </w:hyperlink>
    </w:p>
    <w:p>
      <w:pPr>
        <w:spacing w:after="0" w:line="355" w:lineRule="exact"/>
        <w:rPr>
          <w:rFonts w:ascii="Arial" w:cs="Arial" w:eastAsia="Arial" w:hAnsi="Arial"/>
          <w:sz w:val="18"/>
          <w:szCs w:val="18"/>
          <w:u w:val="single" w:color="auto"/>
          <w:color w:val="0000FF"/>
        </w:rPr>
      </w:pPr>
    </w:p>
    <w:p>
      <w:pPr>
        <w:ind w:left="2460" w:right="60" w:hanging="519"/>
        <w:spacing w:after="0"/>
        <w:tabs>
          <w:tab w:leader="none" w:pos="2460" w:val="left"/>
        </w:tabs>
        <w:numPr>
          <w:ilvl w:val="0"/>
          <w:numId w:val="27"/>
        </w:numPr>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Employees.</w:t>
        </w:r>
      </w:hyperlink>
    </w:p>
    <w:p>
      <w:pPr>
        <w:spacing w:after="0" w:line="355" w:lineRule="exact"/>
        <w:rPr>
          <w:rFonts w:ascii="Arial" w:cs="Arial" w:eastAsia="Arial" w:hAnsi="Arial"/>
          <w:sz w:val="18"/>
          <w:szCs w:val="18"/>
          <w:u w:val="single" w:color="auto"/>
          <w:color w:val="0000FF"/>
        </w:rPr>
      </w:pPr>
    </w:p>
    <w:p>
      <w:pPr>
        <w:ind w:left="2460" w:right="460" w:hanging="519"/>
        <w:spacing w:after="0"/>
        <w:tabs>
          <w:tab w:leader="none" w:pos="2460" w:val="left"/>
        </w:tabs>
        <w:numPr>
          <w:ilvl w:val="0"/>
          <w:numId w:val="27"/>
        </w:numPr>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Directors.</w:t>
        </w:r>
      </w:hyperlink>
    </w:p>
    <w:p>
      <w:pPr>
        <w:spacing w:after="0" w:line="355" w:lineRule="exact"/>
        <w:rPr>
          <w:rFonts w:ascii="Arial" w:cs="Arial" w:eastAsia="Arial" w:hAnsi="Arial"/>
          <w:sz w:val="18"/>
          <w:szCs w:val="18"/>
          <w:u w:val="single" w:color="auto"/>
          <w:color w:val="0000FF"/>
        </w:rPr>
      </w:pPr>
    </w:p>
    <w:p>
      <w:pPr>
        <w:ind w:left="2460" w:right="680" w:hanging="519"/>
        <w:spacing w:after="0"/>
        <w:tabs>
          <w:tab w:leader="none" w:pos="2460" w:val="left"/>
        </w:tabs>
        <w:numPr>
          <w:ilvl w:val="0"/>
          <w:numId w:val="27"/>
        </w:numPr>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Restricted Stock Award Agreement for Non-</w:t>
        </w:r>
      </w:hyperlink>
      <w:hyperlink r:id="rId222">
        <w:r>
          <w:rPr>
            <w:rFonts w:ascii="Arial" w:cs="Arial" w:eastAsia="Arial" w:hAnsi="Arial"/>
            <w:sz w:val="18"/>
            <w:szCs w:val="18"/>
            <w:u w:val="single" w:color="auto"/>
            <w:color w:val="0000FF"/>
          </w:rPr>
          <w:t>Employee Director.</w:t>
        </w:r>
      </w:hyperlink>
    </w:p>
    <w:p>
      <w:pPr>
        <w:spacing w:after="0" w:line="180" w:lineRule="exact"/>
        <w:rPr>
          <w:rFonts w:ascii="Arial" w:cs="Arial" w:eastAsia="Arial" w:hAnsi="Arial"/>
          <w:sz w:val="18"/>
          <w:szCs w:val="18"/>
          <w:u w:val="single" w:color="auto"/>
          <w:color w:val="0000FF"/>
        </w:rPr>
      </w:pPr>
    </w:p>
    <w:p>
      <w:pPr>
        <w:ind w:left="2460" w:right="680" w:hanging="519"/>
        <w:spacing w:after="0"/>
        <w:tabs>
          <w:tab w:leader="none" w:pos="2460" w:val="left"/>
        </w:tabs>
        <w:numPr>
          <w:ilvl w:val="0"/>
          <w:numId w:val="27"/>
        </w:numPr>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Deferred Stock Unit Award Agreement Non-</w:t>
        </w:r>
      </w:hyperlink>
      <w:hyperlink r:id="rId223">
        <w:r>
          <w:rPr>
            <w:rFonts w:ascii="Arial" w:cs="Arial" w:eastAsia="Arial" w:hAnsi="Arial"/>
            <w:sz w:val="18"/>
            <w:szCs w:val="18"/>
            <w:u w:val="single" w:color="auto"/>
            <w:color w:val="0000FF"/>
          </w:rPr>
          <w:t>Employee Directors.</w:t>
        </w:r>
      </w:hyperlink>
    </w:p>
    <w:p>
      <w:pPr>
        <w:spacing w:after="0" w:line="180" w:lineRule="exact"/>
        <w:rPr>
          <w:rFonts w:ascii="Arial" w:cs="Arial" w:eastAsia="Arial" w:hAnsi="Arial"/>
          <w:sz w:val="18"/>
          <w:szCs w:val="18"/>
          <w:u w:val="single" w:color="auto"/>
          <w:color w:val="0000FF"/>
        </w:rPr>
      </w:pPr>
    </w:p>
    <w:p>
      <w:pPr>
        <w:ind w:left="2460" w:hanging="519"/>
        <w:spacing w:after="0" w:line="225" w:lineRule="auto"/>
        <w:tabs>
          <w:tab w:leader="none" w:pos="2460" w:val="left"/>
        </w:tabs>
        <w:numPr>
          <w:ilvl w:val="0"/>
          <w:numId w:val="27"/>
        </w:numPr>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Agreement.</w:t>
        </w:r>
      </w:hyperlink>
    </w:p>
    <w:p>
      <w:pPr>
        <w:spacing w:after="0" w:line="2" w:lineRule="exact"/>
        <w:rPr>
          <w:rFonts w:ascii="Arial" w:cs="Arial" w:eastAsia="Arial" w:hAnsi="Arial"/>
          <w:sz w:val="18"/>
          <w:szCs w:val="18"/>
          <w:u w:val="single" w:color="auto"/>
          <w:color w:val="0000FF"/>
        </w:rPr>
      </w:pPr>
    </w:p>
    <w:p>
      <w:pPr>
        <w:ind w:left="2460" w:hanging="519"/>
        <w:spacing w:after="0" w:line="223" w:lineRule="auto"/>
        <w:tabs>
          <w:tab w:leader="none" w:pos="2460" w:val="left"/>
        </w:tabs>
        <w:numPr>
          <w:ilvl w:val="0"/>
          <w:numId w:val="27"/>
        </w:numPr>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Agreement.</w:t>
        </w:r>
      </w:hyperlink>
    </w:p>
    <w:p>
      <w:pPr>
        <w:ind w:left="2460" w:hanging="519"/>
        <w:spacing w:after="0" w:line="223" w:lineRule="auto"/>
        <w:tabs>
          <w:tab w:leader="none" w:pos="2460" w:val="left"/>
        </w:tabs>
        <w:numPr>
          <w:ilvl w:val="0"/>
          <w:numId w:val="27"/>
        </w:numPr>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Restricted Stock Unit Notification and Award</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8"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10(iii)A(1) of registrant's Form 10-Q as filed with the Commission on April 2, 2014, which is incorporated herein by</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40"/>
        <w:spacing w:after="0" w:line="212" w:lineRule="auto"/>
        <w:rPr>
          <w:sz w:val="20"/>
          <w:szCs w:val="20"/>
          <w:color w:val="auto"/>
        </w:rPr>
      </w:pPr>
      <w:r>
        <w:rPr>
          <w:rFonts w:ascii="Arial" w:cs="Arial" w:eastAsia="Arial" w:hAnsi="Arial"/>
          <w:sz w:val="18"/>
          <w:szCs w:val="18"/>
          <w:color w:val="auto"/>
        </w:rPr>
        <w:t>Reference is made to Exhibit 10(iii)A(66) of registrant's Form 10-K as filed with the Commission on October 29, 2014,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10(iii)A(1) of registrant's Form 10-Q as filed with the Commission on April 6, 2016, which is incorporated herein by</w:t>
      </w: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40"/>
        <w:spacing w:after="0" w:line="212" w:lineRule="auto"/>
        <w:rPr>
          <w:sz w:val="20"/>
          <w:szCs w:val="20"/>
          <w:color w:val="auto"/>
        </w:rPr>
      </w:pPr>
      <w:r>
        <w:rPr>
          <w:rFonts w:ascii="Arial" w:cs="Arial" w:eastAsia="Arial" w:hAnsi="Arial"/>
          <w:sz w:val="18"/>
          <w:szCs w:val="18"/>
          <w:color w:val="auto"/>
        </w:rPr>
        <w:t>Reference is made to Exhibit 10(iii)A(70) of registrant's Form 10-K as filed with the Commission on October 27, 2016,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40"/>
        <w:spacing w:after="0" w:line="212" w:lineRule="auto"/>
        <w:rPr>
          <w:sz w:val="20"/>
          <w:szCs w:val="20"/>
          <w:color w:val="auto"/>
        </w:rPr>
      </w:pPr>
      <w:r>
        <w:rPr>
          <w:rFonts w:ascii="Arial" w:cs="Arial" w:eastAsia="Arial" w:hAnsi="Arial"/>
          <w:sz w:val="18"/>
          <w:szCs w:val="18"/>
          <w:color w:val="auto"/>
        </w:rPr>
        <w:t>Reference is made to Exhibit 10(iii)A(72) of registrant's Form 10-K as filed with the Commission on October 26, 2017,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40"/>
        <w:spacing w:after="0" w:line="212" w:lineRule="auto"/>
        <w:rPr>
          <w:sz w:val="20"/>
          <w:szCs w:val="20"/>
          <w:color w:val="auto"/>
        </w:rPr>
      </w:pPr>
      <w:r>
        <w:rPr>
          <w:rFonts w:ascii="Arial" w:cs="Arial" w:eastAsia="Arial" w:hAnsi="Arial"/>
          <w:sz w:val="18"/>
          <w:szCs w:val="18"/>
          <w:color w:val="auto"/>
        </w:rPr>
        <w:t>Reference is made to Exhibit 10(iii)A(72) of registrant's Form 10-K as filed with the Commission on October 27, 2016,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40"/>
        <w:spacing w:after="0" w:line="212" w:lineRule="auto"/>
        <w:rPr>
          <w:sz w:val="20"/>
          <w:szCs w:val="20"/>
          <w:color w:val="auto"/>
        </w:rPr>
      </w:pPr>
      <w:r>
        <w:rPr>
          <w:rFonts w:ascii="Arial" w:cs="Arial" w:eastAsia="Arial" w:hAnsi="Arial"/>
          <w:sz w:val="18"/>
          <w:szCs w:val="18"/>
          <w:color w:val="auto"/>
        </w:rPr>
        <w:t>Reference is made to Exhibit 10(iii)A(73) of registrant's Form 10-K as filed with the Commission on October 27, 2016,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spacing w:after="0" w:line="224" w:lineRule="auto"/>
        <w:rPr>
          <w:sz w:val="20"/>
          <w:szCs w:val="20"/>
          <w:color w:val="auto"/>
        </w:rPr>
      </w:pPr>
      <w:r>
        <w:rPr>
          <w:rFonts w:ascii="Arial" w:cs="Arial" w:eastAsia="Arial" w:hAnsi="Arial"/>
          <w:sz w:val="17"/>
          <w:szCs w:val="17"/>
          <w:color w:val="auto"/>
        </w:rPr>
        <w:t>Reference is made to Annex B of registrant’s Proxy Statement as filed with the Commission on November 21, 2017, which is incorporated herein by</w:t>
      </w:r>
    </w:p>
    <w:p>
      <w:pPr>
        <w:spacing w:after="0" w:line="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10(iii)A(1) of registrant's Form 10-Q as filed with the Commission on April 4, 2018, which is incorporated herein by</w:t>
      </w: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20"/>
        <w:spacing w:after="0" w:line="212" w:lineRule="auto"/>
        <w:rPr>
          <w:sz w:val="20"/>
          <w:szCs w:val="20"/>
          <w:color w:val="auto"/>
        </w:rPr>
      </w:pPr>
      <w:r>
        <w:rPr>
          <w:rFonts w:ascii="Arial" w:cs="Arial" w:eastAsia="Arial" w:hAnsi="Arial"/>
          <w:sz w:val="18"/>
          <w:szCs w:val="18"/>
          <w:color w:val="auto"/>
        </w:rPr>
        <w:t>Reference is made to Exhibit 10(iii)A(3) of registrant's Form 10-Q as filed with the Commission on April 4, 2018, which is incorporated herein by</w:t>
      </w:r>
    </w:p>
    <w:p>
      <w:pPr>
        <w:spacing w:after="0"/>
        <w:rPr>
          <w:sz w:val="20"/>
          <w:szCs w:val="20"/>
          <w:color w:val="auto"/>
        </w:rPr>
      </w:pPr>
      <w:r>
        <w:rPr>
          <w:rFonts w:ascii="Arial" w:cs="Arial" w:eastAsia="Arial" w:hAnsi="Arial"/>
          <w:sz w:val="18"/>
          <w:szCs w:val="18"/>
          <w:color w:val="auto"/>
        </w:rPr>
        <w:t>reference.</w:t>
      </w:r>
    </w:p>
    <w:p>
      <w:pPr>
        <w:spacing w:after="0" w:line="14" w:lineRule="exact"/>
        <w:rPr>
          <w:rFonts w:ascii="Arial" w:cs="Arial" w:eastAsia="Arial" w:hAnsi="Arial"/>
          <w:sz w:val="18"/>
          <w:szCs w:val="18"/>
          <w:u w:val="single" w:color="auto"/>
          <w:color w:val="0000FF"/>
        </w:rPr>
      </w:pPr>
    </w:p>
    <w:p>
      <w:pPr>
        <w:ind w:right="20"/>
        <w:spacing w:after="0" w:line="237" w:lineRule="auto"/>
        <w:rPr>
          <w:sz w:val="20"/>
          <w:szCs w:val="20"/>
          <w:color w:val="auto"/>
        </w:rPr>
      </w:pPr>
      <w:r>
        <w:rPr>
          <w:rFonts w:ascii="Arial" w:cs="Arial" w:eastAsia="Arial" w:hAnsi="Arial"/>
          <w:sz w:val="17"/>
          <w:szCs w:val="17"/>
          <w:color w:val="auto"/>
        </w:rPr>
        <w:t>Reference is made to Exhibit 10(a) of registrant's Form 10-Q as filed with the Commission on January 7, 2022, which is incorporated herein by reference.</w:t>
      </w:r>
    </w:p>
    <w:p>
      <w:pPr>
        <w:spacing w:after="0" w:line="6" w:lineRule="exact"/>
        <w:rPr>
          <w:rFonts w:ascii="Arial" w:cs="Arial" w:eastAsia="Arial" w:hAnsi="Arial"/>
          <w:sz w:val="18"/>
          <w:szCs w:val="18"/>
          <w:u w:val="single" w:color="auto"/>
          <w:color w:val="0000FF"/>
        </w:rPr>
      </w:pPr>
    </w:p>
    <w:p>
      <w:pPr>
        <w:ind w:right="20"/>
        <w:spacing w:after="0" w:line="242" w:lineRule="auto"/>
        <w:rPr>
          <w:sz w:val="20"/>
          <w:szCs w:val="20"/>
          <w:color w:val="auto"/>
        </w:rPr>
      </w:pPr>
      <w:r>
        <w:rPr>
          <w:rFonts w:ascii="Arial" w:cs="Arial" w:eastAsia="Arial" w:hAnsi="Arial"/>
          <w:sz w:val="17"/>
          <w:szCs w:val="17"/>
          <w:color w:val="auto"/>
        </w:rPr>
        <w:t>Reference is made to Exhibit 10(b) of registrant's Form 10-Q as filed with the Commission on January 7, 2022, which is incorporated herein by reference.</w:t>
      </w:r>
    </w:p>
    <w:p>
      <w:pPr>
        <w:spacing w:after="0" w:line="3"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10(iii)A(93) of registrant's Form 10-K as filed with the Commission on October 29, 2019,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rFonts w:ascii="Arial" w:cs="Arial" w:eastAsia="Arial" w:hAnsi="Arial"/>
          <w:sz w:val="18"/>
          <w:szCs w:val="18"/>
          <w:u w:val="single" w:color="auto"/>
          <w:color w:val="0000FF"/>
        </w:rPr>
      </w:pPr>
    </w:p>
    <w:p>
      <w:pPr>
        <w:ind w:right="20"/>
        <w:spacing w:after="0" w:line="237" w:lineRule="auto"/>
        <w:rPr>
          <w:sz w:val="20"/>
          <w:szCs w:val="20"/>
          <w:color w:val="auto"/>
        </w:rPr>
      </w:pPr>
      <w:r>
        <w:rPr>
          <w:rFonts w:ascii="Arial" w:cs="Arial" w:eastAsia="Arial" w:hAnsi="Arial"/>
          <w:sz w:val="17"/>
          <w:szCs w:val="17"/>
          <w:color w:val="auto"/>
        </w:rPr>
        <w:t>Reference is made to Exhibit 10(c) of registrant's Form 10-Q as filed with the Commission on January 7, 2020, which is incorporated herein by reference.</w:t>
      </w:r>
    </w:p>
    <w:p>
      <w:pPr>
        <w:spacing w:after="0" w:line="181"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10(iii)A(94) of registrant's Form 10-K as filed with the Commission on October 29, 2019, which is incorporated herein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by reference.</w:t>
      </w:r>
    </w:p>
    <w:p>
      <w:pPr>
        <w:sectPr>
          <w:pgSz w:w="11900" w:h="16838" w:orient="portrait"/>
          <w:cols w:equalWidth="0" w:num="2">
            <w:col w:w="6640" w:space="400"/>
            <w:col w:w="4160"/>
          </w:cols>
          <w:pgMar w:left="320" w:top="242" w:right="37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4220" w:type="dxa"/>
            <w:vAlign w:val="bottom"/>
            <w:gridSpan w:val="23"/>
          </w:tcPr>
          <w:p>
            <w:pPr>
              <w:spacing w:after="0"/>
              <w:rPr>
                <w:rFonts w:ascii="Arial" w:cs="Arial" w:eastAsia="Arial" w:hAnsi="Arial"/>
                <w:sz w:val="18"/>
                <w:szCs w:val="18"/>
                <w:color w:val="0000FF"/>
              </w:rPr>
            </w:pPr>
            <w:hyperlink r:id="rId228">
              <w:r>
                <w:rPr>
                  <w:rFonts w:ascii="Arial" w:cs="Arial" w:eastAsia="Arial" w:hAnsi="Arial"/>
                  <w:sz w:val="18"/>
                  <w:szCs w:val="18"/>
                  <w:color w:val="0000FF"/>
                </w:rPr>
                <w:t>Acuity Brands, Inc. Amended and Restated 2012</w:t>
              </w:r>
            </w:hyperlink>
          </w:p>
        </w:tc>
      </w:tr>
      <w:tr>
        <w:trPr>
          <w:trHeight w:val="20"/>
        </w:trPr>
        <w:tc>
          <w:tcPr>
            <w:tcW w:w="2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Omnibus Stock Incentive Compensation Plan Global</w:t>
              </w:r>
            </w:hyperlink>
          </w:p>
        </w:tc>
      </w:tr>
      <w:tr>
        <w:trPr>
          <w:trHeight w:val="156"/>
        </w:trPr>
        <w:tc>
          <w:tcPr>
            <w:tcW w:w="24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Restricted Stock Unit Notification and Award</w:t>
              </w:r>
            </w:hyperlink>
          </w:p>
        </w:tc>
        <w:tc>
          <w:tcPr>
            <w:tcW w:w="20" w:type="dxa"/>
            <w:vAlign w:val="bottom"/>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352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228">
              <w:r>
                <w:rPr>
                  <w:rFonts w:ascii="Arial" w:cs="Arial" w:eastAsia="Arial" w:hAnsi="Arial"/>
                  <w:sz w:val="18"/>
                  <w:szCs w:val="18"/>
                  <w:color w:val="0000FF"/>
                </w:rPr>
                <w:t>Agreement.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4220" w:type="dxa"/>
            <w:vAlign w:val="bottom"/>
            <w:gridSpan w:val="23"/>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Acuity Brands, Inc. Amended and Restated 2012</w:t>
              </w:r>
            </w:hyperlink>
          </w:p>
        </w:tc>
      </w:tr>
      <w:tr>
        <w:trPr>
          <w:trHeight w:val="20"/>
        </w:trPr>
        <w:tc>
          <w:tcPr>
            <w:tcW w:w="2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Omnibus Stock Incentive Compensation Plan Global</w:t>
              </w:r>
            </w:hyperlink>
          </w:p>
        </w:tc>
      </w:tr>
      <w:tr>
        <w:trPr>
          <w:trHeight w:val="155"/>
        </w:trPr>
        <w:tc>
          <w:tcPr>
            <w:tcW w:w="24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Performance Unit Notification and Award Agreement</w:t>
              </w:r>
            </w:hyperlink>
          </w:p>
        </w:tc>
        <w:tc>
          <w:tcPr>
            <w:tcW w:w="20" w:type="dxa"/>
            <w:vAlign w:val="bottom"/>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29">
              <w:r>
                <w:rPr>
                  <w:rFonts w:ascii="Arial" w:cs="Arial" w:eastAsia="Arial" w:hAnsi="Arial"/>
                  <w:sz w:val="18"/>
                  <w:szCs w:val="18"/>
                  <w:color w:val="0000FF"/>
                </w:rPr>
                <w:t>(TSR October 2022).</w:t>
              </w:r>
            </w:hyperlink>
          </w:p>
        </w:tc>
        <w:tc>
          <w:tcPr>
            <w:tcW w:w="40" w:type="dxa"/>
            <w:vAlign w:val="bottom"/>
            <w:gridSpan w:val="2"/>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09"/>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4220" w:type="dxa"/>
            <w:vAlign w:val="bottom"/>
            <w:gridSpan w:val="23"/>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Acuity Inc. Non-Employee Director Compensation</w:t>
              </w:r>
            </w:hyperlink>
          </w:p>
        </w:tc>
      </w:tr>
      <w:tr>
        <w:trPr>
          <w:trHeight w:val="156"/>
        </w:trPr>
        <w:tc>
          <w:tcPr>
            <w:tcW w:w="24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230">
              <w:r>
                <w:rPr>
                  <w:rFonts w:ascii="Arial" w:cs="Arial" w:eastAsia="Arial" w:hAnsi="Arial"/>
                  <w:sz w:val="18"/>
                  <w:szCs w:val="18"/>
                  <w:color w:val="0000FF"/>
                  <w:w w:val="97"/>
                </w:rPr>
                <w:t>Schedule.</w:t>
              </w:r>
            </w:hyperlink>
          </w:p>
        </w:tc>
        <w:tc>
          <w:tcPr>
            <w:tcW w:w="31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98"/>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4220" w:type="dxa"/>
            <w:vAlign w:val="bottom"/>
            <w:gridSpan w:val="23"/>
          </w:tcPr>
          <w:p>
            <w:pPr>
              <w:spacing w:after="0"/>
              <w:rPr>
                <w:rFonts w:ascii="Arial" w:cs="Arial" w:eastAsia="Arial" w:hAnsi="Arial"/>
                <w:sz w:val="18"/>
                <w:szCs w:val="18"/>
                <w:color w:val="0000FF"/>
              </w:rPr>
            </w:pPr>
            <w:hyperlink r:id="rId231">
              <w:r>
                <w:rPr>
                  <w:rFonts w:ascii="Arial" w:cs="Arial" w:eastAsia="Arial" w:hAnsi="Arial"/>
                  <w:sz w:val="18"/>
                  <w:szCs w:val="18"/>
                  <w:color w:val="0000FF"/>
                </w:rPr>
                <w:t>Acuity Brands, Inc. 2005 Supplemental Deferred</w:t>
              </w:r>
            </w:hyperlink>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Savings Plan (As Amended and Restated effective</w:t>
              </w:r>
            </w:hyperlink>
          </w:p>
        </w:tc>
      </w:tr>
      <w:tr>
        <w:trPr>
          <w:trHeight w:val="156"/>
        </w:trPr>
        <w:tc>
          <w:tcPr>
            <w:tcW w:w="24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231">
              <w:r>
                <w:rPr>
                  <w:rFonts w:ascii="Arial" w:cs="Arial" w:eastAsia="Arial" w:hAnsi="Arial"/>
                  <w:sz w:val="18"/>
                  <w:szCs w:val="18"/>
                  <w:color w:val="0000FF"/>
                  <w:w w:val="98"/>
                </w:rPr>
                <w:t>March 30, 2023).</w:t>
              </w:r>
            </w:hyperlink>
          </w:p>
        </w:tc>
        <w:tc>
          <w:tcPr>
            <w:tcW w:w="26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223"/>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4220" w:type="dxa"/>
            <w:vAlign w:val="bottom"/>
            <w:gridSpan w:val="23"/>
          </w:tcPr>
          <w:p>
            <w:pPr>
              <w:spacing w:after="0"/>
              <w:rPr>
                <w:rFonts w:ascii="Arial" w:cs="Arial" w:eastAsia="Arial" w:hAnsi="Arial"/>
                <w:sz w:val="18"/>
                <w:szCs w:val="18"/>
                <w:color w:val="0000FF"/>
              </w:rPr>
            </w:pPr>
            <w:hyperlink r:id="rId232">
              <w:r>
                <w:rPr>
                  <w:rFonts w:ascii="Arial" w:cs="Arial" w:eastAsia="Arial" w:hAnsi="Arial"/>
                  <w:sz w:val="18"/>
                  <w:szCs w:val="18"/>
                  <w:color w:val="0000FF"/>
                </w:rPr>
                <w:t>Acuity Brands, Inc. Amended and Restated 2012</w:t>
              </w:r>
            </w:hyperlink>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Omnibus Stock Incentive Compensation Plan Global</w:t>
              </w:r>
            </w:hyperlink>
          </w:p>
        </w:tc>
      </w:tr>
      <w:tr>
        <w:trPr>
          <w:trHeight w:val="155"/>
        </w:trPr>
        <w:tc>
          <w:tcPr>
            <w:tcW w:w="24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Performance Unit Notification and Award Agreement</w:t>
              </w:r>
            </w:hyperlink>
          </w:p>
        </w:tc>
        <w:tc>
          <w:tcPr>
            <w:tcW w:w="20" w:type="dxa"/>
            <w:vAlign w:val="bottom"/>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(ROIC Performance Award).</w:t>
              </w:r>
            </w:hyperlink>
          </w:p>
        </w:tc>
        <w:tc>
          <w:tcPr>
            <w:tcW w:w="192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4220" w:type="dxa"/>
            <w:vAlign w:val="bottom"/>
            <w:gridSpan w:val="23"/>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Acuity Brands, Inc. Amended and Restated 2012</w:t>
              </w:r>
            </w:hyperlink>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Omnibus Stock Incentive Compensation Plan Global</w:t>
              </w:r>
            </w:hyperlink>
          </w:p>
        </w:tc>
      </w:tr>
      <w:tr>
        <w:trPr>
          <w:trHeight w:val="155"/>
        </w:trPr>
        <w:tc>
          <w:tcPr>
            <w:tcW w:w="24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Performance Unit Notification and Award Agreement</w:t>
              </w:r>
            </w:hyperlink>
          </w:p>
        </w:tc>
        <w:tc>
          <w:tcPr>
            <w:tcW w:w="20" w:type="dxa"/>
            <w:vAlign w:val="bottom"/>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33">
              <w:r>
                <w:rPr>
                  <w:rFonts w:ascii="Arial" w:cs="Arial" w:eastAsia="Arial" w:hAnsi="Arial"/>
                  <w:sz w:val="18"/>
                  <w:szCs w:val="18"/>
                  <w:color w:val="0000FF"/>
                </w:rPr>
                <w:t>(rTSR Performance Award).</w:t>
              </w:r>
            </w:hyperlink>
          </w:p>
        </w:tc>
        <w:tc>
          <w:tcPr>
            <w:tcW w:w="40" w:type="dxa"/>
            <w:vAlign w:val="bottom"/>
            <w:gridSpan w:val="2"/>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09"/>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4220" w:type="dxa"/>
            <w:vAlign w:val="bottom"/>
            <w:gridSpan w:val="23"/>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Acuity Brands, Inc. Amended and Restated 2012</w:t>
              </w:r>
            </w:hyperlink>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4220" w:type="dxa"/>
            <w:vAlign w:val="bottom"/>
            <w:gridSpan w:val="23"/>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Omnibus Stock Incentive Compensation Plan Global</w:t>
              </w:r>
            </w:hyperlink>
          </w:p>
        </w:tc>
      </w:tr>
      <w:tr>
        <w:trPr>
          <w:trHeight w:val="156"/>
        </w:trPr>
        <w:tc>
          <w:tcPr>
            <w:tcW w:w="24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Restricted Stock Unit Notification and Award</w:t>
              </w:r>
            </w:hyperlink>
          </w:p>
        </w:tc>
        <w:tc>
          <w:tcPr>
            <w:tcW w:w="20" w:type="dxa"/>
            <w:vAlign w:val="bottom"/>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Agreement</w:t>
              </w:r>
            </w:hyperlink>
          </w:p>
        </w:tc>
        <w:tc>
          <w:tcPr>
            <w:tcW w:w="2600" w:type="dxa"/>
            <w:vAlign w:val="bottom"/>
            <w:tcBorders>
              <w:top w:val="single" w:sz="8" w:color="0000FF"/>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9"/>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4220" w:type="dxa"/>
            <w:vAlign w:val="bottom"/>
            <w:gridSpan w:val="23"/>
          </w:tcPr>
          <w:p>
            <w:pPr>
              <w:spacing w:after="0"/>
              <w:rPr>
                <w:rFonts w:ascii="Arial" w:cs="Arial" w:eastAsia="Arial" w:hAnsi="Arial"/>
                <w:sz w:val="18"/>
                <w:szCs w:val="18"/>
                <w:color w:val="0000FF"/>
              </w:rPr>
            </w:pPr>
            <w:hyperlink r:id="rId235">
              <w:r>
                <w:rPr>
                  <w:rFonts w:ascii="Arial" w:cs="Arial" w:eastAsia="Arial" w:hAnsi="Arial"/>
                  <w:sz w:val="18"/>
                  <w:szCs w:val="18"/>
                  <w:color w:val="0000FF"/>
                </w:rPr>
                <w:t>Acuity Inc. Short-Term Incentive Plan, as Amended</w:t>
              </w:r>
            </w:hyperlink>
          </w:p>
        </w:tc>
      </w:tr>
      <w:tr>
        <w:trPr>
          <w:trHeight w:val="156"/>
        </w:trPr>
        <w:tc>
          <w:tcPr>
            <w:tcW w:w="24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and Restated Effective as of March 26, 2025.</w:t>
              </w:r>
            </w:hyperlink>
          </w:p>
        </w:tc>
        <w:tc>
          <w:tcPr>
            <w:tcW w:w="46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98"/>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4220" w:type="dxa"/>
            <w:vAlign w:val="bottom"/>
            <w:gridSpan w:val="23"/>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Acuity Inc. 2011 Nonemployee Director Deferred</w:t>
              </w:r>
            </w:hyperlink>
          </w:p>
        </w:tc>
      </w:tr>
      <w:tr>
        <w:trPr>
          <w:trHeight w:val="156"/>
        </w:trPr>
        <w:tc>
          <w:tcPr>
            <w:tcW w:w="2420" w:type="dxa"/>
            <w:vAlign w:val="bottom"/>
          </w:tcPr>
          <w:p>
            <w:pPr>
              <w:spacing w:after="0"/>
              <w:rPr>
                <w:sz w:val="13"/>
                <w:szCs w:val="13"/>
                <w:color w:val="auto"/>
              </w:rPr>
            </w:pPr>
          </w:p>
        </w:tc>
        <w:tc>
          <w:tcPr>
            <w:tcW w:w="3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Compensation Plan, (Amended and Restated</w:t>
              </w:r>
            </w:hyperlink>
          </w:p>
        </w:tc>
        <w:tc>
          <w:tcPr>
            <w:tcW w:w="10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Effective as of March 26, 2025).</w:t>
              </w:r>
            </w:hyperlink>
          </w:p>
        </w:tc>
        <w:tc>
          <w:tcPr>
            <w:tcW w:w="1080" w:type="dxa"/>
            <w:vAlign w:val="bottom"/>
            <w:tcBorders>
              <w:top w:val="single" w:sz="8" w:color="0000FF"/>
            </w:tcBorders>
            <w:gridSpan w:val="5"/>
          </w:tcPr>
          <w:p>
            <w:pPr>
              <w:spacing w:after="0"/>
              <w:rPr>
                <w:sz w:val="13"/>
                <w:szCs w:val="13"/>
                <w:color w:val="auto"/>
              </w:rPr>
            </w:pPr>
          </w:p>
        </w:tc>
        <w:tc>
          <w:tcPr>
            <w:tcW w:w="360" w:type="dxa"/>
            <w:vAlign w:val="bottom"/>
            <w:gridSpan w:val="4"/>
          </w:tcPr>
          <w:p>
            <w:pPr>
              <w:spacing w:after="0"/>
              <w:rPr>
                <w:sz w:val="13"/>
                <w:szCs w:val="13"/>
                <w:color w:val="auto"/>
              </w:rPr>
            </w:pPr>
          </w:p>
        </w:tc>
        <w:tc>
          <w:tcPr>
            <w:tcW w:w="240" w:type="dxa"/>
            <w:vAlign w:val="bottom"/>
            <w:gridSpan w:val="5"/>
          </w:tcPr>
          <w:p>
            <w:pPr>
              <w:spacing w:after="0"/>
              <w:rPr>
                <w:sz w:val="13"/>
                <w:szCs w:val="13"/>
                <w:color w:val="auto"/>
              </w:rPr>
            </w:pPr>
          </w:p>
        </w:tc>
      </w:tr>
      <w:tr>
        <w:trPr>
          <w:trHeight w:val="223"/>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4220" w:type="dxa"/>
            <w:vAlign w:val="bottom"/>
            <w:gridSpan w:val="23"/>
          </w:tcPr>
          <w:p>
            <w:pPr>
              <w:spacing w:after="0"/>
              <w:rPr>
                <w:rFonts w:ascii="Arial" w:cs="Arial" w:eastAsia="Arial" w:hAnsi="Arial"/>
                <w:sz w:val="18"/>
                <w:szCs w:val="18"/>
                <w:color w:val="0000FF"/>
              </w:rPr>
            </w:pPr>
            <w:hyperlink r:id="rId237">
              <w:r>
                <w:rPr>
                  <w:rFonts w:ascii="Arial" w:cs="Arial" w:eastAsia="Arial" w:hAnsi="Arial"/>
                  <w:sz w:val="18"/>
                  <w:szCs w:val="18"/>
                  <w:color w:val="0000FF"/>
                </w:rPr>
                <w:t>Amended and Restated Acuity Inc. 2012 Omnibus</w:t>
              </w:r>
            </w:hyperlink>
          </w:p>
        </w:tc>
      </w:tr>
      <w:tr>
        <w:trPr>
          <w:trHeight w:val="155"/>
        </w:trPr>
        <w:tc>
          <w:tcPr>
            <w:tcW w:w="2420" w:type="dxa"/>
            <w:vAlign w:val="bottom"/>
          </w:tcPr>
          <w:p>
            <w:pPr>
              <w:spacing w:after="0"/>
              <w:rPr>
                <w:sz w:val="13"/>
                <w:szCs w:val="13"/>
                <w:color w:val="auto"/>
              </w:rPr>
            </w:pPr>
          </w:p>
        </w:tc>
        <w:tc>
          <w:tcPr>
            <w:tcW w:w="39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Stock Incentive Compensation Plan.</w:t>
              </w:r>
            </w:hyperlink>
          </w:p>
        </w:tc>
        <w:tc>
          <w:tcPr>
            <w:tcW w:w="240" w:type="dxa"/>
            <w:vAlign w:val="bottom"/>
            <w:gridSpan w:val="5"/>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r>
      <w:tr>
        <w:trPr>
          <w:trHeight w:val="398"/>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4220" w:type="dxa"/>
            <w:vAlign w:val="bottom"/>
            <w:gridSpan w:val="23"/>
          </w:tcPr>
          <w:p>
            <w:pPr>
              <w:spacing w:after="0"/>
              <w:rPr>
                <w:rFonts w:ascii="Arial" w:cs="Arial" w:eastAsia="Arial" w:hAnsi="Arial"/>
                <w:sz w:val="18"/>
                <w:szCs w:val="18"/>
                <w:color w:val="0000FF"/>
              </w:rPr>
            </w:pPr>
            <w:hyperlink r:id="rId238">
              <w:r>
                <w:rPr>
                  <w:rFonts w:ascii="Arial" w:cs="Arial" w:eastAsia="Arial" w:hAnsi="Arial"/>
                  <w:sz w:val="18"/>
                  <w:szCs w:val="18"/>
                  <w:color w:val="0000FF"/>
                </w:rPr>
                <w:t>Acuity Inc. Amended and Restated 2012 Omnibus</w:t>
              </w:r>
            </w:hyperlink>
          </w:p>
        </w:tc>
      </w:tr>
      <w:tr>
        <w:trPr>
          <w:trHeight w:val="149"/>
        </w:trPr>
        <w:tc>
          <w:tcPr>
            <w:tcW w:w="2420" w:type="dxa"/>
            <w:vAlign w:val="bottom"/>
          </w:tcPr>
          <w:p>
            <w:pPr>
              <w:spacing w:after="0"/>
              <w:rPr>
                <w:sz w:val="12"/>
                <w:szCs w:val="12"/>
                <w:color w:val="auto"/>
              </w:rPr>
            </w:pPr>
          </w:p>
        </w:tc>
        <w:tc>
          <w:tcPr>
            <w:tcW w:w="39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Stock Incentive Compensation Plan Global</w:t>
              </w:r>
            </w:hyperlink>
          </w:p>
        </w:tc>
        <w:tc>
          <w:tcPr>
            <w:tcW w:w="240" w:type="dxa"/>
            <w:vAlign w:val="bottom"/>
            <w:gridSpan w:val="5"/>
          </w:tcPr>
          <w:p>
            <w:pPr>
              <w:spacing w:after="0"/>
              <w:rPr>
                <w:sz w:val="12"/>
                <w:szCs w:val="12"/>
                <w:color w:val="auto"/>
              </w:rPr>
            </w:pPr>
          </w:p>
        </w:tc>
      </w:tr>
      <w:tr>
        <w:trPr>
          <w:trHeight w:val="162"/>
        </w:trPr>
        <w:tc>
          <w:tcPr>
            <w:tcW w:w="2420" w:type="dxa"/>
            <w:vAlign w:val="bottom"/>
          </w:tcPr>
          <w:p>
            <w:pPr>
              <w:spacing w:after="0"/>
              <w:rPr>
                <w:sz w:val="14"/>
                <w:szCs w:val="14"/>
                <w:color w:val="auto"/>
              </w:rPr>
            </w:pPr>
          </w:p>
        </w:tc>
        <w:tc>
          <w:tcPr>
            <w:tcW w:w="3400" w:type="dxa"/>
            <w:vAlign w:val="bottom"/>
            <w:tcBorders>
              <w:top w:val="single" w:sz="8" w:color="0000FF"/>
            </w:tcBorders>
            <w:gridSpan w:val="11"/>
          </w:tcPr>
          <w:p>
            <w:pPr>
              <w:spacing w:after="0" w:line="162" w:lineRule="exact"/>
              <w:rPr>
                <w:rFonts w:ascii="Arial" w:cs="Arial" w:eastAsia="Arial" w:hAnsi="Arial"/>
                <w:sz w:val="18"/>
                <w:szCs w:val="18"/>
                <w:color w:val="0000FF"/>
              </w:rPr>
            </w:pPr>
            <w:hyperlink r:id="rId238">
              <w:r>
                <w:rPr>
                  <w:rFonts w:ascii="Arial" w:cs="Arial" w:eastAsia="Arial" w:hAnsi="Arial"/>
                  <w:sz w:val="18"/>
                  <w:szCs w:val="18"/>
                  <w:color w:val="0000FF"/>
                </w:rPr>
                <w:t>Performance Unit Notification and Award</w:t>
              </w:r>
            </w:hyperlink>
          </w:p>
        </w:tc>
        <w:tc>
          <w:tcPr>
            <w:tcW w:w="820" w:type="dxa"/>
            <w:vAlign w:val="bottom"/>
            <w:gridSpan w:val="12"/>
          </w:tcPr>
          <w:p>
            <w:pPr>
              <w:spacing w:after="0" w:line="162"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Agreement</w:t>
              </w:r>
            </w:hyperlink>
          </w:p>
        </w:tc>
      </w:tr>
      <w:tr>
        <w:trPr>
          <w:trHeight w:val="169"/>
        </w:trPr>
        <w:tc>
          <w:tcPr>
            <w:tcW w:w="24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(ROIC Performance Award).</w:t>
              </w:r>
            </w:hyperlink>
          </w:p>
        </w:tc>
        <w:tc>
          <w:tcPr>
            <w:tcW w:w="192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4220" w:type="dxa"/>
            <w:vAlign w:val="bottom"/>
            <w:gridSpan w:val="23"/>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Acuity Inc. Amended and Restated 2012 Omnibus</w:t>
              </w:r>
            </w:hyperlink>
          </w:p>
        </w:tc>
      </w:tr>
      <w:tr>
        <w:trPr>
          <w:trHeight w:val="149"/>
        </w:trPr>
        <w:tc>
          <w:tcPr>
            <w:tcW w:w="2420" w:type="dxa"/>
            <w:vAlign w:val="bottom"/>
          </w:tcPr>
          <w:p>
            <w:pPr>
              <w:spacing w:after="0"/>
              <w:rPr>
                <w:sz w:val="12"/>
                <w:szCs w:val="12"/>
                <w:color w:val="auto"/>
              </w:rPr>
            </w:pPr>
          </w:p>
        </w:tc>
        <w:tc>
          <w:tcPr>
            <w:tcW w:w="39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Stock Incentive Compensation Plan Global</w:t>
              </w:r>
            </w:hyperlink>
          </w:p>
        </w:tc>
        <w:tc>
          <w:tcPr>
            <w:tcW w:w="240" w:type="dxa"/>
            <w:vAlign w:val="bottom"/>
            <w:gridSpan w:val="5"/>
          </w:tcPr>
          <w:p>
            <w:pPr>
              <w:spacing w:after="0"/>
              <w:rPr>
                <w:sz w:val="12"/>
                <w:szCs w:val="12"/>
                <w:color w:val="auto"/>
              </w:rPr>
            </w:pPr>
          </w:p>
        </w:tc>
      </w:tr>
      <w:tr>
        <w:trPr>
          <w:trHeight w:val="162"/>
        </w:trPr>
        <w:tc>
          <w:tcPr>
            <w:tcW w:w="2420" w:type="dxa"/>
            <w:vAlign w:val="bottom"/>
          </w:tcPr>
          <w:p>
            <w:pPr>
              <w:spacing w:after="0"/>
              <w:rPr>
                <w:sz w:val="14"/>
                <w:szCs w:val="14"/>
                <w:color w:val="auto"/>
              </w:rPr>
            </w:pPr>
          </w:p>
        </w:tc>
        <w:tc>
          <w:tcPr>
            <w:tcW w:w="3400" w:type="dxa"/>
            <w:vAlign w:val="bottom"/>
            <w:tcBorders>
              <w:top w:val="single" w:sz="8" w:color="0000FF"/>
            </w:tcBorders>
            <w:gridSpan w:val="11"/>
          </w:tcPr>
          <w:p>
            <w:pPr>
              <w:spacing w:after="0" w:line="162" w:lineRule="exact"/>
              <w:rPr>
                <w:rFonts w:ascii="Arial" w:cs="Arial" w:eastAsia="Arial" w:hAnsi="Arial"/>
                <w:sz w:val="18"/>
                <w:szCs w:val="18"/>
                <w:color w:val="0000FF"/>
              </w:rPr>
            </w:pPr>
            <w:hyperlink r:id="rId239">
              <w:r>
                <w:rPr>
                  <w:rFonts w:ascii="Arial" w:cs="Arial" w:eastAsia="Arial" w:hAnsi="Arial"/>
                  <w:sz w:val="18"/>
                  <w:szCs w:val="18"/>
                  <w:color w:val="0000FF"/>
                </w:rPr>
                <w:t>Performance Unit Notification and Award</w:t>
              </w:r>
            </w:hyperlink>
          </w:p>
        </w:tc>
        <w:tc>
          <w:tcPr>
            <w:tcW w:w="820" w:type="dxa"/>
            <w:vAlign w:val="bottom"/>
            <w:gridSpan w:val="12"/>
          </w:tcPr>
          <w:p>
            <w:pPr>
              <w:spacing w:after="0" w:line="162" w:lineRule="exact"/>
              <w:rPr>
                <w:rFonts w:ascii="Arial" w:cs="Arial" w:eastAsia="Arial" w:hAnsi="Arial"/>
                <w:sz w:val="18"/>
                <w:szCs w:val="18"/>
                <w:color w:val="0000FF"/>
                <w:w w:val="90"/>
              </w:rPr>
            </w:pPr>
            <w:hyperlink r:id="rId239">
              <w:r>
                <w:rPr>
                  <w:rFonts w:ascii="Arial" w:cs="Arial" w:eastAsia="Arial" w:hAnsi="Arial"/>
                  <w:sz w:val="18"/>
                  <w:szCs w:val="18"/>
                  <w:color w:val="0000FF"/>
                  <w:w w:val="90"/>
                </w:rPr>
                <w:t>Agreement</w:t>
              </w:r>
            </w:hyperlink>
          </w:p>
        </w:tc>
      </w:tr>
      <w:tr>
        <w:trPr>
          <w:trHeight w:val="169"/>
        </w:trPr>
        <w:tc>
          <w:tcPr>
            <w:tcW w:w="24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39">
              <w:r>
                <w:rPr>
                  <w:rFonts w:ascii="Arial" w:cs="Arial" w:eastAsia="Arial" w:hAnsi="Arial"/>
                  <w:sz w:val="18"/>
                  <w:szCs w:val="18"/>
                  <w:color w:val="0000FF"/>
                </w:rPr>
                <w:t>(rTSR Performance Award).</w:t>
              </w:r>
            </w:hyperlink>
          </w:p>
        </w:tc>
        <w:tc>
          <w:tcPr>
            <w:tcW w:w="40" w:type="dxa"/>
            <w:vAlign w:val="bottom"/>
            <w:gridSpan w:val="2"/>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r>
      <w:tr>
        <w:trPr>
          <w:trHeight w:val="210"/>
        </w:trPr>
        <w:tc>
          <w:tcPr>
            <w:tcW w:w="242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4220" w:type="dxa"/>
            <w:vAlign w:val="bottom"/>
            <w:gridSpan w:val="23"/>
          </w:tcPr>
          <w:p>
            <w:pPr>
              <w:spacing w:after="0"/>
              <w:rPr>
                <w:rFonts w:ascii="Arial" w:cs="Arial" w:eastAsia="Arial" w:hAnsi="Arial"/>
                <w:sz w:val="18"/>
                <w:szCs w:val="18"/>
                <w:color w:val="0000FF"/>
              </w:rPr>
            </w:pPr>
            <w:hyperlink r:id="rId240">
              <w:r>
                <w:rPr>
                  <w:rFonts w:ascii="Arial" w:cs="Arial" w:eastAsia="Arial" w:hAnsi="Arial"/>
                  <w:sz w:val="18"/>
                  <w:szCs w:val="18"/>
                  <w:color w:val="0000FF"/>
                </w:rPr>
                <w:t>Acuity Inc. Amended and Restated 2012 Omnibus</w:t>
              </w:r>
            </w:hyperlink>
          </w:p>
        </w:tc>
      </w:tr>
      <w:tr>
        <w:trPr>
          <w:trHeight w:val="155"/>
        </w:trPr>
        <w:tc>
          <w:tcPr>
            <w:tcW w:w="2420" w:type="dxa"/>
            <w:vAlign w:val="bottom"/>
          </w:tcPr>
          <w:p>
            <w:pPr>
              <w:spacing w:after="0"/>
              <w:rPr>
                <w:sz w:val="13"/>
                <w:szCs w:val="13"/>
                <w:color w:val="auto"/>
              </w:rPr>
            </w:pPr>
          </w:p>
        </w:tc>
        <w:tc>
          <w:tcPr>
            <w:tcW w:w="39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Stock Incentive Compensation Plan Global</w:t>
              </w:r>
            </w:hyperlink>
          </w:p>
        </w:tc>
        <w:tc>
          <w:tcPr>
            <w:tcW w:w="240" w:type="dxa"/>
            <w:vAlign w:val="bottom"/>
            <w:gridSpan w:val="5"/>
          </w:tcPr>
          <w:p>
            <w:pPr>
              <w:spacing w:after="0"/>
              <w:rPr>
                <w:sz w:val="13"/>
                <w:szCs w:val="13"/>
                <w:color w:val="auto"/>
              </w:rPr>
            </w:pPr>
          </w:p>
        </w:tc>
      </w:tr>
      <w:tr>
        <w:trPr>
          <w:trHeight w:val="155"/>
        </w:trPr>
        <w:tc>
          <w:tcPr>
            <w:tcW w:w="2420" w:type="dxa"/>
            <w:vAlign w:val="bottom"/>
          </w:tcPr>
          <w:p>
            <w:pPr>
              <w:spacing w:after="0"/>
              <w:rPr>
                <w:sz w:val="13"/>
                <w:szCs w:val="13"/>
                <w:color w:val="auto"/>
              </w:rPr>
            </w:pPr>
          </w:p>
        </w:tc>
        <w:tc>
          <w:tcPr>
            <w:tcW w:w="340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240">
              <w:r>
                <w:rPr>
                  <w:rFonts w:ascii="Arial" w:cs="Arial" w:eastAsia="Arial" w:hAnsi="Arial"/>
                  <w:sz w:val="18"/>
                  <w:szCs w:val="18"/>
                  <w:color w:val="0000FF"/>
                  <w:w w:val="95"/>
                </w:rPr>
                <w:t>Restricted Stock Unit Notification and Award</w:t>
              </w:r>
            </w:hyperlink>
          </w:p>
        </w:tc>
        <w:tc>
          <w:tcPr>
            <w:tcW w:w="820" w:type="dxa"/>
            <w:vAlign w:val="bottom"/>
            <w:gridSpan w:val="12"/>
          </w:tcPr>
          <w:p>
            <w:pPr>
              <w:spacing w:after="0"/>
              <w:rPr>
                <w:sz w:val="13"/>
                <w:szCs w:val="13"/>
                <w:color w:val="auto"/>
              </w:rPr>
            </w:pPr>
          </w:p>
        </w:tc>
      </w:tr>
      <w:tr>
        <w:trPr>
          <w:trHeight w:val="169"/>
        </w:trPr>
        <w:tc>
          <w:tcPr>
            <w:tcW w:w="2420" w:type="dxa"/>
            <w:vAlign w:val="bottom"/>
          </w:tcPr>
          <w:p>
            <w:pPr>
              <w:spacing w:after="0"/>
              <w:rPr>
                <w:sz w:val="14"/>
                <w:szCs w:val="14"/>
                <w:color w:val="auto"/>
              </w:rPr>
            </w:pPr>
          </w:p>
        </w:tc>
        <w:tc>
          <w:tcPr>
            <w:tcW w:w="352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240">
              <w:r>
                <w:rPr>
                  <w:rFonts w:ascii="Arial" w:cs="Arial" w:eastAsia="Arial" w:hAnsi="Arial"/>
                  <w:sz w:val="18"/>
                  <w:szCs w:val="18"/>
                  <w:color w:val="0000FF"/>
                </w:rPr>
                <w:t>Agreement.</w:t>
              </w:r>
            </w:hyperlink>
          </w:p>
        </w:tc>
        <w:tc>
          <w:tcPr>
            <w:tcW w:w="700" w:type="dxa"/>
            <w:vAlign w:val="bottom"/>
            <w:gridSpan w:val="11"/>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60" w:type="dxa"/>
            <w:vAlign w:val="bottom"/>
            <w:gridSpan w:val="17"/>
          </w:tcPr>
          <w:p>
            <w:pPr>
              <w:spacing w:after="0" w:line="20" w:lineRule="exact"/>
              <w:rPr>
                <w:sz w:val="1"/>
                <w:szCs w:val="1"/>
                <w:color w:val="auto"/>
              </w:rPr>
            </w:pPr>
          </w:p>
        </w:tc>
      </w:tr>
      <w:tr>
        <w:trPr>
          <w:trHeight w:val="210"/>
        </w:trPr>
        <w:tc>
          <w:tcPr>
            <w:tcW w:w="2420" w:type="dxa"/>
            <w:vAlign w:val="bottom"/>
          </w:tcPr>
          <w:p>
            <w:pPr>
              <w:jc w:val="right"/>
              <w:ind w:right="1390"/>
              <w:spacing w:after="0"/>
              <w:rPr>
                <w:sz w:val="20"/>
                <w:szCs w:val="20"/>
                <w:color w:val="auto"/>
              </w:rPr>
            </w:pPr>
            <w:r>
              <w:rPr>
                <w:rFonts w:ascii="Arial" w:cs="Arial" w:eastAsia="Arial" w:hAnsi="Arial"/>
                <w:sz w:val="18"/>
                <w:szCs w:val="18"/>
                <w:color w:val="auto"/>
                <w:w w:val="96"/>
              </w:rPr>
              <w:t>EXHIBIT 19</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Insider Trading Policy.</w:t>
            </w:r>
          </w:p>
        </w:tc>
        <w:tc>
          <w:tcPr>
            <w:tcW w:w="2460" w:type="dxa"/>
            <w:vAlign w:val="bottom"/>
            <w:gridSpan w:val="17"/>
          </w:tcPr>
          <w:p>
            <w:pPr>
              <w:spacing w:after="0"/>
              <w:rPr>
                <w:sz w:val="18"/>
                <w:szCs w:val="18"/>
                <w:color w:val="auto"/>
              </w:rPr>
            </w:pPr>
          </w:p>
        </w:tc>
      </w:tr>
      <w:tr>
        <w:trPr>
          <w:trHeight w:val="399"/>
        </w:trPr>
        <w:tc>
          <w:tcPr>
            <w:tcW w:w="2420" w:type="dxa"/>
            <w:vAlign w:val="bottom"/>
          </w:tcPr>
          <w:p>
            <w:pPr>
              <w:jc w:val="right"/>
              <w:ind w:right="1390"/>
              <w:spacing w:after="0"/>
              <w:rPr>
                <w:sz w:val="20"/>
                <w:szCs w:val="20"/>
                <w:color w:val="auto"/>
              </w:rPr>
            </w:pPr>
            <w:r>
              <w:rPr>
                <w:rFonts w:ascii="Arial" w:cs="Arial" w:eastAsia="Arial" w:hAnsi="Arial"/>
                <w:sz w:val="18"/>
                <w:szCs w:val="18"/>
                <w:color w:val="auto"/>
                <w:w w:val="96"/>
              </w:rPr>
              <w:t>EXHIBIT 21</w:t>
            </w:r>
          </w:p>
        </w:tc>
        <w:tc>
          <w:tcPr>
            <w:tcW w:w="1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List of Subsidiaries.</w:t>
            </w:r>
          </w:p>
        </w:tc>
        <w:tc>
          <w:tcPr>
            <w:tcW w:w="2660" w:type="dxa"/>
            <w:vAlign w:val="bottom"/>
            <w:gridSpan w:val="19"/>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Reference is made to Exhibit 10(d) of registrant's Form 10-Q as filed with the Commission on January 7, 2020, which is incorporated herein by reference.</w:t>
      </w:r>
    </w:p>
    <w:p>
      <w:pPr>
        <w:spacing w:after="0" w:line="17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Reference is made to Exhibit 10(1) of registrant's Form 10-Q as filed with the Commission on January 9, 2023, which is incorporated herein by reference.</w:t>
      </w:r>
    </w:p>
    <w:p>
      <w:pPr>
        <w:spacing w:after="0" w:line="17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Reference is made to Exhibit 10(a) of registrant’s Form 10-Q as filed with the Commission on April 3, 2025, which is incorporated herein by reference.</w:t>
      </w:r>
    </w:p>
    <w:p>
      <w:pPr>
        <w:spacing w:after="0" w:line="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Reference is made to Exhibit 10(2) of registrant's Form 10-Q as filed with the Commission on April 4, 2023, which is incorporated herein by reference.</w:t>
      </w:r>
    </w:p>
    <w:p>
      <w:pPr>
        <w:spacing w:after="0" w:line="7"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10(iii)A(76) of registrant's Form 10-K as filed with the Commission on October 26, 2023, which is incorporated herein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14"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Reference is made to Exhibit 10(iii)A(77) of registrant's Form 10-K as filed with the Commission on October 26, 2023,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Reference is made to Exhibit 10(iii)A(78) of registrant's Form 10-K as filed with the Commission on October 26, 2023, which is incorporated herein</w:t>
      </w:r>
    </w:p>
    <w:p>
      <w:pPr>
        <w:spacing w:after="0"/>
        <w:rPr>
          <w:sz w:val="20"/>
          <w:szCs w:val="20"/>
          <w:color w:val="auto"/>
        </w:rPr>
      </w:pPr>
      <w:r>
        <w:rPr>
          <w:rFonts w:ascii="Arial" w:cs="Arial" w:eastAsia="Arial" w:hAnsi="Arial"/>
          <w:sz w:val="18"/>
          <w:szCs w:val="18"/>
          <w:color w:val="auto"/>
        </w:rPr>
        <w:t>by reference.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Reference is made to Exhibit 10(e) of registrant’s Form 10-Q as filed with the Commission on June 26, 2025, which is incorporated herein by reference.</w:t>
      </w:r>
    </w:p>
    <w:p>
      <w:pPr>
        <w:spacing w:after="0" w:line="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Reference is made to Exhibit 10(b) of registrant’s Form 10-Q as filed with the Commission on June 26, 2025, which is incorporated herein by reference.</w:t>
      </w:r>
    </w:p>
    <w:p>
      <w:pPr>
        <w:spacing w:after="0" w:line="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Reference is made to Exhibit 10(d) of registrant’s Form 10-Q as filed with the Commission on June 26, 2025, which is incorporated herein by reference</w:t>
      </w:r>
    </w:p>
    <w:p>
      <w:pPr>
        <w:spacing w:after="0" w:line="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Reference is made to Exhibit 10(c) of registrant’s Form 10-Q as filed with the Commission on April 3, 2025, which is incorporated herein by reference.</w:t>
      </w:r>
    </w:p>
    <w:p>
      <w:pPr>
        <w:spacing w:after="0" w:line="18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Reference is made to Exhibit 10(d) of registrant’s Form 10-Q as filed with the Commission on April 3, 2025, which is incorporated herein by reference.</w:t>
      </w:r>
    </w:p>
    <w:p>
      <w:pPr>
        <w:spacing w:after="0" w:line="18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Reference is made to Exhibit 10(e) of registrant’s Form 10-Q as filed with the Commission on April 3, 2025, which is incorporated herein by reference.</w:t>
      </w:r>
    </w:p>
    <w:p>
      <w:pPr>
        <w:spacing w:after="0" w:line="1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Filed with the Commission as part of this Form 10-K.</w:t>
      </w:r>
    </w:p>
    <w:p>
      <w:pPr>
        <w:sectPr>
          <w:pgSz w:w="11900" w:h="16838" w:orient="portrait"/>
          <w:cols w:equalWidth="0" w:num="2">
            <w:col w:w="6640" w:space="400"/>
            <w:col w:w="4140"/>
          </w:cols>
          <w:pgMar w:left="320" w:top="242"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EXHIBIT 22</w:t>
            </w:r>
          </w:p>
        </w:tc>
        <w:tc>
          <w:tcPr>
            <w:tcW w:w="980" w:type="dxa"/>
            <w:vAlign w:val="bottom"/>
          </w:tcPr>
          <w:p>
            <w:pPr>
              <w:spacing w:after="0"/>
              <w:rPr>
                <w:sz w:val="17"/>
                <w:szCs w:val="17"/>
                <w:color w:val="auto"/>
              </w:rPr>
            </w:pPr>
          </w:p>
        </w:tc>
        <w:tc>
          <w:tcPr>
            <w:tcW w:w="4120" w:type="dxa"/>
            <w:vAlign w:val="bottom"/>
            <w:gridSpan w:val="14"/>
          </w:tcPr>
          <w:p>
            <w:pPr>
              <w:spacing w:after="0"/>
              <w:rPr>
                <w:rFonts w:ascii="Arial" w:cs="Arial" w:eastAsia="Arial" w:hAnsi="Arial"/>
                <w:sz w:val="18"/>
                <w:szCs w:val="18"/>
                <w:color w:val="0000FF"/>
              </w:rPr>
            </w:pPr>
            <w:hyperlink r:id="rId242">
              <w:r>
                <w:rPr>
                  <w:rFonts w:ascii="Arial" w:cs="Arial" w:eastAsia="Arial" w:hAnsi="Arial"/>
                  <w:sz w:val="18"/>
                  <w:szCs w:val="18"/>
                  <w:color w:val="0000FF"/>
                </w:rPr>
                <w:t>List of Guarantors and Subsidiary Issuers of</w:t>
              </w:r>
            </w:hyperlink>
          </w:p>
        </w:tc>
      </w:tr>
      <w:tr>
        <w:trPr>
          <w:trHeight w:val="156"/>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242">
              <w:r>
                <w:rPr>
                  <w:rFonts w:ascii="Arial" w:cs="Arial" w:eastAsia="Arial" w:hAnsi="Arial"/>
                  <w:sz w:val="18"/>
                  <w:szCs w:val="18"/>
                  <w:color w:val="0000FF"/>
                  <w:w w:val="98"/>
                </w:rPr>
                <w:t>Guaranteed Securities.</w:t>
              </w:r>
            </w:hyperlink>
          </w:p>
        </w:tc>
        <w:tc>
          <w:tcPr>
            <w:tcW w:w="166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9"/>
        </w:trPr>
        <w:tc>
          <w:tcPr>
            <w:tcW w:w="1440" w:type="dxa"/>
            <w:vAlign w:val="bottom"/>
          </w:tcPr>
          <w:p>
            <w:pPr>
              <w:spacing w:after="0"/>
              <w:rPr>
                <w:sz w:val="20"/>
                <w:szCs w:val="20"/>
                <w:color w:val="auto"/>
              </w:rPr>
            </w:pPr>
            <w:r>
              <w:rPr>
                <w:rFonts w:ascii="Arial" w:cs="Arial" w:eastAsia="Arial" w:hAnsi="Arial"/>
                <w:sz w:val="18"/>
                <w:szCs w:val="18"/>
                <w:color w:val="auto"/>
              </w:rPr>
              <w:t>EXHIBIT 23</w:t>
            </w:r>
          </w:p>
        </w:tc>
        <w:tc>
          <w:tcPr>
            <w:tcW w:w="980" w:type="dxa"/>
            <w:vAlign w:val="bottom"/>
          </w:tcPr>
          <w:p>
            <w:pPr>
              <w:spacing w:after="0"/>
              <w:rPr>
                <w:sz w:val="24"/>
                <w:szCs w:val="24"/>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0000FF"/>
              </w:rPr>
              <w:t>Consent of Independent Registered Public</w:t>
            </w:r>
          </w:p>
        </w:tc>
      </w:tr>
      <w:tr>
        <w:trPr>
          <w:trHeight w:val="155"/>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Accounting Firm.</w:t>
            </w:r>
          </w:p>
        </w:tc>
        <w:tc>
          <w:tcPr>
            <w:tcW w:w="3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40" w:type="dxa"/>
            <w:vAlign w:val="bottom"/>
          </w:tcPr>
          <w:p>
            <w:pPr>
              <w:spacing w:after="0"/>
              <w:rPr>
                <w:sz w:val="20"/>
                <w:szCs w:val="20"/>
                <w:color w:val="auto"/>
              </w:rPr>
            </w:pPr>
            <w:r>
              <w:rPr>
                <w:rFonts w:ascii="Arial" w:cs="Arial" w:eastAsia="Arial" w:hAnsi="Arial"/>
                <w:sz w:val="18"/>
                <w:szCs w:val="18"/>
                <w:color w:val="auto"/>
              </w:rPr>
              <w:t>EXHIBIT 24</w:t>
            </w:r>
          </w:p>
        </w:tc>
        <w:tc>
          <w:tcPr>
            <w:tcW w:w="980" w:type="dxa"/>
            <w:vAlign w:val="bottom"/>
          </w:tcPr>
          <w:p>
            <w:pPr>
              <w:spacing w:after="0"/>
              <w:rPr>
                <w:sz w:val="19"/>
                <w:szCs w:val="19"/>
                <w:color w:val="auto"/>
              </w:rPr>
            </w:pPr>
          </w:p>
        </w:tc>
        <w:tc>
          <w:tcPr>
            <w:tcW w:w="15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Powers of Attorney.</w:t>
            </w:r>
          </w:p>
        </w:tc>
        <w:tc>
          <w:tcPr>
            <w:tcW w:w="2560" w:type="dxa"/>
            <w:vAlign w:val="bottom"/>
            <w:gridSpan w:val="11"/>
          </w:tcPr>
          <w:p>
            <w:pPr>
              <w:spacing w:after="0"/>
              <w:rPr>
                <w:sz w:val="19"/>
                <w:szCs w:val="19"/>
                <w:color w:val="auto"/>
              </w:rPr>
            </w:pPr>
          </w:p>
        </w:tc>
      </w:tr>
      <w:tr>
        <w:trPr>
          <w:trHeight w:val="399"/>
        </w:trPr>
        <w:tc>
          <w:tcPr>
            <w:tcW w:w="1440" w:type="dxa"/>
            <w:vAlign w:val="bottom"/>
          </w:tcPr>
          <w:p>
            <w:pPr>
              <w:spacing w:after="0"/>
              <w:rPr>
                <w:sz w:val="20"/>
                <w:szCs w:val="20"/>
                <w:color w:val="auto"/>
              </w:rPr>
            </w:pPr>
            <w:r>
              <w:rPr>
                <w:rFonts w:ascii="Arial" w:cs="Arial" w:eastAsia="Arial" w:hAnsi="Arial"/>
                <w:sz w:val="18"/>
                <w:szCs w:val="18"/>
                <w:color w:val="auto"/>
              </w:rPr>
              <w:t>EXHIBIT 31</w:t>
            </w: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99"/>
              </w:rPr>
              <w:t>(a)</w:t>
            </w:r>
          </w:p>
        </w:tc>
        <w:tc>
          <w:tcPr>
            <w:tcW w:w="4120" w:type="dxa"/>
            <w:vAlign w:val="bottom"/>
            <w:gridSpan w:val="14"/>
          </w:tcPr>
          <w:p>
            <w:pPr>
              <w:spacing w:after="0"/>
              <w:rPr>
                <w:sz w:val="20"/>
                <w:szCs w:val="20"/>
                <w:color w:val="auto"/>
              </w:rPr>
            </w:pPr>
            <w:r>
              <w:rPr>
                <w:rFonts w:ascii="Arial" w:cs="Arial" w:eastAsia="Arial" w:hAnsi="Arial"/>
                <w:sz w:val="18"/>
                <w:szCs w:val="18"/>
                <w:color w:val="0000FF"/>
              </w:rPr>
              <w:t>Certification of the Chief Executive Officer of the</w:t>
            </w: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gridSpan w:val="14"/>
          </w:tcPr>
          <w:p>
            <w:pPr>
              <w:spacing w:after="0" w:line="156" w:lineRule="exact"/>
              <w:rPr>
                <w:sz w:val="20"/>
                <w:szCs w:val="20"/>
                <w:color w:val="auto"/>
              </w:rPr>
            </w:pPr>
            <w:r>
              <w:rPr>
                <w:rFonts w:ascii="Arial" w:cs="Arial" w:eastAsia="Arial" w:hAnsi="Arial"/>
                <w:sz w:val="18"/>
                <w:szCs w:val="18"/>
                <w:color w:val="0000FF"/>
                <w:w w:val="99"/>
              </w:rPr>
              <w:t>Company pursuant to Section 302 of the Sarbanes-</w:t>
            </w:r>
          </w:p>
        </w:tc>
      </w:tr>
      <w:tr>
        <w:trPr>
          <w:trHeight w:val="155"/>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0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440" w:type="dxa"/>
            <w:vAlign w:val="bottom"/>
          </w:tcPr>
          <w:p>
            <w:pPr>
              <w:spacing w:after="0"/>
              <w:rPr>
                <w:sz w:val="19"/>
                <w:szCs w:val="19"/>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99"/>
              </w:rPr>
              <w:t>(b)</w:t>
            </w:r>
          </w:p>
        </w:tc>
        <w:tc>
          <w:tcPr>
            <w:tcW w:w="4120" w:type="dxa"/>
            <w:vAlign w:val="bottom"/>
            <w:gridSpan w:val="14"/>
          </w:tcPr>
          <w:p>
            <w:pPr>
              <w:spacing w:after="0"/>
              <w:rPr>
                <w:sz w:val="20"/>
                <w:szCs w:val="20"/>
                <w:color w:val="auto"/>
              </w:rPr>
            </w:pPr>
            <w:r>
              <w:rPr>
                <w:rFonts w:ascii="Arial" w:cs="Arial" w:eastAsia="Arial" w:hAnsi="Arial"/>
                <w:sz w:val="18"/>
                <w:szCs w:val="18"/>
                <w:color w:val="0000FF"/>
              </w:rPr>
              <w:t>Certification of the Chief Financial Officer of the</w:t>
            </w: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gridSpan w:val="14"/>
          </w:tcPr>
          <w:p>
            <w:pPr>
              <w:spacing w:after="0" w:line="156" w:lineRule="exact"/>
              <w:rPr>
                <w:sz w:val="20"/>
                <w:szCs w:val="20"/>
                <w:color w:val="auto"/>
              </w:rPr>
            </w:pPr>
            <w:r>
              <w:rPr>
                <w:rFonts w:ascii="Arial" w:cs="Arial" w:eastAsia="Arial" w:hAnsi="Arial"/>
                <w:sz w:val="18"/>
                <w:szCs w:val="18"/>
                <w:color w:val="0000FF"/>
                <w:w w:val="99"/>
              </w:rPr>
              <w:t>Company pursuant to Section 302 of the Sarbanes-</w:t>
            </w:r>
          </w:p>
        </w:tc>
      </w:tr>
      <w:tr>
        <w:trPr>
          <w:trHeight w:val="156"/>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0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440" w:type="dxa"/>
            <w:vAlign w:val="bottom"/>
          </w:tcPr>
          <w:p>
            <w:pPr>
              <w:spacing w:after="0"/>
              <w:rPr>
                <w:sz w:val="20"/>
                <w:szCs w:val="20"/>
                <w:color w:val="auto"/>
              </w:rPr>
            </w:pPr>
            <w:r>
              <w:rPr>
                <w:rFonts w:ascii="Arial" w:cs="Arial" w:eastAsia="Arial" w:hAnsi="Arial"/>
                <w:sz w:val="18"/>
                <w:szCs w:val="18"/>
                <w:color w:val="auto"/>
              </w:rPr>
              <w:t>EXHIBIT 32</w:t>
            </w: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99"/>
              </w:rPr>
              <w:t>(a)</w:t>
            </w:r>
          </w:p>
        </w:tc>
        <w:tc>
          <w:tcPr>
            <w:tcW w:w="4120" w:type="dxa"/>
            <w:vAlign w:val="bottom"/>
            <w:gridSpan w:val="14"/>
          </w:tcPr>
          <w:p>
            <w:pPr>
              <w:spacing w:after="0"/>
              <w:rPr>
                <w:sz w:val="20"/>
                <w:szCs w:val="20"/>
                <w:color w:val="auto"/>
              </w:rPr>
            </w:pPr>
            <w:r>
              <w:rPr>
                <w:rFonts w:ascii="Arial" w:cs="Arial" w:eastAsia="Arial" w:hAnsi="Arial"/>
                <w:sz w:val="18"/>
                <w:szCs w:val="18"/>
                <w:color w:val="0000FF"/>
              </w:rPr>
              <w:t>Certification of the Chief Executive Officer of the</w:t>
            </w: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60" w:type="dxa"/>
            <w:vAlign w:val="bottom"/>
            <w:tcBorders>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9"/>
              </w:rPr>
              <w:t>Company pursuant to 18 U.S.C. Section 1350, as</w:t>
            </w:r>
          </w:p>
        </w:tc>
        <w:tc>
          <w:tcPr>
            <w:tcW w:w="160" w:type="dxa"/>
            <w:vAlign w:val="bottom"/>
            <w:gridSpan w:val="3"/>
          </w:tcPr>
          <w:p>
            <w:pPr>
              <w:spacing w:after="0"/>
              <w:rPr>
                <w:sz w:val="13"/>
                <w:szCs w:val="13"/>
                <w:color w:val="auto"/>
              </w:rPr>
            </w:pPr>
          </w:p>
        </w:tc>
      </w:tr>
      <w:tr>
        <w:trPr>
          <w:trHeight w:val="156"/>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gridSpan w:val="14"/>
          </w:tcPr>
          <w:p>
            <w:pPr>
              <w:spacing w:after="0" w:line="156" w:lineRule="exact"/>
              <w:rPr>
                <w:sz w:val="20"/>
                <w:szCs w:val="20"/>
                <w:color w:val="auto"/>
              </w:rPr>
            </w:pPr>
            <w:r>
              <w:rPr>
                <w:rFonts w:ascii="Arial" w:cs="Arial" w:eastAsia="Arial" w:hAnsi="Arial"/>
                <w:sz w:val="18"/>
                <w:szCs w:val="18"/>
                <w:color w:val="0000FF"/>
              </w:rPr>
              <w:t>adopted pursuant to Section 906 of the Sarbanes-</w:t>
            </w:r>
          </w:p>
        </w:tc>
      </w:tr>
      <w:tr>
        <w:trPr>
          <w:trHeight w:val="169"/>
        </w:trPr>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8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Oxley Act of 2002.</w:t>
            </w:r>
          </w:p>
        </w:tc>
        <w:tc>
          <w:tcPr>
            <w:tcW w:w="140" w:type="dxa"/>
            <w:vAlign w:val="bottom"/>
            <w:gridSpan w:val="2"/>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03"/>
        </w:trPr>
        <w:tc>
          <w:tcPr>
            <w:tcW w:w="1440" w:type="dxa"/>
            <w:vAlign w:val="bottom"/>
          </w:tcPr>
          <w:p>
            <w:pPr>
              <w:spacing w:after="0"/>
              <w:rPr>
                <w:sz w:val="17"/>
                <w:szCs w:val="17"/>
                <w:color w:val="auto"/>
              </w:rPr>
            </w:pPr>
          </w:p>
        </w:tc>
        <w:tc>
          <w:tcPr>
            <w:tcW w:w="98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(b)</w:t>
            </w:r>
          </w:p>
        </w:tc>
        <w:tc>
          <w:tcPr>
            <w:tcW w:w="4120" w:type="dxa"/>
            <w:vAlign w:val="bottom"/>
            <w:gridSpan w:val="14"/>
          </w:tcPr>
          <w:p>
            <w:pPr>
              <w:spacing w:after="0" w:line="196" w:lineRule="exact"/>
              <w:rPr>
                <w:sz w:val="20"/>
                <w:szCs w:val="20"/>
                <w:color w:val="auto"/>
              </w:rPr>
            </w:pPr>
            <w:r>
              <w:rPr>
                <w:rFonts w:ascii="Arial" w:cs="Arial" w:eastAsia="Arial" w:hAnsi="Arial"/>
                <w:sz w:val="18"/>
                <w:szCs w:val="18"/>
                <w:color w:val="0000FF"/>
              </w:rPr>
              <w:t>Certification of the Chief Financial Officer of the</w:t>
            </w:r>
          </w:p>
        </w:tc>
      </w:tr>
      <w:tr>
        <w:trPr>
          <w:trHeight w:val="162"/>
        </w:trPr>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9"/>
          </w:tcPr>
          <w:p>
            <w:pPr>
              <w:spacing w:after="0" w:line="162" w:lineRule="exact"/>
              <w:rPr>
                <w:sz w:val="20"/>
                <w:szCs w:val="20"/>
                <w:color w:val="auto"/>
              </w:rPr>
            </w:pPr>
            <w:r>
              <w:rPr>
                <w:rFonts w:ascii="Arial" w:cs="Arial" w:eastAsia="Arial" w:hAnsi="Arial"/>
                <w:sz w:val="18"/>
                <w:szCs w:val="18"/>
                <w:color w:val="0000FF"/>
              </w:rPr>
              <w:t>Company pursuant to 18 U.S.C. Section 1350,</w:t>
            </w:r>
          </w:p>
        </w:tc>
        <w:tc>
          <w:tcPr>
            <w:tcW w:w="180" w:type="dxa"/>
            <w:vAlign w:val="bottom"/>
            <w:tcBorders>
              <w:bottom w:val="single" w:sz="8" w:color="0000FF"/>
            </w:tcBorders>
          </w:tcPr>
          <w:p>
            <w:pPr>
              <w:spacing w:after="0" w:line="162" w:lineRule="exact"/>
              <w:rPr>
                <w:sz w:val="20"/>
                <w:szCs w:val="20"/>
                <w:color w:val="auto"/>
              </w:rPr>
            </w:pPr>
            <w:r>
              <w:rPr>
                <w:rFonts w:ascii="Arial" w:cs="Arial" w:eastAsia="Arial" w:hAnsi="Arial"/>
                <w:sz w:val="18"/>
                <w:szCs w:val="18"/>
                <w:color w:val="0000FF"/>
                <w:w w:val="83"/>
              </w:rPr>
              <w:t>as</w:t>
            </w:r>
          </w:p>
        </w:tc>
        <w:tc>
          <w:tcPr>
            <w:tcW w:w="180" w:type="dxa"/>
            <w:vAlign w:val="bottom"/>
            <w:gridSpan w:val="4"/>
          </w:tcPr>
          <w:p>
            <w:pPr>
              <w:spacing w:after="0"/>
              <w:rPr>
                <w:sz w:val="14"/>
                <w:szCs w:val="14"/>
                <w:color w:val="auto"/>
              </w:rPr>
            </w:pPr>
          </w:p>
        </w:tc>
      </w:tr>
      <w:tr>
        <w:trPr>
          <w:trHeight w:val="156"/>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gridSpan w:val="14"/>
          </w:tcPr>
          <w:p>
            <w:pPr>
              <w:spacing w:after="0" w:line="156" w:lineRule="exact"/>
              <w:rPr>
                <w:sz w:val="20"/>
                <w:szCs w:val="20"/>
                <w:color w:val="auto"/>
              </w:rPr>
            </w:pPr>
            <w:r>
              <w:rPr>
                <w:rFonts w:ascii="Arial" w:cs="Arial" w:eastAsia="Arial" w:hAnsi="Arial"/>
                <w:sz w:val="18"/>
                <w:szCs w:val="18"/>
                <w:color w:val="0000FF"/>
              </w:rPr>
              <w:t>adopted pursuant to Section 906 of the Sarbanes-</w:t>
            </w:r>
          </w:p>
        </w:tc>
      </w:tr>
      <w:tr>
        <w:trPr>
          <w:trHeight w:val="169"/>
        </w:trPr>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8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Oxley Act of 2002.</w:t>
            </w:r>
          </w:p>
        </w:tc>
        <w:tc>
          <w:tcPr>
            <w:tcW w:w="140" w:type="dxa"/>
            <w:vAlign w:val="bottom"/>
            <w:gridSpan w:val="2"/>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EXHIBIT 97</w:t>
            </w:r>
          </w:p>
        </w:tc>
        <w:tc>
          <w:tcPr>
            <w:tcW w:w="980" w:type="dxa"/>
            <w:vAlign w:val="bottom"/>
          </w:tcPr>
          <w:p>
            <w:pPr>
              <w:spacing w:after="0"/>
              <w:rPr>
                <w:sz w:val="18"/>
                <w:szCs w:val="18"/>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0000FF"/>
              </w:rPr>
              <w:t>Acuity Inc. Incentive-Based Compensation</w:t>
            </w:r>
          </w:p>
        </w:tc>
      </w:tr>
      <w:tr>
        <w:trPr>
          <w:trHeight w:val="156"/>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Recoupment Policy.</w:t>
            </w:r>
          </w:p>
        </w:tc>
        <w:tc>
          <w:tcPr>
            <w:tcW w:w="740" w:type="dxa"/>
            <w:vAlign w:val="bottom"/>
            <w:gridSpan w:val="8"/>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r>
      <w:tr>
        <w:trPr>
          <w:trHeight w:val="268"/>
        </w:trPr>
        <w:tc>
          <w:tcPr>
            <w:tcW w:w="1440" w:type="dxa"/>
            <w:vAlign w:val="bottom"/>
          </w:tcPr>
          <w:p>
            <w:pPr>
              <w:spacing w:after="0"/>
              <w:rPr>
                <w:sz w:val="20"/>
                <w:szCs w:val="20"/>
                <w:color w:val="auto"/>
              </w:rPr>
            </w:pPr>
            <w:r>
              <w:rPr>
                <w:rFonts w:ascii="Arial" w:cs="Arial" w:eastAsia="Arial" w:hAnsi="Arial"/>
                <w:sz w:val="18"/>
                <w:szCs w:val="18"/>
                <w:color w:val="auto"/>
              </w:rPr>
              <w:t>EXHIBIT 101</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rPr>
              <w:t>.INS</w:t>
            </w:r>
          </w:p>
        </w:tc>
        <w:tc>
          <w:tcPr>
            <w:tcW w:w="412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1440" w:type="dxa"/>
            <w:vAlign w:val="bottom"/>
          </w:tcPr>
          <w:p>
            <w:pPr>
              <w:spacing w:after="0"/>
              <w:rPr>
                <w:sz w:val="24"/>
                <w:szCs w:val="24"/>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rPr>
              <w:t>.SCH</w:t>
            </w:r>
          </w:p>
        </w:tc>
        <w:tc>
          <w:tcPr>
            <w:tcW w:w="41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1"/>
        </w:trPr>
        <w:tc>
          <w:tcPr>
            <w:tcW w:w="1440" w:type="dxa"/>
            <w:vAlign w:val="bottom"/>
          </w:tcPr>
          <w:p>
            <w:pPr>
              <w:spacing w:after="0"/>
              <w:rPr>
                <w:sz w:val="24"/>
                <w:szCs w:val="24"/>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99"/>
              </w:rPr>
              <w:t>.CAL</w:t>
            </w:r>
          </w:p>
        </w:tc>
        <w:tc>
          <w:tcPr>
            <w:tcW w:w="41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8"/>
        </w:trPr>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181"/>
        </w:trPr>
        <w:tc>
          <w:tcPr>
            <w:tcW w:w="1440" w:type="dxa"/>
            <w:vAlign w:val="bottom"/>
          </w:tcPr>
          <w:p>
            <w:pPr>
              <w:spacing w:after="0"/>
              <w:rPr>
                <w:sz w:val="15"/>
                <w:szCs w:val="15"/>
                <w:color w:val="auto"/>
              </w:rPr>
            </w:pPr>
          </w:p>
        </w:tc>
        <w:tc>
          <w:tcPr>
            <w:tcW w:w="980" w:type="dxa"/>
            <w:vAlign w:val="bottom"/>
          </w:tcPr>
          <w:p>
            <w:pPr>
              <w:jc w:val="center"/>
              <w:ind w:left="170"/>
              <w:spacing w:after="0" w:line="181" w:lineRule="exact"/>
              <w:rPr>
                <w:sz w:val="20"/>
                <w:szCs w:val="20"/>
                <w:color w:val="auto"/>
              </w:rPr>
            </w:pPr>
            <w:r>
              <w:rPr>
                <w:rFonts w:ascii="Arial" w:cs="Arial" w:eastAsia="Arial" w:hAnsi="Arial"/>
                <w:sz w:val="18"/>
                <w:szCs w:val="18"/>
                <w:color w:val="auto"/>
                <w:w w:val="97"/>
              </w:rPr>
              <w:t>.DEF</w:t>
            </w:r>
          </w:p>
        </w:tc>
        <w:tc>
          <w:tcPr>
            <w:tcW w:w="4120" w:type="dxa"/>
            <w:vAlign w:val="bottom"/>
            <w:gridSpan w:val="14"/>
          </w:tcPr>
          <w:p>
            <w:pPr>
              <w:spacing w:after="0" w:line="181" w:lineRule="exact"/>
              <w:rPr>
                <w:sz w:val="20"/>
                <w:szCs w:val="20"/>
                <w:color w:val="auto"/>
              </w:rPr>
            </w:pPr>
            <w:r>
              <w:rPr>
                <w:rFonts w:ascii="Arial" w:cs="Arial" w:eastAsia="Arial" w:hAnsi="Arial"/>
                <w:sz w:val="18"/>
                <w:szCs w:val="18"/>
                <w:color w:val="auto"/>
              </w:rPr>
              <w:t>XBRL Taxonomy Extension Definition Linkbase</w:t>
            </w:r>
          </w:p>
        </w:tc>
      </w:tr>
      <w:tr>
        <w:trPr>
          <w:trHeight w:val="238"/>
        </w:trPr>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181"/>
        </w:trPr>
        <w:tc>
          <w:tcPr>
            <w:tcW w:w="1440" w:type="dxa"/>
            <w:vAlign w:val="bottom"/>
          </w:tcPr>
          <w:p>
            <w:pPr>
              <w:spacing w:after="0"/>
              <w:rPr>
                <w:sz w:val="15"/>
                <w:szCs w:val="15"/>
                <w:color w:val="auto"/>
              </w:rPr>
            </w:pPr>
          </w:p>
        </w:tc>
        <w:tc>
          <w:tcPr>
            <w:tcW w:w="980" w:type="dxa"/>
            <w:vAlign w:val="bottom"/>
          </w:tcPr>
          <w:p>
            <w:pPr>
              <w:jc w:val="center"/>
              <w:ind w:left="170"/>
              <w:spacing w:after="0" w:line="181" w:lineRule="exact"/>
              <w:rPr>
                <w:sz w:val="20"/>
                <w:szCs w:val="20"/>
                <w:color w:val="auto"/>
              </w:rPr>
            </w:pPr>
            <w:r>
              <w:rPr>
                <w:rFonts w:ascii="Arial" w:cs="Arial" w:eastAsia="Arial" w:hAnsi="Arial"/>
                <w:sz w:val="18"/>
                <w:szCs w:val="18"/>
                <w:color w:val="auto"/>
              </w:rPr>
              <w:t>.LAB</w:t>
            </w:r>
          </w:p>
        </w:tc>
        <w:tc>
          <w:tcPr>
            <w:tcW w:w="4120" w:type="dxa"/>
            <w:vAlign w:val="bottom"/>
            <w:gridSpan w:val="14"/>
          </w:tcPr>
          <w:p>
            <w:pPr>
              <w:spacing w:after="0" w:line="181" w:lineRule="exact"/>
              <w:rPr>
                <w:sz w:val="20"/>
                <w:szCs w:val="20"/>
                <w:color w:val="auto"/>
              </w:rPr>
            </w:pPr>
            <w:r>
              <w:rPr>
                <w:rFonts w:ascii="Arial" w:cs="Arial" w:eastAsia="Arial" w:hAnsi="Arial"/>
                <w:sz w:val="18"/>
                <w:szCs w:val="18"/>
                <w:color w:val="auto"/>
              </w:rPr>
              <w:t>XBRL Taxonomy Extension Label Linkbase</w:t>
            </w:r>
          </w:p>
        </w:tc>
      </w:tr>
      <w:tr>
        <w:trPr>
          <w:trHeight w:val="238"/>
        </w:trPr>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181"/>
        </w:trPr>
        <w:tc>
          <w:tcPr>
            <w:tcW w:w="1440" w:type="dxa"/>
            <w:vAlign w:val="bottom"/>
          </w:tcPr>
          <w:p>
            <w:pPr>
              <w:spacing w:after="0"/>
              <w:rPr>
                <w:sz w:val="15"/>
                <w:szCs w:val="15"/>
                <w:color w:val="auto"/>
              </w:rPr>
            </w:pPr>
          </w:p>
        </w:tc>
        <w:tc>
          <w:tcPr>
            <w:tcW w:w="980" w:type="dxa"/>
            <w:vAlign w:val="bottom"/>
          </w:tcPr>
          <w:p>
            <w:pPr>
              <w:jc w:val="center"/>
              <w:ind w:left="190"/>
              <w:spacing w:after="0" w:line="181" w:lineRule="exact"/>
              <w:rPr>
                <w:sz w:val="20"/>
                <w:szCs w:val="20"/>
                <w:color w:val="auto"/>
              </w:rPr>
            </w:pPr>
            <w:r>
              <w:rPr>
                <w:rFonts w:ascii="Arial" w:cs="Arial" w:eastAsia="Arial" w:hAnsi="Arial"/>
                <w:sz w:val="18"/>
                <w:szCs w:val="18"/>
                <w:color w:val="auto"/>
                <w:w w:val="99"/>
              </w:rPr>
              <w:t>.PRE</w:t>
            </w:r>
          </w:p>
        </w:tc>
        <w:tc>
          <w:tcPr>
            <w:tcW w:w="4120" w:type="dxa"/>
            <w:vAlign w:val="bottom"/>
            <w:gridSpan w:val="14"/>
          </w:tcPr>
          <w:p>
            <w:pPr>
              <w:spacing w:after="0" w:line="181" w:lineRule="exact"/>
              <w:rPr>
                <w:sz w:val="20"/>
                <w:szCs w:val="20"/>
                <w:color w:val="auto"/>
              </w:rPr>
            </w:pPr>
            <w:r>
              <w:rPr>
                <w:rFonts w:ascii="Arial" w:cs="Arial" w:eastAsia="Arial" w:hAnsi="Arial"/>
                <w:sz w:val="18"/>
                <w:szCs w:val="18"/>
                <w:color w:val="auto"/>
              </w:rPr>
              <w:t>XBRL Taxonomy Extension Presentation Linkbase</w:t>
            </w:r>
          </w:p>
        </w:tc>
      </w:tr>
      <w:tr>
        <w:trPr>
          <w:trHeight w:val="238"/>
        </w:trPr>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EXHIBIT 104</w:t>
            </w:r>
          </w:p>
        </w:tc>
        <w:tc>
          <w:tcPr>
            <w:tcW w:w="980" w:type="dxa"/>
            <w:vAlign w:val="bottom"/>
          </w:tcPr>
          <w:p>
            <w:pPr>
              <w:spacing w:after="0"/>
              <w:rPr>
                <w:sz w:val="20"/>
                <w:szCs w:val="20"/>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auto"/>
              </w:rPr>
              <w:t>Cover Page Interactive Data File.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Reference is made to Exhibit 22 of registrant’s Form 10-Q as filed with the Commission on April 3, 2025, which is incorporated herein by reference.</w:t>
      </w:r>
    </w:p>
    <w:p>
      <w:pPr>
        <w:spacing w:after="0" w:line="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18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18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35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35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jc w:val="both"/>
        <w:ind w:right="380"/>
        <w:spacing w:after="0" w:line="242"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Formatted as Inline XBRL and contained in Exhibit 101 of this Form 10-K.</w:t>
      </w:r>
    </w:p>
    <w:p>
      <w:pPr>
        <w:sectPr>
          <w:pgSz w:w="11900" w:h="16838" w:orient="portrait"/>
          <w:cols w:equalWidth="0" w:num="2">
            <w:col w:w="6560" w:space="480"/>
            <w:col w:w="4160"/>
          </w:cols>
          <w:pgMar w:left="320" w:top="242"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INC.</w:t>
      </w:r>
    </w:p>
    <w:p>
      <w:pPr>
        <w:spacing w:after="0" w:line="144" w:lineRule="exact"/>
        <w:rPr>
          <w:sz w:val="20"/>
          <w:szCs w:val="20"/>
          <w:color w:val="auto"/>
        </w:rPr>
      </w:pPr>
    </w:p>
    <w:p>
      <w:pPr>
        <w:ind w:left="280"/>
        <w:spacing w:after="0"/>
        <w:tabs>
          <w:tab w:leader="none" w:pos="4340" w:val="left"/>
          <w:tab w:leader="none" w:pos="7260" w:val="left"/>
        </w:tabs>
        <w:rPr>
          <w:sz w:val="20"/>
          <w:szCs w:val="20"/>
          <w:color w:val="auto"/>
        </w:rPr>
      </w:pPr>
      <w:r>
        <w:rPr>
          <w:rFonts w:ascii="Arial" w:cs="Arial" w:eastAsia="Arial" w:hAnsi="Arial"/>
          <w:sz w:val="18"/>
          <w:szCs w:val="18"/>
          <w:color w:val="auto"/>
        </w:rPr>
        <w:t>Date: October 27,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39947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Neil M. Ashe</w:t>
      </w:r>
    </w:p>
    <w:p>
      <w:pPr>
        <w:jc w:val="center"/>
        <w:ind w:left="48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2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242" w:right="339" w:bottom="1440" w:gutter="0" w:footer="0" w:header="0"/>
        </w:sectPr>
      </w:pPr>
    </w:p>
    <w:p>
      <w:pPr>
        <w:spacing w:after="0" w:line="82" w:lineRule="exact"/>
        <w:rPr>
          <w:sz w:val="20"/>
          <w:szCs w:val="20"/>
          <w:color w:val="auto"/>
        </w:rPr>
      </w:pPr>
    </w:p>
    <w:p>
      <w:pPr>
        <w:ind w:left="17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4"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Neil M. Ashe</w:t>
      </w:r>
    </w:p>
    <w:p>
      <w:pPr>
        <w:spacing w:after="0" w:line="17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Karen J. Holcom</w:t>
      </w:r>
    </w:p>
    <w:p>
      <w:pPr>
        <w:spacing w:after="0" w:line="212"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Marcia J. Avedon, Ph.D.</w:t>
      </w:r>
    </w:p>
    <w:p>
      <w:pPr>
        <w:spacing w:after="0" w:line="117"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W. Patrick Battle</w:t>
      </w:r>
    </w:p>
    <w:p>
      <w:pPr>
        <w:spacing w:after="0" w:line="117"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Michael J. Bender</w:t>
      </w:r>
    </w:p>
    <w:p>
      <w:pPr>
        <w:spacing w:after="0" w:line="13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G. Douglas Dillard, Jr.</w:t>
      </w:r>
    </w:p>
    <w:p>
      <w:pPr>
        <w:spacing w:after="0" w:line="13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James H. Hance, Jr.</w:t>
      </w:r>
    </w:p>
    <w:p>
      <w:pPr>
        <w:spacing w:after="0" w:line="13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Maya Leibman</w:t>
      </w:r>
    </w:p>
    <w:p>
      <w:pPr>
        <w:spacing w:after="0" w:line="13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Laura G. O'Shaughnessy</w:t>
      </w:r>
    </w:p>
    <w:p>
      <w:pPr>
        <w:spacing w:after="0" w:line="117"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Mark J. Sachleben</w:t>
      </w:r>
    </w:p>
    <w:p>
      <w:pPr>
        <w:spacing w:after="0" w:line="131" w:lineRule="exact"/>
        <w:rPr>
          <w:sz w:val="20"/>
          <w:szCs w:val="20"/>
          <w:color w:val="auto"/>
        </w:rPr>
      </w:pPr>
    </w:p>
    <w:p>
      <w:pPr>
        <w:ind w:left="260"/>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20745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Karen J. Holcom</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r>
      <w:tr>
        <w:trPr>
          <w:trHeight w:val="20"/>
        </w:trPr>
        <w:tc>
          <w:tcPr>
            <w:tcW w:w="2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3940" w:type="dxa"/>
            <w:vAlign w:val="bottom"/>
            <w:gridSpan w:val="2"/>
          </w:tcPr>
          <w:p>
            <w:pPr>
              <w:spacing w:after="0"/>
              <w:rPr>
                <w:sz w:val="20"/>
                <w:szCs w:val="20"/>
                <w:color w:val="auto"/>
              </w:rPr>
            </w:pPr>
            <w:r>
              <w:rPr>
                <w:rFonts w:ascii="Arial" w:cs="Arial" w:eastAsia="Arial" w:hAnsi="Arial"/>
                <w:sz w:val="18"/>
                <w:szCs w:val="18"/>
                <w:color w:val="auto"/>
              </w:rPr>
              <w:t>Chairman, Director, President and Chief</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239"/>
        </w:trPr>
        <w:tc>
          <w:tcPr>
            <w:tcW w:w="3940" w:type="dxa"/>
            <w:vAlign w:val="bottom"/>
            <w:gridSpan w:val="2"/>
          </w:tcPr>
          <w:p>
            <w:pPr>
              <w:spacing w:after="0"/>
              <w:rPr>
                <w:sz w:val="20"/>
                <w:szCs w:val="20"/>
                <w:color w:val="auto"/>
              </w:rPr>
            </w:pPr>
            <w:r>
              <w:rPr>
                <w:rFonts w:ascii="Arial" w:cs="Arial" w:eastAsia="Arial" w:hAnsi="Arial"/>
                <w:sz w:val="18"/>
                <w:szCs w:val="18"/>
                <w:color w:val="auto"/>
              </w:rPr>
              <w:t>Executive Officer (Principal Executive Officer)</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0"/>
        </w:trPr>
        <w:tc>
          <w:tcPr>
            <w:tcW w:w="39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184"/>
        </w:trPr>
        <w:tc>
          <w:tcPr>
            <w:tcW w:w="3940" w:type="dxa"/>
            <w:vAlign w:val="bottom"/>
            <w:gridSpan w:val="2"/>
          </w:tcPr>
          <w:p>
            <w:pPr>
              <w:spacing w:after="0" w:line="183" w:lineRule="exact"/>
              <w:rPr>
                <w:sz w:val="20"/>
                <w:szCs w:val="20"/>
                <w:color w:val="auto"/>
              </w:rPr>
            </w:pPr>
            <w:r>
              <w:rPr>
                <w:rFonts w:ascii="Arial" w:cs="Arial" w:eastAsia="Arial" w:hAnsi="Arial"/>
                <w:sz w:val="18"/>
                <w:szCs w:val="18"/>
                <w:color w:val="auto"/>
              </w:rPr>
              <w:t>Officer (Principal Financial and Accounting</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39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8"/>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67"/>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67"/>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80"/>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81"/>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80"/>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80"/>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67"/>
        </w:trPr>
        <w:tc>
          <w:tcPr>
            <w:tcW w:w="3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r>
        <w:trPr>
          <w:trHeight w:val="580"/>
        </w:trPr>
        <w:tc>
          <w:tcPr>
            <w:tcW w:w="3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27, 2025</w:t>
            </w:r>
          </w:p>
        </w:tc>
      </w:tr>
    </w:tbl>
    <w:p>
      <w:pPr>
        <w:spacing w:after="0" w:line="411" w:lineRule="exact"/>
        <w:rPr>
          <w:sz w:val="20"/>
          <w:szCs w:val="20"/>
          <w:color w:val="auto"/>
        </w:rPr>
      </w:pPr>
    </w:p>
    <w:p>
      <w:pPr>
        <w:sectPr>
          <w:pgSz w:w="11900" w:h="16838" w:orient="portrait"/>
          <w:cols w:equalWidth="0" w:num="2">
            <w:col w:w="4000" w:space="720"/>
            <w:col w:w="6520"/>
          </w:cols>
          <w:pgMar w:left="320" w:top="242"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242" w:right="3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As of October 27, 2025, Acuity Inc. has one class of securities registered under Section 12 of the Securities Exchange Act of 1934 (the “Act”): our common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following summary of certain terms of the common stock of Acuity Inc. (as used in this section, “we,” “our,” “us,” “Acuity,” the “Company,” or other such similar references)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4(b) is also included, as well as the relevant portions of the Delaware General Corporation Law (“DGCL”).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Under our Certificate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5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 holder of any stock of Acuity of any class have any preemptive right to subscribe to any securities of Acuity of any kind or class.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Acuity is Computershare Trust Company 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Board is authorized without further stockholder approval (except as may be required by applicable law or New York Stock Exchange regulations) to provide for the issuance of shares of preferred stock, in one or more series,</w:t>
      </w:r>
    </w:p>
    <w:p>
      <w:pPr>
        <w:sectPr>
          <w:pgSz w:w="11900" w:h="16838" w:orient="portrait"/>
          <w:cols w:equalWidth="0" w:num="1">
            <w:col w:w="11240"/>
          </w:cols>
          <w:pgMar w:left="320" w:top="134" w:right="339" w:bottom="1440" w:gutter="0" w:footer="0" w:header="0"/>
        </w:sectPr>
      </w:pPr>
    </w:p>
    <w:bookmarkStart w:id="95" w:name="page96"/>
    <w:bookmarkEnd w:id="95"/>
    <w:p>
      <w:pPr>
        <w:ind w:left="10280"/>
        <w:spacing w:after="0"/>
        <w:rPr>
          <w:sz w:val="20"/>
          <w:szCs w:val="20"/>
          <w:color w:val="auto"/>
        </w:rPr>
      </w:pPr>
      <w:r>
        <w:rPr>
          <w:rFonts w:ascii="Arial" w:cs="Arial" w:eastAsia="Arial" w:hAnsi="Arial"/>
          <w:sz w:val="17"/>
          <w:szCs w:val="17"/>
          <w:b w:val="1"/>
          <w:bCs w:val="1"/>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w:t>
      </w:r>
    </w:p>
    <w:p>
      <w:pPr>
        <w:spacing w:after="0" w:line="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except where otherwise provided in the applicable certificate of designation, increase or decrease, but not below the number of shares thereof then outstanding;</w:t>
      </w:r>
    </w:p>
    <w:p>
      <w:pPr>
        <w:spacing w:after="0" w:line="7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dividend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liquidation preferences;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redemption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sinking fund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conversion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such series.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Acuity’s Certificate of Incorporation, Bylaws and Delaware Law</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w:t>
      </w:r>
    </w:p>
    <w:p>
      <w:pPr>
        <w:spacing w:after="0" w:line="7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i w:val="1"/>
          <w:iCs w:val="1"/>
          <w:color w:val="auto"/>
        </w:rPr>
        <w:t>Election of Directors</w:t>
      </w:r>
      <w:r>
        <w:rPr>
          <w:rFonts w:ascii="Arial" w:cs="Arial" w:eastAsia="Arial" w:hAnsi="Arial"/>
          <w:sz w:val="18"/>
          <w:szCs w:val="18"/>
          <w:color w:val="auto"/>
        </w:rPr>
        <w:t>. Any vacancy on the Board, however occurring, including a vacancy resulting from an increase in the size of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directors generally makes it more difficult for stockholders to replace a majority of our directors.</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Stockholder Action, Advance Notification of Stockholder Nominations, and Proposals</w:t>
      </w:r>
      <w:r>
        <w:rPr>
          <w:rFonts w:ascii="Arial" w:cs="Arial" w:eastAsia="Arial" w:hAnsi="Arial"/>
          <w:sz w:val="18"/>
          <w:szCs w:val="18"/>
          <w:color w:val="auto"/>
        </w:rPr>
        <w:t>. Our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w:t>
      </w:r>
    </w:p>
    <w:p>
      <w:pPr>
        <w:spacing w:after="0" w:line="8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Our Bylaws also specify requirements as to the form and content of a stockholder’s notice.</w:t>
      </w:r>
    </w:p>
    <w:p>
      <w:pPr>
        <w:sectPr>
          <w:pgSz w:w="11900" w:h="16838" w:orient="portrait"/>
          <w:cols w:equalWidth="0" w:num="1">
            <w:col w:w="11240"/>
          </w:cols>
          <w:pgMar w:left="320" w:top="13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7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Authorized but Unissued Capital Stock</w:t>
      </w:r>
      <w:r>
        <w:rPr>
          <w:rFonts w:ascii="Arial" w:cs="Arial" w:eastAsia="Arial" w:hAnsi="Arial"/>
          <w:sz w:val="18"/>
          <w:szCs w:val="18"/>
          <w:color w:val="auto"/>
        </w:rPr>
        <w:t>. The authorized but unissued shares of our common stock and preferred stock will be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 stockholders, the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9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The DGCL provides generally that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a majority of the voting power of all of the then outstanding shares of the capital stock entitled to vote generally in the election of directors, voting together as a single class.</w:t>
      </w:r>
    </w:p>
    <w:p>
      <w:pPr>
        <w:spacing w:after="0" w:line="78"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Additionally, the approval by holders of at least a majority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spacing w:after="0" w:line="8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our certificate of incorporation provides otherwise.</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Delaware Takeover Statute</w:t>
      </w:r>
      <w:r>
        <w:rPr>
          <w:rFonts w:ascii="Arial" w:cs="Arial" w:eastAsia="Arial" w:hAnsi="Arial"/>
          <w:sz w:val="18"/>
          <w:szCs w:val="18"/>
          <w:color w:val="auto"/>
        </w:rPr>
        <w:t>. We are subject to the provisions of Section 203 of the DGCL and have adopted additional provisions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57" w:lineRule="exact"/>
        <w:rPr>
          <w:rFonts w:ascii="Arial" w:cs="Arial" w:eastAsia="Arial" w:hAnsi="Arial"/>
          <w:sz w:val="18"/>
          <w:szCs w:val="18"/>
          <w:color w:val="auto"/>
        </w:rPr>
      </w:pPr>
    </w:p>
    <w:p>
      <w:pPr>
        <w:ind w:left="660" w:hanging="328"/>
        <w:spacing w:after="0" w:line="3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58"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2" w:lineRule="exact"/>
        <w:rPr>
          <w:rFonts w:ascii="Arial" w:cs="Arial" w:eastAsia="Arial" w:hAnsi="Arial"/>
          <w:sz w:val="18"/>
          <w:szCs w:val="18"/>
          <w:color w:val="auto"/>
        </w:rPr>
      </w:pPr>
    </w:p>
    <w:p>
      <w:pPr>
        <w:ind w:left="660" w:right="20" w:hanging="328"/>
        <w:spacing w:after="0" w:line="3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58"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7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40"/>
          </w:cols>
          <w:pgMar w:left="320" w:top="13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Certificate of Incorporation are met with respect to a particular business combination.</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w:t>
      </w:r>
    </w:p>
    <w:p>
      <w:pPr>
        <w:spacing w:after="0" w:line="7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An “interested person” is defined in our Certificate of Incorporation as any person who beneficially owns, directly or indirectly, 5% or more of the shares of stock of Acuity entitled to vote in elections of directors at the relevant record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Our Certificate of Incorporation includes a provision that eliminates the personal liability of our directors and officers to the fullest extent permitted by applicable law, and our Bylaws provide that we will indemnify, and advance expenses to, our directors and officers to the fullest extent permitted by such law. We have also entered into indemnification agreements with our current directors and executive officers and expect to enter into a similar agreement with any new director or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(or, if the Court of Chancery does not have jurisdiction, the federal district court for the District of Delaware) will, to the fullest extent permitted by law, be the sole and exclusive forum for any derivative action or proceeding brought on our behalf, any action or proceeding asserting a claim for breach of a fiduciary duty owed by any of our directors, officers, employees, or stockholders to us or our stockholders, any action or proceeding asserting a claim arising pursuant to any provision of the DGCL, our Certificate of Incorporation or Bylaws, or as to which the Delaware General Corporation Law confers jurisdiction on the Court of Chancery of the State of Delaware, or any action asserting a claim governed by the internal affairs doctrine. In addition, our Bylaws also provide that, unless we consent in writing to the selection of an alternative forum, the federal district courts of the United States of America will be the exclusive forum for the resolution of any complaint asserting a cause or causes of action arising under the Securities Act of 1933, as amended. The exclusive forum provision in our Bylaws does not apply to suits brought to enforce any duty or liability created by the Exchange Act or any other claim for which the federal courts have exclusive jurisdiction. The enforceability of similar choice of forum provisions in other companies’ certificates of incorporation and bylaws has been challenged in legal proceedings, and it is possible that, in connection with claims arising under federal securities laws or otherwise, a court could find the exclusive forum provision contained in our bylaws to be inapplicable or unenforceable.</w:t>
      </w:r>
    </w:p>
    <w:p>
      <w:pPr>
        <w:sectPr>
          <w:pgSz w:w="11900" w:h="16838" w:orient="portrait"/>
          <w:cols w:equalWidth="0" w:num="1">
            <w:col w:w="11240"/>
          </w:cols>
          <w:pgMar w:left="320" w:top="134" w:right="339" w:bottom="1440" w:gutter="0" w:footer="0" w:header="0"/>
        </w:sectPr>
      </w:pPr>
    </w:p>
    <w:bookmarkStart w:id="98" w:name="page99"/>
    <w:bookmarkEnd w:id="98"/>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79855" cy="7372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24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Acuity Insider Trading Policy</w:t>
      </w:r>
    </w:p>
    <w:p>
      <w:pPr>
        <w:spacing w:after="0" w:line="279" w:lineRule="exact"/>
        <w:rPr>
          <w:sz w:val="20"/>
          <w:szCs w:val="20"/>
          <w:color w:val="auto"/>
        </w:rPr>
      </w:pPr>
    </w:p>
    <w:p>
      <w:pPr>
        <w:spacing w:after="0" w:line="249" w:lineRule="auto"/>
        <w:rPr>
          <w:sz w:val="20"/>
          <w:szCs w:val="20"/>
          <w:color w:val="auto"/>
        </w:rPr>
      </w:pPr>
      <w:r>
        <w:rPr>
          <w:rFonts w:ascii="Arial" w:cs="Arial" w:eastAsia="Arial" w:hAnsi="Arial"/>
          <w:sz w:val="22"/>
          <w:szCs w:val="22"/>
          <w:color w:val="7F7F7F"/>
        </w:rPr>
        <w:t>This Policy concerns the handling of material non-public information relating to Acuity Inc. (“Acuity,” the “Company,” or “we”) or other companies with which we deal and with the buying and selling of stock and other securities of Acuity and such other companies. This Policy is in addition to other Company policies and agreements to which employees, officers and directors are subject, including any confidentiality agreements and the Company’s Code of Ethics and Business Conduct.</w:t>
      </w:r>
    </w:p>
    <w:p>
      <w:pPr>
        <w:spacing w:after="0" w:line="4" w:lineRule="exact"/>
        <w:rPr>
          <w:sz w:val="20"/>
          <w:szCs w:val="20"/>
          <w:color w:val="auto"/>
        </w:rPr>
      </w:pPr>
    </w:p>
    <w:p>
      <w:pPr>
        <w:ind w:right="460"/>
        <w:spacing w:after="0" w:line="253" w:lineRule="auto"/>
        <w:rPr>
          <w:sz w:val="20"/>
          <w:szCs w:val="20"/>
          <w:color w:val="auto"/>
        </w:rPr>
      </w:pPr>
      <w:r>
        <w:rPr>
          <w:rFonts w:ascii="Arial" w:cs="Arial" w:eastAsia="Arial" w:hAnsi="Arial"/>
          <w:sz w:val="22"/>
          <w:szCs w:val="22"/>
          <w:color w:val="7F7F7F"/>
        </w:rPr>
        <w:t>Persons covered by this Policy may not engage in certain activities, including those listed below, either directly or indirectly, through family members or other persons or entities:</w:t>
      </w:r>
    </w:p>
    <w:p>
      <w:pPr>
        <w:spacing w:after="0" w:line="68" w:lineRule="exact"/>
        <w:rPr>
          <w:sz w:val="20"/>
          <w:szCs w:val="20"/>
          <w:color w:val="auto"/>
        </w:rPr>
      </w:pPr>
    </w:p>
    <w:p>
      <w:pPr>
        <w:ind w:left="660" w:right="160" w:hanging="328"/>
        <w:spacing w:after="0" w:line="284" w:lineRule="auto"/>
        <w:tabs>
          <w:tab w:leader="none" w:pos="655"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trading in Acuity securities while in possession of material non-public information relating to Acuity, except, as described in this Policy, for certain “Permitted Transactions;”</w:t>
      </w:r>
    </w:p>
    <w:p>
      <w:pPr>
        <w:spacing w:after="0" w:line="34" w:lineRule="exact"/>
        <w:rPr>
          <w:rFonts w:ascii="Times New Roman" w:cs="Times New Roman" w:eastAsia="Times New Roman" w:hAnsi="Times New Roman"/>
          <w:sz w:val="22"/>
          <w:szCs w:val="22"/>
          <w:color w:val="7F7F7F"/>
        </w:rPr>
      </w:pPr>
    </w:p>
    <w:p>
      <w:pPr>
        <w:ind w:left="660" w:right="160" w:hanging="328"/>
        <w:spacing w:after="0" w:line="271" w:lineRule="auto"/>
        <w:tabs>
          <w:tab w:leader="none" w:pos="655"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trading in the securities of a third-party company, while in possession of material non-public information about that company, learned in the course of performing duties for Acuity;</w:t>
      </w:r>
    </w:p>
    <w:p>
      <w:pPr>
        <w:spacing w:after="0" w:line="48"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engaging in “short sales,” as described in this Policy;</w:t>
      </w:r>
    </w:p>
    <w:p>
      <w:pPr>
        <w:spacing w:after="0" w:line="110" w:lineRule="exact"/>
        <w:rPr>
          <w:rFonts w:ascii="Times New Roman" w:cs="Times New Roman" w:eastAsia="Times New Roman" w:hAnsi="Times New Roman"/>
          <w:sz w:val="22"/>
          <w:szCs w:val="22"/>
          <w:color w:val="7F7F7F"/>
        </w:rPr>
      </w:pPr>
    </w:p>
    <w:p>
      <w:pPr>
        <w:ind w:left="660" w:right="260" w:hanging="328"/>
        <w:spacing w:after="0" w:line="271" w:lineRule="auto"/>
        <w:tabs>
          <w:tab w:leader="none" w:pos="655"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hedging securities, purchasing or selling derivative securities, and entering into derivatives contracts relating to Acuity securities, as described in this Policy;</w:t>
      </w:r>
    </w:p>
    <w:p>
      <w:pPr>
        <w:spacing w:after="0" w:line="62" w:lineRule="exact"/>
        <w:rPr>
          <w:rFonts w:ascii="Times New Roman" w:cs="Times New Roman" w:eastAsia="Times New Roman" w:hAnsi="Times New Roman"/>
          <w:sz w:val="22"/>
          <w:szCs w:val="22"/>
          <w:color w:val="7F7F7F"/>
        </w:rPr>
      </w:pPr>
    </w:p>
    <w:p>
      <w:pPr>
        <w:ind w:left="660" w:right="1000" w:hanging="328"/>
        <w:spacing w:after="0" w:line="271" w:lineRule="auto"/>
        <w:tabs>
          <w:tab w:leader="none" w:pos="655"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pledging securities, except as permitted in limited circumstances and only for individuals who are not members of Group Three, as described in this Policy;</w:t>
      </w:r>
    </w:p>
    <w:p>
      <w:pPr>
        <w:spacing w:after="0" w:line="48"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tipping or otherwise engaging in the unauthorized disclosure of material nonpublic information; and</w:t>
      </w:r>
    </w:p>
    <w:p>
      <w:pPr>
        <w:spacing w:after="0" w:line="110" w:lineRule="exact"/>
        <w:rPr>
          <w:rFonts w:ascii="Times New Roman" w:cs="Times New Roman" w:eastAsia="Times New Roman" w:hAnsi="Times New Roman"/>
          <w:sz w:val="22"/>
          <w:szCs w:val="22"/>
          <w:color w:val="7F7F7F"/>
        </w:rPr>
      </w:pPr>
    </w:p>
    <w:p>
      <w:pPr>
        <w:ind w:left="660" w:right="480" w:hanging="328"/>
        <w:spacing w:after="0" w:line="255" w:lineRule="auto"/>
        <w:tabs>
          <w:tab w:leader="none" w:pos="655" w:val="left"/>
        </w:tabs>
        <w:numPr>
          <w:ilvl w:val="0"/>
          <w:numId w:val="30"/>
        </w:numPr>
        <w:rPr>
          <w:rFonts w:ascii="Times New Roman" w:cs="Times New Roman" w:eastAsia="Times New Roman" w:hAnsi="Times New Roman"/>
          <w:sz w:val="22"/>
          <w:szCs w:val="22"/>
          <w:color w:val="7F7F7F"/>
        </w:rPr>
      </w:pPr>
      <w:r>
        <w:rPr>
          <w:rFonts w:ascii="Arial" w:cs="Arial" w:eastAsia="Arial" w:hAnsi="Arial"/>
          <w:sz w:val="22"/>
          <w:szCs w:val="22"/>
          <w:color w:val="7F7F7F"/>
        </w:rPr>
        <w:t>for members of Group Two and Group Three, trading in Acuity securities during closed trading windows or special blackout periods, as described in this Policy.</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7F7F7F"/>
        </w:rPr>
        <w:t>Additional restrictions and details are described in this Policy. You should read the entire Policy to ensure that you are aware of all such items.</w:t>
      </w:r>
    </w:p>
    <w:p>
      <w:pPr>
        <w:spacing w:after="0" w:line="197"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7F7F7F"/>
        </w:rPr>
        <w:t>Each person or entity subject to this Policy is responsible for: ensuring his, her, their or its compliance with the Policy and applicable securities laws, rules and regulations; and determining whether he, she, they or it is in possession of material nonpublic information. Any action on the part of the Company or any other employee or director of the Company pursuant to this Policy or otherwise does not in any way constitute legal advice or insulate an individual or entity from liability under applicable securities laws, rules and regulations.</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b w:val="1"/>
          <w:bCs w:val="1"/>
          <w:color w:val="7F7F7F"/>
        </w:rPr>
        <w:t xml:space="preserve">I. </w:t>
      </w:r>
      <w:r>
        <w:rPr>
          <w:rFonts w:ascii="Arial" w:cs="Arial" w:eastAsia="Arial" w:hAnsi="Arial"/>
          <w:sz w:val="25"/>
          <w:szCs w:val="25"/>
          <w:b w:val="1"/>
          <w:bCs w:val="1"/>
          <w:u w:val="single" w:color="auto"/>
          <w:color w:val="7F7F7F"/>
        </w:rPr>
        <w:t>Employee Groups; Summary of Restrictions</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ind w:left="10220"/>
        <w:spacing w:after="0"/>
        <w:rPr>
          <w:sz w:val="20"/>
          <w:szCs w:val="20"/>
          <w:color w:val="auto"/>
        </w:rPr>
      </w:pPr>
      <w:r>
        <w:rPr>
          <w:rFonts w:ascii="Arial" w:cs="Arial" w:eastAsia="Arial" w:hAnsi="Arial"/>
          <w:sz w:val="21"/>
          <w:szCs w:val="21"/>
          <w:b w:val="1"/>
          <w:bCs w:val="1"/>
          <w:color w:val="auto"/>
        </w:rPr>
        <w:t>Exhibit 19</w:t>
      </w:r>
    </w:p>
    <w:p>
      <w:pPr>
        <w:spacing w:after="0" w:line="274"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7F7F7F"/>
        </w:rPr>
        <w:t>For purposes of this Policy, each Acuity employee, officer and director is categorized into one of three groups (“Group One,” “Group Two,” and “Group Three”) as further described below in this Section I. Different restrictions contained in this Policy apply to each group.</w:t>
      </w:r>
    </w:p>
    <w:p>
      <w:pPr>
        <w:spacing w:after="0" w:line="20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7F7F7F"/>
        </w:rPr>
        <w:t>The Corporate Secretary will work with the Company’s management team to determine the appropriate group for each employee. The Corporate Secretary will notify each employee, officer and director if he or she has been initially placed into Group Two or Group Three and any employee, officer or director if at any time he or she is placed into a different group.</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22"/>
          <w:szCs w:val="22"/>
          <w:color w:val="7F7F7F"/>
        </w:rPr>
        <w:t>You should read this entire Policy. However, for your convenience, the following is a summary of the key restrictions that apply to each group under this Policy:</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u w:val="single" w:color="auto"/>
          <w:color w:val="7F7F7F"/>
        </w:rPr>
        <w:t>Group One</w:t>
      </w:r>
      <w:r>
        <w:rPr>
          <w:rFonts w:ascii="Arial" w:cs="Arial" w:eastAsia="Arial" w:hAnsi="Arial"/>
          <w:sz w:val="22"/>
          <w:szCs w:val="22"/>
          <w:color w:val="7F7F7F"/>
        </w:rPr>
        <w:t xml:space="preserve"> – All employees are in Group One unless otherwise described below or notified of being placed in a different category by the Corporate Secretary. The vast majority of our employees are in Group One. Members of Group One are required to comply with the restrictions on: (1) trading in securities while in possession of material non-public information (“insider trading”), as described in Section II; (2) the prohibition on engaging in “short sales,” as described in Section II; (3) the prohibition on hedging our securities, purchasing or selling derivative securities, and entering into derivatives contracts relating to Acuity securities, as described in Section II; and (4) disclosing material non-public information to others (“tipping”), as described in Section III.</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u w:val="single" w:color="auto"/>
          <w:color w:val="7F7F7F"/>
        </w:rPr>
        <w:t>Group Two</w:t>
      </w:r>
      <w:r>
        <w:rPr>
          <w:rFonts w:ascii="Arial" w:cs="Arial" w:eastAsia="Arial" w:hAnsi="Arial"/>
          <w:sz w:val="21"/>
          <w:szCs w:val="21"/>
          <w:color w:val="7F7F7F"/>
        </w:rPr>
        <w:t xml:space="preserve"> – The following persons are included in Group Two unless such persons are otherwise included in Group Three: (1) all Acuity senior vice presidents and in-house attorneys; and (2) all officers and employees who have regular access to material non-public information, including, but not limited to, Acuity’s financial reporting and forecasting information (such officers and employees include, but are not limited to, certain members of Acuity’s (a) finance, accounting, and tax team, (b) human resources team, (c) risk management team, (d) investor relations team,</w:t>
      </w:r>
    </w:p>
    <w:p>
      <w:pPr>
        <w:spacing w:after="0" w:line="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2"/>
          <w:szCs w:val="22"/>
          <w:color w:val="7F7F7F"/>
        </w:rPr>
      </w:pPr>
      <w:r>
        <w:rPr>
          <w:rFonts w:ascii="Arial" w:cs="Arial" w:eastAsia="Arial" w:hAnsi="Arial"/>
          <w:sz w:val="22"/>
          <w:szCs w:val="22"/>
          <w:color w:val="7F7F7F"/>
        </w:rPr>
        <w:t>communications team, (f) mergers and acquisitions team, and (g) senior leadership team), determined, in each</w:t>
      </w:r>
    </w:p>
    <w:p>
      <w:pPr>
        <w:spacing w:after="0" w:line="10" w:lineRule="exact"/>
        <w:rPr>
          <w:rFonts w:ascii="Arial" w:cs="Arial" w:eastAsia="Arial" w:hAnsi="Arial"/>
          <w:sz w:val="22"/>
          <w:szCs w:val="22"/>
          <w:color w:val="7F7F7F"/>
        </w:rPr>
      </w:pPr>
    </w:p>
    <w:p>
      <w:pPr>
        <w:ind w:right="20"/>
        <w:spacing w:after="0" w:line="245" w:lineRule="auto"/>
        <w:rPr>
          <w:rFonts w:ascii="Arial" w:cs="Arial" w:eastAsia="Arial" w:hAnsi="Arial"/>
          <w:sz w:val="22"/>
          <w:szCs w:val="22"/>
          <w:color w:val="7F7F7F"/>
        </w:rPr>
      </w:pPr>
      <w:r>
        <w:rPr>
          <w:rFonts w:ascii="Arial" w:cs="Arial" w:eastAsia="Arial" w:hAnsi="Arial"/>
          <w:sz w:val="22"/>
          <w:szCs w:val="22"/>
          <w:color w:val="7F7F7F"/>
        </w:rPr>
        <w:t>case, from time to time by the General Counsel, Corporate Secretary or an officer designated in writing by either such officer. In addition to the general prohibitions against insider trading, short sales, hedging and tipping, members of Group Two may only purchase or sell Acuity securities during the trading windows described in Section IV. Members of Group Two must also receive pre-clearance prior to entering into any pledge or margin arrangement involving Acuity securities to avoid an inadvertent violation of this Policy.</w:t>
      </w:r>
    </w:p>
    <w:p>
      <w:pPr>
        <w:spacing w:after="0" w:line="4" w:lineRule="exact"/>
        <w:rPr>
          <w:rFonts w:ascii="Arial" w:cs="Arial" w:eastAsia="Arial" w:hAnsi="Arial"/>
          <w:sz w:val="22"/>
          <w:szCs w:val="22"/>
          <w:color w:val="7F7F7F"/>
        </w:rPr>
      </w:pPr>
    </w:p>
    <w:p>
      <w:pPr>
        <w:ind w:right="20"/>
        <w:spacing w:after="0" w:line="261" w:lineRule="auto"/>
        <w:rPr>
          <w:rFonts w:ascii="Arial" w:cs="Arial" w:eastAsia="Arial" w:hAnsi="Arial"/>
          <w:sz w:val="22"/>
          <w:szCs w:val="22"/>
          <w:color w:val="7F7F7F"/>
        </w:rPr>
      </w:pPr>
      <w:r>
        <w:rPr>
          <w:rFonts w:ascii="Arial" w:cs="Arial" w:eastAsia="Arial" w:hAnsi="Arial"/>
          <w:sz w:val="21"/>
          <w:szCs w:val="21"/>
          <w:u w:val="single" w:color="auto"/>
          <w:color w:val="7F7F7F"/>
        </w:rPr>
        <w:t>Group Three</w:t>
      </w:r>
      <w:r>
        <w:rPr>
          <w:rFonts w:ascii="Arial" w:cs="Arial" w:eastAsia="Arial" w:hAnsi="Arial"/>
          <w:sz w:val="21"/>
          <w:szCs w:val="21"/>
          <w:color w:val="7F7F7F"/>
        </w:rPr>
        <w:t xml:space="preserve"> – Members of our board of directors, our Chief Executive Officer, our employees who report directly to the Chief Executive Officer and any of our other “officers” as defined in the rules promulgated under Section 16 of the Securities Exchange Act, are in Group Three, whose members are subject to the same restrictions as apply to Group Two. In addition, members of Group Three are required to: (1) comply with the restriction on pledging our securities, as described in Section II; (2) pre-clear most transactions with the General Counsel, Corporate Secretary or an officer designated in writing by either such officer, as described in Section V; (3) comply with additional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ind w:left="10220"/>
        <w:spacing w:after="0"/>
        <w:rPr>
          <w:sz w:val="20"/>
          <w:szCs w:val="20"/>
          <w:color w:val="auto"/>
        </w:rPr>
      </w:pPr>
      <w:r>
        <w:rPr>
          <w:rFonts w:ascii="Arial" w:cs="Arial" w:eastAsia="Arial" w:hAnsi="Arial"/>
          <w:sz w:val="21"/>
          <w:szCs w:val="21"/>
          <w:b w:val="1"/>
          <w:bCs w:val="1"/>
          <w:color w:val="auto"/>
        </w:rPr>
        <w:t>Exhibit 19</w:t>
      </w:r>
    </w:p>
    <w:p>
      <w:pPr>
        <w:spacing w:after="0" w:line="274"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7F7F7F"/>
        </w:rPr>
        <w:t>requirements with respect to any Trading Plan (as defined herein); and (4) comply with certain other trading restrictions and reporting requirements that may be imposed on them by the federal securities laws and the rules and regulations of the Securities and Exchange Commission (“SEC”).</w:t>
      </w:r>
    </w:p>
    <w:p>
      <w:pPr>
        <w:spacing w:after="0" w:line="2"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7F7F7F"/>
        </w:rPr>
        <w:t>In addition, regardless of group affiliation, any employee, officer or director of Acuity may be temporarily prohibited from buying or selling Acuity securities during special blackout periods. These special blackout periods are described in Section IV.</w:t>
      </w:r>
    </w:p>
    <w:p>
      <w:pPr>
        <w:spacing w:after="0" w:line="3" w:lineRule="exact"/>
        <w:rPr>
          <w:sz w:val="20"/>
          <w:szCs w:val="20"/>
          <w:color w:val="auto"/>
        </w:rPr>
      </w:pPr>
    </w:p>
    <w:p>
      <w:pPr>
        <w:ind w:right="7860" w:firstLine="8"/>
        <w:spacing w:after="0" w:line="337" w:lineRule="auto"/>
        <w:tabs>
          <w:tab w:leader="none" w:pos="241" w:val="left"/>
        </w:tabs>
        <w:numPr>
          <w:ilvl w:val="0"/>
          <w:numId w:val="32"/>
        </w:numPr>
        <w:rPr>
          <w:rFonts w:ascii="Arial" w:cs="Arial" w:eastAsia="Arial" w:hAnsi="Arial"/>
          <w:sz w:val="25"/>
          <w:szCs w:val="25"/>
          <w:b w:val="1"/>
          <w:bCs w:val="1"/>
          <w:color w:val="7F7F7F"/>
        </w:rPr>
      </w:pPr>
      <w:r>
        <w:rPr>
          <w:rFonts w:ascii="Arial" w:cs="Arial" w:eastAsia="Arial" w:hAnsi="Arial"/>
          <w:sz w:val="25"/>
          <w:szCs w:val="25"/>
          <w:b w:val="1"/>
          <w:bCs w:val="1"/>
          <w:u w:val="single" w:color="auto"/>
          <w:color w:val="7F7F7F"/>
        </w:rPr>
        <w:t xml:space="preserve">Insider Trading Prohibited </w:t>
      </w:r>
      <w:r>
        <w:rPr>
          <w:rFonts w:ascii="Arial" w:cs="Arial" w:eastAsia="Arial" w:hAnsi="Arial"/>
          <w:sz w:val="25"/>
          <w:szCs w:val="25"/>
          <w:i w:val="1"/>
          <w:iCs w:val="1"/>
          <w:color w:val="7F7F7F"/>
        </w:rPr>
        <w:t>General Rule</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7F7F7F"/>
        </w:rPr>
        <w:t>Acuity employees, officers and directors, and Acuity, as an entity, may not purchase, sell or engage in other transactions in Acuity securities while he, she, they or it is in possession of material non-public information relating to Acuity. This restriction does not apply to certain “Permitted Transactions,” which are discussed in Section VI of this Policy.</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Employees, Officers and Directors and their Family Members and Others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color w:val="7F7F7F"/>
        </w:rPr>
        <w:t>This Policy applies to all employees, officers and directors of Acuity and its subsidiaries. Each provision of this Policy that applies to an employee, officer and director also applies to:</w:t>
      </w:r>
    </w:p>
    <w:p>
      <w:pPr>
        <w:spacing w:after="0" w:line="48" w:lineRule="exact"/>
        <w:rPr>
          <w:sz w:val="20"/>
          <w:szCs w:val="20"/>
          <w:color w:val="auto"/>
        </w:rPr>
      </w:pPr>
    </w:p>
    <w:p>
      <w:pPr>
        <w:ind w:left="660" w:right="320" w:hanging="328"/>
        <w:spacing w:after="0" w:line="253" w:lineRule="auto"/>
        <w:tabs>
          <w:tab w:leader="none" w:pos="655" w:val="left"/>
        </w:tabs>
        <w:numPr>
          <w:ilvl w:val="0"/>
          <w:numId w:val="33"/>
        </w:numPr>
        <w:rPr>
          <w:rFonts w:ascii="Times New Roman" w:cs="Times New Roman" w:eastAsia="Times New Roman" w:hAnsi="Times New Roman"/>
          <w:sz w:val="22"/>
          <w:szCs w:val="22"/>
          <w:color w:val="7F7F7F"/>
        </w:rPr>
      </w:pPr>
      <w:r>
        <w:rPr>
          <w:rFonts w:ascii="Arial" w:cs="Arial" w:eastAsia="Arial" w:hAnsi="Arial"/>
          <w:sz w:val="22"/>
          <w:szCs w:val="22"/>
          <w:color w:val="7F7F7F"/>
        </w:rPr>
        <w:t>family members or other persons with whom they share a household, family members or other persons who principally rely on the employee, officer or director for their financial support, regardless of where those persons reside, and anyone else with whom the employee, officer or director shares a household, and any family members with whom the employee, officer or director does not share a household but directs, influences or controls their transactions in Acuity securities (collectively, “Family Members”); and</w:t>
      </w:r>
    </w:p>
    <w:p>
      <w:pPr>
        <w:spacing w:after="0" w:line="69" w:lineRule="exact"/>
        <w:rPr>
          <w:rFonts w:ascii="Times New Roman" w:cs="Times New Roman" w:eastAsia="Times New Roman" w:hAnsi="Times New Roman"/>
          <w:sz w:val="22"/>
          <w:szCs w:val="22"/>
          <w:color w:val="7F7F7F"/>
        </w:rPr>
      </w:pPr>
    </w:p>
    <w:p>
      <w:pPr>
        <w:ind w:left="660" w:right="280" w:hanging="328"/>
        <w:spacing w:after="0" w:line="263" w:lineRule="auto"/>
        <w:tabs>
          <w:tab w:leader="none" w:pos="655" w:val="left"/>
        </w:tabs>
        <w:numPr>
          <w:ilvl w:val="0"/>
          <w:numId w:val="33"/>
        </w:numPr>
        <w:rPr>
          <w:rFonts w:ascii="Times New Roman" w:cs="Times New Roman" w:eastAsia="Times New Roman" w:hAnsi="Times New Roman"/>
          <w:sz w:val="21"/>
          <w:szCs w:val="21"/>
          <w:color w:val="7F7F7F"/>
        </w:rPr>
      </w:pPr>
      <w:r>
        <w:rPr>
          <w:rFonts w:ascii="Arial" w:cs="Arial" w:eastAsia="Arial" w:hAnsi="Arial"/>
          <w:sz w:val="21"/>
          <w:szCs w:val="21"/>
          <w:color w:val="7F7F7F"/>
        </w:rPr>
        <w:t>any entity (a) over which they have control or influence with respect to a transaction in securities (e.g., a trustee of a trust or an executor of an estate) or (b) in which they have a material financial interest; provided, however, that clause (b) shall not include a professional institutional investment entity in which any such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7F7F7F"/>
        </w:rPr>
        <w:t>person has such a material financial interest (collectively, “Controlled Entities”).</w:t>
      </w:r>
    </w:p>
    <w:p>
      <w:pPr>
        <w:spacing w:after="0" w:line="10" w:lineRule="exact"/>
        <w:rPr>
          <w:sz w:val="20"/>
          <w:szCs w:val="20"/>
          <w:color w:val="auto"/>
        </w:rPr>
      </w:pPr>
    </w:p>
    <w:p>
      <w:pPr>
        <w:ind w:right="20"/>
        <w:spacing w:after="0" w:line="242" w:lineRule="auto"/>
        <w:rPr>
          <w:sz w:val="20"/>
          <w:szCs w:val="20"/>
          <w:color w:val="auto"/>
        </w:rPr>
      </w:pPr>
      <w:r>
        <w:rPr>
          <w:rFonts w:ascii="Arial" w:cs="Arial" w:eastAsia="Arial" w:hAnsi="Arial"/>
          <w:sz w:val="22"/>
          <w:szCs w:val="22"/>
          <w:color w:val="7F7F7F"/>
        </w:rPr>
        <w:t>Likewise, when we refer to “you” in this Policy, we also mean each of the people and entities listed above with respect to you. Because Family Members and Controlled Entities are covered by this Policy, you will be responsible for their transactions in Acuity securities and, in order to maintain your compliance with this Policy, you should ensure that they do not purchase or sell Acuity securities without your clearance.</w:t>
      </w:r>
    </w:p>
    <w:p>
      <w:pPr>
        <w:spacing w:after="0"/>
        <w:rPr>
          <w:sz w:val="20"/>
          <w:szCs w:val="20"/>
          <w:color w:val="auto"/>
        </w:rPr>
      </w:pPr>
      <w:r>
        <w:rPr>
          <w:rFonts w:ascii="Arial" w:cs="Arial" w:eastAsia="Arial" w:hAnsi="Arial"/>
          <w:sz w:val="25"/>
          <w:szCs w:val="25"/>
          <w:i w:val="1"/>
          <w:iCs w:val="1"/>
          <w:color w:val="7F7F7F"/>
        </w:rPr>
        <w:t>Other Persons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7F7F7F"/>
        </w:rPr>
        <w:t>It may be appropriate, in some circumstances, for persons who are not employed by Acuity (in addition to those listed above) to be subject to the same restrictions as company employees and other “insiders.” These include, for example, contractors and consultants. If you are aware of 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7F7F7F"/>
        </w:rPr>
        <w:t>situation in which a contractor, consultant, advisor or other person not employed by Acuity is likely to have access to material nonpublic information about the company, you should consider whether those outside parties should be subject to restrictions and, if so, bring this situation to the attention of the Corporate Secretary, who will consider whether it is appropriate to make arrangements to protect the Company.</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Material Non-Public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i w:val="1"/>
          <w:iCs w:val="1"/>
          <w:color w:val="7F7F7F"/>
        </w:rPr>
        <w:t xml:space="preserve">Material. </w:t>
      </w:r>
      <w:r>
        <w:rPr>
          <w:rFonts w:ascii="Arial" w:cs="Arial" w:eastAsia="Arial" w:hAnsi="Arial"/>
          <w:sz w:val="22"/>
          <w:szCs w:val="22"/>
          <w:color w:val="7F7F7F"/>
        </w:rPr>
        <w:t>Information is considered “material” if:</w:t>
      </w:r>
    </w:p>
    <w:p>
      <w:pPr>
        <w:spacing w:after="0" w:line="112" w:lineRule="exact"/>
        <w:rPr>
          <w:sz w:val="20"/>
          <w:szCs w:val="20"/>
          <w:color w:val="auto"/>
        </w:rPr>
      </w:pPr>
    </w:p>
    <w:p>
      <w:pPr>
        <w:ind w:left="660" w:right="600" w:hanging="328"/>
        <w:spacing w:after="0" w:line="271" w:lineRule="auto"/>
        <w:tabs>
          <w:tab w:leader="none" w:pos="655" w:val="left"/>
        </w:tabs>
        <w:numPr>
          <w:ilvl w:val="0"/>
          <w:numId w:val="34"/>
        </w:numPr>
        <w:rPr>
          <w:rFonts w:ascii="Times New Roman" w:cs="Times New Roman" w:eastAsia="Times New Roman" w:hAnsi="Times New Roman"/>
          <w:sz w:val="22"/>
          <w:szCs w:val="22"/>
          <w:color w:val="7F7F7F"/>
        </w:rPr>
      </w:pPr>
      <w:r>
        <w:rPr>
          <w:rFonts w:ascii="Arial" w:cs="Arial" w:eastAsia="Arial" w:hAnsi="Arial"/>
          <w:sz w:val="22"/>
          <w:szCs w:val="22"/>
          <w:color w:val="7F7F7F"/>
        </w:rPr>
        <w:t>a reasonable investor would consider it important in making a decision on whether to buy, sell or hold the security;</w:t>
      </w:r>
    </w:p>
    <w:p>
      <w:pPr>
        <w:spacing w:after="0" w:line="48" w:lineRule="exact"/>
        <w:rPr>
          <w:rFonts w:ascii="Times New Roman" w:cs="Times New Roman" w:eastAsia="Times New Roman" w:hAnsi="Times New Roman"/>
          <w:sz w:val="22"/>
          <w:szCs w:val="22"/>
          <w:color w:val="7F7F7F"/>
        </w:rPr>
      </w:pPr>
    </w:p>
    <w:p>
      <w:pPr>
        <w:ind w:left="660" w:right="500" w:hanging="328"/>
        <w:spacing w:after="0" w:line="284" w:lineRule="auto"/>
        <w:tabs>
          <w:tab w:leader="none" w:pos="655" w:val="left"/>
        </w:tabs>
        <w:numPr>
          <w:ilvl w:val="0"/>
          <w:numId w:val="34"/>
        </w:numPr>
        <w:rPr>
          <w:rFonts w:ascii="Times New Roman" w:cs="Times New Roman" w:eastAsia="Times New Roman" w:hAnsi="Times New Roman"/>
          <w:sz w:val="22"/>
          <w:szCs w:val="22"/>
          <w:color w:val="7F7F7F"/>
        </w:rPr>
      </w:pPr>
      <w:r>
        <w:rPr>
          <w:rFonts w:ascii="Arial" w:cs="Arial" w:eastAsia="Arial" w:hAnsi="Arial"/>
          <w:sz w:val="22"/>
          <w:szCs w:val="22"/>
          <w:color w:val="7F7F7F"/>
        </w:rPr>
        <w:t>a reasonable investor would view the information as significantly altering the total mix of information in the marketplace about the company that issued the security; or</w:t>
      </w:r>
    </w:p>
    <w:p>
      <w:pPr>
        <w:spacing w:after="0" w:line="34"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7F7F7F"/>
        </w:rPr>
      </w:pPr>
      <w:r>
        <w:rPr>
          <w:rFonts w:ascii="Arial" w:cs="Arial" w:eastAsia="Arial" w:hAnsi="Arial"/>
          <w:sz w:val="22"/>
          <w:szCs w:val="22"/>
          <w:color w:val="7F7F7F"/>
        </w:rPr>
        <w:t>the information could reasonably be expected to have an effect on the price of the security.</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7F7F7F"/>
        </w:rPr>
        <w:t xml:space="preserve">Non-public. </w:t>
      </w:r>
      <w:r>
        <w:rPr>
          <w:rFonts w:ascii="Arial" w:cs="Arial" w:eastAsia="Arial" w:hAnsi="Arial"/>
          <w:sz w:val="22"/>
          <w:szCs w:val="22"/>
          <w:color w:val="7F7F7F"/>
        </w:rPr>
        <w:t>Information is non-public until it has been “publicly disclosed,” meaning that it:</w:t>
      </w:r>
    </w:p>
    <w:p>
      <w:pPr>
        <w:spacing w:after="0" w:line="112" w:lineRule="exact"/>
        <w:rPr>
          <w:sz w:val="20"/>
          <w:szCs w:val="20"/>
          <w:color w:val="auto"/>
        </w:rPr>
      </w:pPr>
    </w:p>
    <w:p>
      <w:pPr>
        <w:ind w:left="660" w:right="300" w:hanging="328"/>
        <w:spacing w:after="0" w:line="271" w:lineRule="auto"/>
        <w:tabs>
          <w:tab w:leader="none" w:pos="655" w:val="left"/>
        </w:tabs>
        <w:numPr>
          <w:ilvl w:val="0"/>
          <w:numId w:val="35"/>
        </w:numPr>
        <w:rPr>
          <w:rFonts w:ascii="Times New Roman" w:cs="Times New Roman" w:eastAsia="Times New Roman" w:hAnsi="Times New Roman"/>
          <w:sz w:val="22"/>
          <w:szCs w:val="22"/>
          <w:color w:val="7F7F7F"/>
        </w:rPr>
      </w:pPr>
      <w:r>
        <w:rPr>
          <w:rFonts w:ascii="Arial" w:cs="Arial" w:eastAsia="Arial" w:hAnsi="Arial"/>
          <w:sz w:val="22"/>
          <w:szCs w:val="22"/>
          <w:color w:val="7F7F7F"/>
        </w:rPr>
        <w:t>is published in such a way as to provide broad, non-exclusionary distribution of the information to the public; and</w:t>
      </w:r>
    </w:p>
    <w:p>
      <w:pPr>
        <w:spacing w:after="0" w:line="48" w:lineRule="exact"/>
        <w:rPr>
          <w:rFonts w:ascii="Times New Roman" w:cs="Times New Roman" w:eastAsia="Times New Roman" w:hAnsi="Times New Roman"/>
          <w:sz w:val="22"/>
          <w:szCs w:val="22"/>
          <w:color w:val="7F7F7F"/>
        </w:rPr>
      </w:pPr>
    </w:p>
    <w:p>
      <w:pPr>
        <w:ind w:left="660" w:right="180" w:hanging="328"/>
        <w:spacing w:after="0" w:line="284" w:lineRule="auto"/>
        <w:tabs>
          <w:tab w:leader="none" w:pos="655" w:val="left"/>
        </w:tabs>
        <w:numPr>
          <w:ilvl w:val="0"/>
          <w:numId w:val="35"/>
        </w:numPr>
        <w:rPr>
          <w:rFonts w:ascii="Times New Roman" w:cs="Times New Roman" w:eastAsia="Times New Roman" w:hAnsi="Times New Roman"/>
          <w:sz w:val="22"/>
          <w:szCs w:val="22"/>
          <w:color w:val="7F7F7F"/>
        </w:rPr>
      </w:pPr>
      <w:r>
        <w:rPr>
          <w:rFonts w:ascii="Arial" w:cs="Arial" w:eastAsia="Arial" w:hAnsi="Arial"/>
          <w:sz w:val="22"/>
          <w:szCs w:val="22"/>
          <w:color w:val="7F7F7F"/>
        </w:rPr>
        <w:t>has been in the public domain for a sufficient period of time to be absorbed by the market and reflected in the price of the related securities.</w:t>
      </w:r>
    </w:p>
    <w:p>
      <w:pPr>
        <w:spacing w:after="0" w:line="278"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7F7F7F"/>
        </w:rPr>
        <w:t>Examples of public disclosure include the issuance of a press release or the filing of an appropriate report with the SEC. Information is generally considered to be “non-public” until the expiration of a period of one full trading day after the information is released to the general public. However, this period varies depending on the type of information released, the market’s expectations relating to the subject matter of the release, and the market’s reaction after the information is released.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7F7F7F"/>
        </w:rPr>
        <w:t>Examples of material non-public information might include information about:</w:t>
      </w:r>
    </w:p>
    <w:p>
      <w:pPr>
        <w:spacing w:after="0" w:line="92" w:lineRule="exact"/>
        <w:rPr>
          <w:sz w:val="20"/>
          <w:szCs w:val="20"/>
          <w:color w:val="auto"/>
        </w:rPr>
      </w:pPr>
    </w:p>
    <w:p>
      <w:pPr>
        <w:ind w:left="660" w:right="1400" w:hanging="328"/>
        <w:spacing w:after="0" w:line="271" w:lineRule="auto"/>
        <w:tabs>
          <w:tab w:leader="none" w:pos="655" w:val="left"/>
        </w:tabs>
        <w:numPr>
          <w:ilvl w:val="0"/>
          <w:numId w:val="36"/>
        </w:numPr>
        <w:rPr>
          <w:rFonts w:ascii="Times New Roman" w:cs="Times New Roman" w:eastAsia="Times New Roman" w:hAnsi="Times New Roman"/>
          <w:sz w:val="22"/>
          <w:szCs w:val="22"/>
          <w:color w:val="7F7F7F"/>
        </w:rPr>
      </w:pPr>
      <w:r>
        <w:rPr>
          <w:rFonts w:ascii="Arial" w:cs="Arial" w:eastAsia="Arial" w:hAnsi="Arial"/>
          <w:sz w:val="22"/>
          <w:szCs w:val="22"/>
          <w:color w:val="7F7F7F"/>
        </w:rPr>
        <w:t>the Company’s financial or operating results, whether for completed periods or relating to certain expectations for future periods;</w:t>
      </w:r>
    </w:p>
    <w:p>
      <w:pPr>
        <w:spacing w:after="0" w:line="48" w:lineRule="exact"/>
        <w:rPr>
          <w:rFonts w:ascii="Times New Roman" w:cs="Times New Roman" w:eastAsia="Times New Roman" w:hAnsi="Times New Roman"/>
          <w:sz w:val="22"/>
          <w:szCs w:val="22"/>
          <w:color w:val="7F7F7F"/>
        </w:rPr>
      </w:pPr>
    </w:p>
    <w:p>
      <w:pPr>
        <w:ind w:left="660" w:right="920" w:hanging="328"/>
        <w:spacing w:after="0" w:line="284" w:lineRule="auto"/>
        <w:tabs>
          <w:tab w:leader="none" w:pos="655" w:val="left"/>
        </w:tabs>
        <w:numPr>
          <w:ilvl w:val="0"/>
          <w:numId w:val="36"/>
        </w:numPr>
        <w:rPr>
          <w:rFonts w:ascii="Times New Roman" w:cs="Times New Roman" w:eastAsia="Times New Roman" w:hAnsi="Times New Roman"/>
          <w:sz w:val="22"/>
          <w:szCs w:val="22"/>
          <w:color w:val="7F7F7F"/>
        </w:rPr>
      </w:pPr>
      <w:r>
        <w:rPr>
          <w:rFonts w:ascii="Arial" w:cs="Arial" w:eastAsia="Arial" w:hAnsi="Arial"/>
          <w:sz w:val="22"/>
          <w:szCs w:val="22"/>
          <w:color w:val="7F7F7F"/>
        </w:rPr>
        <w:t>the gain or loss of a substantial customer or any significant change in the business relationship with a substantial customer or other important business partner;</w:t>
      </w:r>
    </w:p>
    <w:p>
      <w:pPr>
        <w:spacing w:after="0" w:line="34"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7F7F7F"/>
        </w:rPr>
      </w:pPr>
      <w:r>
        <w:rPr>
          <w:rFonts w:ascii="Arial" w:cs="Arial" w:eastAsia="Arial" w:hAnsi="Arial"/>
          <w:sz w:val="22"/>
          <w:szCs w:val="22"/>
          <w:color w:val="7F7F7F"/>
        </w:rPr>
        <w:t>the Company entering into or the termination of a significant contract;</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7F7F7F"/>
        </w:rPr>
      </w:pPr>
      <w:r>
        <w:rPr>
          <w:rFonts w:ascii="Arial" w:cs="Arial" w:eastAsia="Arial" w:hAnsi="Arial"/>
          <w:sz w:val="22"/>
          <w:szCs w:val="22"/>
          <w:color w:val="7F7F7F"/>
        </w:rPr>
        <w:t>a material impairment or change in the value of the Company’s assets;</w:t>
      </w:r>
    </w:p>
    <w:p>
      <w:pPr>
        <w:spacing w:after="0" w:line="110" w:lineRule="exact"/>
        <w:rPr>
          <w:rFonts w:ascii="Times New Roman" w:cs="Times New Roman" w:eastAsia="Times New Roman" w:hAnsi="Times New Roman"/>
          <w:sz w:val="22"/>
          <w:szCs w:val="22"/>
          <w:color w:val="7F7F7F"/>
        </w:rPr>
      </w:pPr>
    </w:p>
    <w:p>
      <w:pPr>
        <w:ind w:left="660" w:right="1040" w:hanging="328"/>
        <w:spacing w:after="0" w:line="295" w:lineRule="auto"/>
        <w:tabs>
          <w:tab w:leader="none" w:pos="655" w:val="left"/>
        </w:tabs>
        <w:numPr>
          <w:ilvl w:val="0"/>
          <w:numId w:val="36"/>
        </w:numPr>
        <w:rPr>
          <w:rFonts w:ascii="Times New Roman" w:cs="Times New Roman" w:eastAsia="Times New Roman" w:hAnsi="Times New Roman"/>
          <w:sz w:val="21"/>
          <w:szCs w:val="21"/>
          <w:color w:val="7F7F7F"/>
        </w:rPr>
      </w:pPr>
      <w:r>
        <w:rPr>
          <w:rFonts w:ascii="Arial" w:cs="Arial" w:eastAsia="Arial" w:hAnsi="Arial"/>
          <w:sz w:val="21"/>
          <w:szCs w:val="21"/>
          <w:color w:val="7F7F7F"/>
        </w:rPr>
        <w:t>the filing of significant litigation or claims against the Company, developments in pending litigation or governmental investigations or proceedings, or other contingent liabilities affecting the Company;</w:t>
      </w:r>
    </w:p>
    <w:p>
      <w:pPr>
        <w:spacing w:after="0" w:line="26" w:lineRule="exact"/>
        <w:rPr>
          <w:rFonts w:ascii="Times New Roman" w:cs="Times New Roman" w:eastAsia="Times New Roman" w:hAnsi="Times New Roman"/>
          <w:sz w:val="21"/>
          <w:szCs w:val="21"/>
          <w:color w:val="7F7F7F"/>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7F7F7F"/>
        </w:rPr>
      </w:pPr>
      <w:r>
        <w:rPr>
          <w:rFonts w:ascii="Arial" w:cs="Arial" w:eastAsia="Arial" w:hAnsi="Arial"/>
          <w:sz w:val="22"/>
          <w:szCs w:val="22"/>
          <w:color w:val="7F7F7F"/>
        </w:rPr>
        <w:t>negotiation of a significant joint venture, merger 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news of a significant purchase or sale of assets;</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changes in top management;</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significant labor negotiations or disputes;</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significant accounting developments;</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changes in dividend policies;</w:t>
      </w:r>
    </w:p>
    <w:p>
      <w:pPr>
        <w:spacing w:after="0" w:line="124"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the declaration of a stock split;</w:t>
      </w:r>
    </w:p>
    <w:p>
      <w:pPr>
        <w:spacing w:after="0" w:line="110" w:lineRule="exact"/>
        <w:rPr>
          <w:rFonts w:ascii="Times New Roman" w:cs="Times New Roman" w:eastAsia="Times New Roman" w:hAnsi="Times New Roman"/>
          <w:sz w:val="22"/>
          <w:szCs w:val="22"/>
          <w:color w:val="7F7F7F"/>
        </w:rPr>
      </w:pPr>
    </w:p>
    <w:p>
      <w:pPr>
        <w:ind w:left="660" w:right="340" w:hanging="328"/>
        <w:spacing w:after="0" w:line="257" w:lineRule="auto"/>
        <w:tabs>
          <w:tab w:leader="none" w:pos="655"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the Company’s plans relating to its capital structure or outstanding securities, including issuances or repurchases of common stock or debt securities, and information about possible changes in the Company’s credit ratings;</w:t>
      </w:r>
    </w:p>
    <w:p>
      <w:pPr>
        <w:spacing w:after="0" w:line="63" w:lineRule="exact"/>
        <w:rPr>
          <w:rFonts w:ascii="Times New Roman" w:cs="Times New Roman" w:eastAsia="Times New Roman" w:hAnsi="Times New Roman"/>
          <w:sz w:val="22"/>
          <w:szCs w:val="22"/>
          <w:color w:val="7F7F7F"/>
        </w:rPr>
      </w:pPr>
    </w:p>
    <w:p>
      <w:pPr>
        <w:ind w:left="660" w:right="160" w:hanging="328"/>
        <w:spacing w:after="0" w:line="284" w:lineRule="auto"/>
        <w:tabs>
          <w:tab w:leader="none" w:pos="655"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a significant disruption in the Company’s operations or loss, breach or unauthorized access of the Company’s property or assets, including its facilities and information technology infrastructure; and</w:t>
      </w:r>
    </w:p>
    <w:p>
      <w:pPr>
        <w:spacing w:after="0" w:line="34"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7F7F7F"/>
        </w:rPr>
      </w:pPr>
      <w:r>
        <w:rPr>
          <w:rFonts w:ascii="Arial" w:cs="Arial" w:eastAsia="Arial" w:hAnsi="Arial"/>
          <w:sz w:val="22"/>
          <w:szCs w:val="22"/>
          <w:color w:val="7F7F7F"/>
        </w:rPr>
        <w:t>any other events that require the Company to file a Current Report on Form 8-K with the SEC.</w:t>
      </w:r>
    </w:p>
    <w:p>
      <w:pPr>
        <w:spacing w:after="0" w:line="111"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7F7F7F"/>
        </w:rPr>
        <w:t>Information may be material whether it is favorable or unfavorable to the Company. The list of examples provided above is merely illustrative, and there are many other types of information and events that may be material at any particular time, depending on the circumstances. Where there is any possibility that an item may be considered “material,” you should treat it as such and you should confer with the Corporate Secretary if you would like to review any specific situation.</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Other Companies</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7F7F7F"/>
        </w:rPr>
        <w:t>While this Policy prohibits trading in Acuity securities while you are in possession of material non-public information about Acuity, it also prohibits trading in securities of any other company about which you learn material non-public information in the course of performing your duties for Acuity. For example, you may be involved in a transaction in which Acuity expects to enter into (or terminate) a substantial business relationship with another company, or acquire another company, buy a substantial amount of its stock or enter into a joint venture with the company. Even though the size of the transaction may be immaterial to Acuity, it may be material to the other company. This Policy prohibits you from trading in the securities of that company while aware of this non-public information or from tipping others regarding the information. In addition, please remember that the Acuity Code of Ethics and Business Conduct prohibits you from engaging in outside interests that represent a conflict of interest with your obligations to Acuity.</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Securities; All Transactions</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22"/>
          <w:szCs w:val="22"/>
          <w:color w:val="7F7F7F"/>
        </w:rPr>
        <w:t>This Policy prohibits certain transactions in the “securities” of Acuity. Although it is usually the case that the information you gain will relate to Acuity common stock, any securities that Acuity issues, such as debt securities or preferred stock, are also subject to this Policy. This Policy also applies to stock options and other derivatives related to Acuity securities, as discussed below. Purchases and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440"/>
        <w:spacing w:after="0" w:line="247" w:lineRule="auto"/>
        <w:rPr>
          <w:sz w:val="20"/>
          <w:szCs w:val="20"/>
          <w:color w:val="auto"/>
        </w:rPr>
      </w:pPr>
      <w:r>
        <w:rPr>
          <w:rFonts w:ascii="Arial" w:cs="Arial" w:eastAsia="Arial" w:hAnsi="Arial"/>
          <w:sz w:val="22"/>
          <w:szCs w:val="22"/>
          <w:color w:val="7F7F7F"/>
        </w:rPr>
        <w:t>sales of Acuity securities are subject to the insider trading laws and the provisions of this Policy, whether they are executed in the public markets or in private transactions, and whether you execute the transaction directly or indirectly through another person or entity.</w:t>
      </w:r>
    </w:p>
    <w:p>
      <w:pPr>
        <w:spacing w:after="0" w:line="3" w:lineRule="exact"/>
        <w:rPr>
          <w:sz w:val="20"/>
          <w:szCs w:val="20"/>
          <w:color w:val="auto"/>
        </w:rPr>
      </w:pPr>
    </w:p>
    <w:p>
      <w:pPr>
        <w:ind w:left="80"/>
        <w:spacing w:after="0"/>
        <w:rPr>
          <w:sz w:val="20"/>
          <w:szCs w:val="20"/>
          <w:color w:val="auto"/>
        </w:rPr>
      </w:pPr>
      <w:r>
        <w:rPr>
          <w:rFonts w:ascii="Arial" w:cs="Arial" w:eastAsia="Arial" w:hAnsi="Arial"/>
          <w:sz w:val="25"/>
          <w:szCs w:val="25"/>
          <w:i w:val="1"/>
          <w:iCs w:val="1"/>
          <w:color w:val="7F7F7F"/>
        </w:rPr>
        <w:t>Gifts of Acuity Securities</w:t>
      </w:r>
    </w:p>
    <w:p>
      <w:pPr>
        <w:spacing w:after="0" w:line="117" w:lineRule="exact"/>
        <w:rPr>
          <w:sz w:val="20"/>
          <w:szCs w:val="20"/>
          <w:color w:val="auto"/>
        </w:rPr>
      </w:pPr>
    </w:p>
    <w:p>
      <w:pPr>
        <w:ind w:left="80" w:right="280"/>
        <w:spacing w:after="0" w:line="250" w:lineRule="auto"/>
        <w:rPr>
          <w:sz w:val="20"/>
          <w:szCs w:val="20"/>
          <w:color w:val="auto"/>
        </w:rPr>
      </w:pPr>
      <w:r>
        <w:rPr>
          <w:rFonts w:ascii="Arial" w:cs="Arial" w:eastAsia="Arial" w:hAnsi="Arial"/>
          <w:sz w:val="22"/>
          <w:szCs w:val="22"/>
          <w:color w:val="7F7F7F"/>
        </w:rPr>
        <w:t>Acuity employees, officers and directors may not make a gift of Acuity securities while aware of material nonpublic information relating to the Acuity if such person knows or is reckless in not knowing the recipient of the gift would sell the securities prior to Acuity’s disclosure of such information. Such a situation can arise with gifts of securities to charities, which are often required by their policies to sell securities soon after a gift. Members of Group Three must pre-clear all gifts of shares.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Investments</w:t>
      </w:r>
    </w:p>
    <w:p>
      <w:pPr>
        <w:spacing w:after="0" w:line="125"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7F7F7F"/>
        </w:rPr>
        <w:t>We expect our employees, officers and directors not to engage in speculative transactions that are designed to result in profit based on short-term fluctuations in the price of our securities. If you do purchase Acuity securities, we strongly encourage you to do so with the expectation of owning those securities for an extended period of time -- at a minimum, for six months, though it is not intended for this to apply to the exercise of stock options. We recognize, of course, that your personal circumstances may change due to unforeseen events, in which case you may be forced to more quickly liquidate Acuity securities that you originally purchased with the intent of holding as a long-term investment.</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Short Sales</w:t>
      </w:r>
    </w:p>
    <w:p>
      <w:pPr>
        <w:spacing w:after="0" w:line="117"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7F7F7F"/>
        </w:rPr>
        <w:t>A “short sale” is a transaction involving securities which the seller does not own at the time of sale or, if the securities are owned by the seller,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may arouse suspicion in the eyes of the SEC that the person was trading on the basis of inside information, particularly when the trading occurs before a major company announcement or event. Accordingly, our employees, officers, and directors are prohibited from engaging in “short sales” of Acuity securities or in any transaction in Acuity securities which is entered into with the expectation of, or that will benefit from, a decline in the price of Acuity securities.</w:t>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Options and Derivative Securities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7F7F7F"/>
        </w:rPr>
        <w:t>Derivative securities are securities contracts or arrangements whose value varies in relation to the price of Acuity securities. For example, derivative securities would include exchange-traded put or call options, as well as individually arranged derivative transactions, such as prepaid forwards. Many forms of derivatives are speculative in nature (meaning that their value fluctuates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7F7F7F"/>
        </w:rPr>
        <w:t>short-term changes in the price of Acuity shares), and the purchase or sale of such derivatives by Acuity employees could motivate them to take actions that are in conflict with the long-term interests of other stockholders and could also cause the appearance of misuse of inside information. Accordingly, our employees, officers and directors are prohibited from purchasing or selling derivative securities, or entering into derivatives contracts relating to Acuity securities. The prohibition on transactions in derivatives does not apply to stock options and other interests issued under Acuity employee benefit plans; see Section VI below on “Permitted Transactions”. If you have any question as to whether a particular type of arrangement or derivative transaction is permitted under this Policy, you should contact the Corporate Secretary.</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Pledged Securities; Margin Loans; Hedges</w:t>
      </w:r>
    </w:p>
    <w:p>
      <w:pPr>
        <w:spacing w:after="0" w:line="139"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7F7F7F"/>
        </w:rPr>
        <w:t>Under typical pledge or margin arrangements, a lender or broker is entitled to sell securities which you have deposited as collateral for loans if the value of your securities falls below a specified level or in certain other circumstances. Even though you did not initiate the sale or control its timing, because it is still a sale for your benefit, you may be subject to liability under insider trading laws if such a sale is made at a time when the “window” is closed (as described below) or you are in possession of material non-public information at the time of such a sale. If such a sale involves a member of Group Three, it can also bring unwanted negative publicity. In addition, pledging may be used as a part of hedging strategy that would remove the full risk and rewards of stock ownership, and sever your alignment with that of Acuity’s other securityholders.</w:t>
      </w:r>
    </w:p>
    <w:p>
      <w:pPr>
        <w:spacing w:after="0" w:line="74" w:lineRule="exact"/>
        <w:rPr>
          <w:sz w:val="20"/>
          <w:szCs w:val="20"/>
          <w:color w:val="auto"/>
        </w:rPr>
      </w:pPr>
    </w:p>
    <w:p>
      <w:pPr>
        <w:ind w:right="240"/>
        <w:spacing w:after="0" w:line="249" w:lineRule="auto"/>
        <w:rPr>
          <w:sz w:val="20"/>
          <w:szCs w:val="20"/>
          <w:color w:val="auto"/>
        </w:rPr>
      </w:pPr>
      <w:r>
        <w:rPr>
          <w:rFonts w:ascii="Arial" w:cs="Arial" w:eastAsia="Arial" w:hAnsi="Arial"/>
          <w:sz w:val="22"/>
          <w:szCs w:val="22"/>
          <w:color w:val="7F7F7F"/>
        </w:rPr>
        <w:t>Because of the concerns about pledging and/or hedging Acuity securities, members of Group Three are prohibited from both (1) pledging Acuity’s securities as collateral for a loan and (2) hedging Acuity securities. This Policy does not prohibit members of Group Three from holding Acuity securities in brokerage accounts, so long as any Acuity securities held in such account are explicitly excluded from any margin or pledge arrangements and do not involve any hedging transaction. Sales of Acuity securities which are held in a margin account are not exempt from insider trading laws or this Policy. Accordingly, even though utilizing such accounts that exclude Acuity securities would not be subject to restrictions under this Policy, you should be extremely careful when utilizing a margin loan in a brokerage account that contains your Acuity securities.</w:t>
      </w:r>
    </w:p>
    <w:p>
      <w:pPr>
        <w:spacing w:after="0" w:line="87"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color w:val="7F7F7F"/>
        </w:rPr>
        <w:t>All of our employees, officers and directors are prohibited from hedging Acuity securities, including, but not limited to, engaging in short sales of Acuity common stock.</w:t>
      </w:r>
    </w:p>
    <w:p>
      <w:pPr>
        <w:spacing w:after="0" w:line="4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7F7F7F"/>
        </w:rPr>
        <w:t>Although members of Group One and Group Two are not prohibited from pledging Acuity stock, sales of Acuity securities that members of these groups have pledged as security for a loan or which are held in a margin account are not exempt from insider trading laws or this Policy. Accordingly, even though entering into such arrangements would not be considered a sale, and would not be subject to restrictions under this Policy, members of Group One and Two should be extremely careful when pledging Acuity securities, utilizing a margin loan in a brokerage account or otherwise using Acuity securities as collateral for a loan.</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22"/>
          <w:szCs w:val="22"/>
          <w:color w:val="7F7F7F"/>
        </w:rPr>
        <w:t>Any sale must be made in compliance with the restrictions under this Policy that apply to you, such as trading windows and pre-clearance requirements. As a result, if you pledge your Acuity securities or use Acuity securities to secure a margin loan, you may be forced to take actions (for instance,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260"/>
        <w:spacing w:after="0" w:line="257" w:lineRule="auto"/>
        <w:rPr>
          <w:sz w:val="20"/>
          <w:szCs w:val="20"/>
          <w:color w:val="auto"/>
        </w:rPr>
      </w:pPr>
      <w:r>
        <w:rPr>
          <w:rFonts w:ascii="Arial" w:cs="Arial" w:eastAsia="Arial" w:hAnsi="Arial"/>
          <w:sz w:val="22"/>
          <w:szCs w:val="22"/>
          <w:color w:val="7F7F7F"/>
        </w:rPr>
        <w:t>depositing additional money or selling other securities) in order to avoid your lender or broker selling your Acuity securities at a time that would result in a violation of insider trading laws or this Policy. Similar cautions apply to any other arrangements under which you have used Acuity securities as collateral.</w:t>
      </w:r>
    </w:p>
    <w:p>
      <w:pPr>
        <w:spacing w:after="0" w:line="65"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color w:val="7F7F7F"/>
        </w:rPr>
        <w:t>Members of Group Two must receive pre-clearance prior to entering into any pledge or margin arrangement involving Acuity securities to avoid an inadvertent violation of this Policy.</w:t>
      </w:r>
    </w:p>
    <w:p>
      <w:pPr>
        <w:spacing w:after="0"/>
        <w:rPr>
          <w:sz w:val="20"/>
          <w:szCs w:val="20"/>
          <w:color w:val="auto"/>
        </w:rPr>
      </w:pPr>
      <w:r>
        <w:rPr>
          <w:rFonts w:ascii="Arial" w:cs="Arial" w:eastAsia="Arial" w:hAnsi="Arial"/>
          <w:sz w:val="25"/>
          <w:szCs w:val="25"/>
          <w:i w:val="1"/>
          <w:iCs w:val="1"/>
          <w:color w:val="7F7F7F"/>
        </w:rPr>
        <w:t>Safest Time for Transactions</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7F7F7F"/>
        </w:rPr>
        <w:t>All employees, whether or not subject to the trading windows or pre-clearance procedures described in this Policy, are reminded that the safest time for transactions in Acuity securities will generally be just after the trading window opens after the release by the Company of financial information relating to a completed quarter, as described in Section IV below. The appearance of improper trading may increase as the Company approaches the end of the next fiscal quarter.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5"/>
          <w:szCs w:val="25"/>
          <w:b w:val="1"/>
          <w:bCs w:val="1"/>
          <w:color w:val="7F7F7F"/>
        </w:rPr>
      </w:pPr>
      <w:r>
        <w:rPr>
          <w:rFonts w:ascii="Arial" w:cs="Arial" w:eastAsia="Arial" w:hAnsi="Arial"/>
          <w:sz w:val="25"/>
          <w:szCs w:val="25"/>
          <w:b w:val="1"/>
          <w:bCs w:val="1"/>
          <w:u w:val="single" w:color="auto"/>
          <w:color w:val="7F7F7F"/>
        </w:rPr>
        <w:t>Unauthorized Disclosure of Material Non-public Information Prohibited</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General Rule</w:t>
      </w:r>
    </w:p>
    <w:p>
      <w:pPr>
        <w:spacing w:after="0" w:line="139"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color w:val="7F7F7F"/>
        </w:rPr>
        <w:t>No employee, officer or director may disclose material non-public information about Acuity or any company with which Acuity deals to anyone outside of Acuity, unless authorized to do so.</w:t>
      </w:r>
    </w:p>
    <w:p>
      <w:pPr>
        <w:spacing w:after="0"/>
        <w:rPr>
          <w:sz w:val="20"/>
          <w:szCs w:val="20"/>
          <w:color w:val="auto"/>
        </w:rPr>
      </w:pPr>
      <w:r>
        <w:rPr>
          <w:rFonts w:ascii="Arial" w:cs="Arial" w:eastAsia="Arial" w:hAnsi="Arial"/>
          <w:sz w:val="25"/>
          <w:szCs w:val="25"/>
          <w:i w:val="1"/>
          <w:iCs w:val="1"/>
          <w:color w:val="7F7F7F"/>
        </w:rPr>
        <w:t>Tipping</w:t>
      </w:r>
    </w:p>
    <w:p>
      <w:pPr>
        <w:spacing w:after="0" w:line="103"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7F7F7F"/>
        </w:rPr>
        <w:t>Under the federal securities laws, you can be held responsible not only for your own insider trading, but also for securities transactions by anyone to whom you disclose material non-public information. Even if those to whom you disclose such information do not trade while aware of the information, you can be responsible for the trades of persons who received material non-public information indirectly from you, if you are the ultimate source of their information.</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Discussing or Recommending Acuity Securities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7F7F7F"/>
        </w:rPr>
        <w:t>We recognize that employee enthusiasm for Acuity and its business prospects is a vital element of our success. You should, however, use extreme caution when discussing Acuity or our securities with anyone outside of Acuity. In the course of discussing Acuity or our securities, accidental disclosure of material non-public information can occur and can be viewed as “tipping.” Likewise, recommendations of our securities can also result in embarrassing situations for you or the Company if you make a recommendation at a time when there is a pending announcement of material non-public information by the Company, even if you are unaware of that information.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Internet Postings and Social Media</w:t>
      </w:r>
    </w:p>
    <w:p>
      <w:pPr>
        <w:spacing w:after="0" w:line="12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7F7F7F"/>
        </w:rPr>
        <w:t>No employee, officer or director may disclose confidential information about Acuity on the Internet or through social media, including discussion forums, blogs and social media (such as Facebook, Twitter, Instagram, Snapchat, Pinterest, YouTube and other social media networks). Disclosures of material non-public information through this type of media may amount to a “tip” or leak of such information, in violation of this Policy, other Company policies regarding computer and social media usage and applicable law.</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Authorization to Disclose Material Non-public Information</w:t>
      </w:r>
    </w:p>
    <w:p>
      <w:pPr>
        <w:spacing w:after="0" w:line="10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7F7F7F"/>
        </w:rPr>
        <w:t>We authorize only certain employees, officers and directors to make public disclosures of material non-public information or to confer with persons outside the Company regarding such information (for example, our auditors, outside counsel and other advisors). Unless you are authorized to do so by the Chief Executive Officer, the Chief Financial Officer, the General Counsel, or the Corporate Secretary, you should not discuss material non-public information with anyone not in the Company. Even in discussions with other Acuity employees, you should consider the consequences of disclosing material non-public information to them. For example, by doing so, you would preclude those persons from trading in Acuity’s securities until the information is publicly disclosed. Accordingly, you should restrict the communication of material non-public information to those employees, officers, and directors having a need to know in order to serve Acuity’s interests.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Regulation FD (Fair Disclosure)</w:t>
      </w:r>
    </w:p>
    <w:p>
      <w:pPr>
        <w:spacing w:after="0" w:line="125"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7F7F7F"/>
        </w:rPr>
        <w:t>There are SEC rules and regulations banning selective disclosure of material information relating to public companies. Generally, these regulations provide that when a public company (such as Acuity) discloses material non-public information, it must provide broad, non-exclusionary public access to the information (for example, through press releases, publicly available conference calls or webcasts). Violations of these regulations can result in SEC enforcement actions, resulting in injunctions and severe monetary penalties. Regulation FD applies largely to a limited group of senior officers and the investor relations personnel who regularly communicate with securities market professionals and shareholders. Remember that no other Acuity employees, officers or directors are authorized to communicate information regarding the Company with securities market professionals, shareholders or members of the media. You should refer to Acuity’s Disclosure Policy for further information about these regulations and requirements.</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Non-Disclosure Agreements</w:t>
      </w:r>
    </w:p>
    <w:p>
      <w:pPr>
        <w:spacing w:after="0" w:line="117"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7F7F7F"/>
        </w:rPr>
        <w:t>Employees, officers and directors involved in transactions or other negotiations that require disclosure of material non-public information with parties outside Acuity should generally have those to whom such information is being disclosed sign a non-disclosure agreement approved by the General Counsel. The non-disclosure agreement will require that the recipient of information not disclose the information to others and require the recipient not to trade in Acuity securities while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color w:val="7F7F7F"/>
        </w:rPr>
        <w:t>possession of such information. You should confer with the General Counsel whenever a non-disclosure agreement may be needed.</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7F7F7F"/>
        </w:rPr>
        <w:t xml:space="preserve">IV. </w:t>
      </w:r>
      <w:r>
        <w:rPr>
          <w:rFonts w:ascii="Arial" w:cs="Arial" w:eastAsia="Arial" w:hAnsi="Arial"/>
          <w:sz w:val="25"/>
          <w:szCs w:val="25"/>
          <w:b w:val="1"/>
          <w:bCs w:val="1"/>
          <w:u w:val="single" w:color="auto"/>
          <w:color w:val="7F7F7F"/>
        </w:rPr>
        <w:t>Trading Windows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Standard Trading Windows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7F7F7F"/>
        </w:rPr>
        <w:t>Members of Groups Two and Three may only purchase or sell Acuity’s securities:</w:t>
      </w:r>
    </w:p>
    <w:p>
      <w:pPr>
        <w:spacing w:after="0" w:line="11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2"/>
          <w:szCs w:val="22"/>
          <w:color w:val="7F7F7F"/>
        </w:rPr>
      </w:pPr>
      <w:r>
        <w:rPr>
          <w:rFonts w:ascii="Arial" w:cs="Arial" w:eastAsia="Arial" w:hAnsi="Arial"/>
          <w:sz w:val="22"/>
          <w:szCs w:val="22"/>
          <w:color w:val="7F7F7F"/>
        </w:rPr>
        <w:t>during the designated trading windows described below; and</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39"/>
        </w:numPr>
        <w:rPr>
          <w:rFonts w:ascii="Times New Roman" w:cs="Times New Roman" w:eastAsia="Times New Roman" w:hAnsi="Times New Roman"/>
          <w:sz w:val="22"/>
          <w:szCs w:val="22"/>
          <w:color w:val="7F7F7F"/>
        </w:rPr>
      </w:pPr>
      <w:r>
        <w:rPr>
          <w:rFonts w:ascii="Arial" w:cs="Arial" w:eastAsia="Arial" w:hAnsi="Arial"/>
          <w:sz w:val="22"/>
          <w:szCs w:val="22"/>
          <w:color w:val="7F7F7F"/>
        </w:rPr>
        <w:t>when the individual is not otherwise in possession of material non-public information.</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22"/>
          <w:szCs w:val="22"/>
          <w:color w:val="7F7F7F"/>
        </w:rPr>
        <w:t>Outside of the trading windows, members of Groups Two and Three may not purchase or sell Acuity securities, even if they are not personally aware of any material non-public information. However, members of Groups Two and Three may engage in Permitted Transactions (described in Section VI below) outside of the trading windows.</w:t>
      </w:r>
    </w:p>
    <w:p>
      <w:pPr>
        <w:spacing w:after="0" w:line="5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7F7F7F"/>
        </w:rPr>
        <w:t>We will communicate to each member of Groups Two and Three when each trading window will open and close. It is expected that the trading window generally will open one full trading day after our quarterly release of earnings and will close on the first business day of the last month of the then-current fiscal quarter. However, you should not expect that the window will open on any particular date or remain open for any minimum period of time. Significant corporate developments may require changes to the schedule, including closing the window at the Company’s option at any time.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b w:val="1"/>
          <w:bCs w:val="1"/>
          <w:color w:val="7F7F7F"/>
        </w:rPr>
        <w:t>Do not confuse the applicability of the trading windows with the broader prohibition on trading when you are in possession of material non-public information described in Section II. Regardless of whether the trading window is open or closed, you may not trade in Acuity securities if you are in actual possession of material non-public information about Acuity.</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Special Blackouts</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21"/>
          <w:szCs w:val="21"/>
          <w:color w:val="7F7F7F"/>
        </w:rPr>
        <w:t>We reserve the right to impose a trading blackout from time to time on all or any group of our employees, officers or directors when, in the judgment of our Corporate Secretary and other senior officers, a blackout is warranted. During a special blackout, you will not be permitted to purchase or sell Acuity securities and you may or may not be allowed to execute Permitted Transactions (as defined below). A special blackout may also prohibit you from trading in the securities of other companies. If the Corporate Secretary imposes a blackout to which you are subject, we will notify you when the blackout begins and when it ends and the securities and transactions to which it applies.</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Standing Orders; Limit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7F7F7F"/>
        </w:rPr>
        <w:t>Purchases or sales resulting from standing orders or limit orders may result in the execution of orders without your control over the transaction or your awareness of the timing of the transaction. Even though you placed the order at a time when you were permitted to enter into transactions, you must be certain that this type of order will not be executed when you are in possession of material non-public information about the company or during a blackout period. Accordingly, any standing orders should be used only for a very brief period and with detailed instructions to the broker who will execute the transaction. (Standing orders under an approved Rule 10b5-1 Trading Plan, described below, will not be subject to these limitations.)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Acuity</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22"/>
          <w:szCs w:val="22"/>
          <w:color w:val="7F7F7F"/>
        </w:rPr>
        <w:t>Prior to purchasing or selling any Acuity securities for, or on behalf of, Acuity, Acuity’s Treasurer (or an officer designated in writing by the Treasurer or Chief Financial Officer) will confirm with the General Counsel, Corporate Secretary or an officer designated in writing by either such officer, that Acuity is not in possession of any material non-public information.</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b w:val="1"/>
          <w:bCs w:val="1"/>
          <w:color w:val="7F7F7F"/>
        </w:rPr>
        <w:t xml:space="preserve">V. </w:t>
      </w:r>
      <w:r>
        <w:rPr>
          <w:rFonts w:ascii="Arial" w:cs="Arial" w:eastAsia="Arial" w:hAnsi="Arial"/>
          <w:sz w:val="25"/>
          <w:szCs w:val="25"/>
          <w:b w:val="1"/>
          <w:bCs w:val="1"/>
          <w:u w:val="single" w:color="auto"/>
          <w:color w:val="7F7F7F"/>
        </w:rPr>
        <w:t>Pre-Clearance of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General</w:t>
      </w:r>
    </w:p>
    <w:p>
      <w:pPr>
        <w:spacing w:after="0" w:line="274" w:lineRule="exact"/>
        <w:rPr>
          <w:sz w:val="20"/>
          <w:szCs w:val="20"/>
          <w:color w:val="auto"/>
        </w:rPr>
      </w:pPr>
    </w:p>
    <w:p>
      <w:pPr>
        <w:spacing w:after="0" w:line="265" w:lineRule="auto"/>
        <w:rPr>
          <w:sz w:val="20"/>
          <w:szCs w:val="20"/>
          <w:color w:val="auto"/>
        </w:rPr>
      </w:pPr>
      <w:r>
        <w:rPr>
          <w:rFonts w:ascii="Arial" w:cs="Arial" w:eastAsia="Arial" w:hAnsi="Arial"/>
          <w:sz w:val="21"/>
          <w:szCs w:val="21"/>
          <w:color w:val="7F7F7F"/>
        </w:rPr>
        <w:t xml:space="preserve">Before purchasing or selling Acuity securities, members of Group Three must obtain clearance of the transaction from the General Counsel, Corporate Secretary or an officer designated in writing by either such officer. This clearance must be obtained </w:t>
      </w:r>
      <w:r>
        <w:rPr>
          <w:rFonts w:ascii="Arial" w:cs="Arial" w:eastAsia="Arial" w:hAnsi="Arial"/>
          <w:sz w:val="21"/>
          <w:szCs w:val="21"/>
          <w:b w:val="1"/>
          <w:bCs w:val="1"/>
          <w:u w:val="single" w:color="auto"/>
          <w:color w:val="7F7F7F"/>
        </w:rPr>
        <w:t>before</w:t>
      </w:r>
      <w:r>
        <w:rPr>
          <w:rFonts w:ascii="Arial" w:cs="Arial" w:eastAsia="Arial" w:hAnsi="Arial"/>
          <w:sz w:val="21"/>
          <w:szCs w:val="21"/>
          <w:color w:val="7F7F7F"/>
        </w:rPr>
        <w:t xml:space="preserve"> you place the order for, or otherwise initiate, any transaction in Acuity securities. Any pre-clearance that you obtain will be valid for a transaction executed within five business days, unless either the pre-clearance is granted for a shorter period or you learn of material non-public information during that time. Whether or not your request for pre-clearance is granted, you must not inform anyone else of the results of your request.</w:t>
      </w:r>
    </w:p>
    <w:p>
      <w:pPr>
        <w:spacing w:after="0" w:line="19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7F7F7F"/>
        </w:rPr>
        <w:t>Additionally, (a) as described in Section II, members of Group Two must receive pre-clearance prior to entering into any pledge or margin arrangement involving Acuity securities, and (b) as described in this Section V, members of Group Three must pre-clear all gifts of shares.</w:t>
      </w:r>
    </w:p>
    <w:p>
      <w:pPr>
        <w:spacing w:after="0" w:line="3"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7F7F7F"/>
        </w:rPr>
        <w:t>For any transaction requiring pre-clearance under this Policy, the person or entity seeking pre-clearance must disclose any material non-public information of which he, she, they or it is aware, at the time of such request, to the General Counsel, Corporate Secretary or an officer designated in writing by either such officer.</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b w:val="1"/>
          <w:bCs w:val="1"/>
          <w:color w:val="7F7F7F"/>
        </w:rPr>
        <w:t>Do not confuse pre-clearance of transactions with the broader prohibition on trading when you are in possession of material non-public information described in Section II. Regardless of whether you have received pre-clearance for a transaction or whether a trading window is open or closed, you may not trade in Acuity securities if you are in actual possession of material non-public information about Acuity.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Permitted Transactions</w:t>
      </w:r>
    </w:p>
    <w:p>
      <w:pPr>
        <w:spacing w:after="0" w:line="125" w:lineRule="exact"/>
        <w:rPr>
          <w:sz w:val="20"/>
          <w:szCs w:val="20"/>
          <w:color w:val="auto"/>
        </w:rPr>
      </w:pPr>
    </w:p>
    <w:p>
      <w:pPr>
        <w:ind w:right="240"/>
        <w:spacing w:after="0" w:line="262" w:lineRule="auto"/>
        <w:rPr>
          <w:sz w:val="20"/>
          <w:szCs w:val="20"/>
          <w:color w:val="auto"/>
        </w:rPr>
      </w:pPr>
      <w:r>
        <w:rPr>
          <w:rFonts w:ascii="Arial" w:cs="Arial" w:eastAsia="Arial" w:hAnsi="Arial"/>
          <w:sz w:val="21"/>
          <w:szCs w:val="21"/>
          <w:color w:val="7F7F7F"/>
        </w:rPr>
        <w:t>Members of Group Three are not required to receive pre-clearance prior to entering into any Permitted Transaction, except they are required to do so before exercising any stock options or making any gifts of Acuity securities.</w:t>
      </w:r>
    </w:p>
    <w:p>
      <w:pPr>
        <w:spacing w:after="0"/>
        <w:rPr>
          <w:sz w:val="20"/>
          <w:szCs w:val="20"/>
          <w:color w:val="auto"/>
        </w:rPr>
      </w:pPr>
      <w:r>
        <w:rPr>
          <w:rFonts w:ascii="Arial" w:cs="Arial" w:eastAsia="Arial" w:hAnsi="Arial"/>
          <w:sz w:val="25"/>
          <w:szCs w:val="25"/>
          <w:b w:val="1"/>
          <w:bCs w:val="1"/>
          <w:color w:val="7F7F7F"/>
        </w:rPr>
        <w:t xml:space="preserve">VI. </w:t>
      </w:r>
      <w:r>
        <w:rPr>
          <w:rFonts w:ascii="Arial" w:cs="Arial" w:eastAsia="Arial" w:hAnsi="Arial"/>
          <w:sz w:val="25"/>
          <w:szCs w:val="25"/>
          <w:b w:val="1"/>
          <w:bCs w:val="1"/>
          <w:u w:val="single" w:color="auto"/>
          <w:color w:val="7F7F7F"/>
        </w:rPr>
        <w:t>Permitted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7F7F7F"/>
        </w:rPr>
        <w:t>The following are “Permitted Transactions” (each described in more detail following the bullet point summary):</w:t>
      </w:r>
    </w:p>
    <w:p>
      <w:pPr>
        <w:spacing w:after="0" w:line="112" w:lineRule="exact"/>
        <w:rPr>
          <w:sz w:val="20"/>
          <w:szCs w:val="20"/>
          <w:color w:val="auto"/>
        </w:rPr>
      </w:pPr>
    </w:p>
    <w:p>
      <w:pPr>
        <w:ind w:left="660" w:right="180" w:hanging="328"/>
        <w:spacing w:after="0" w:line="257" w:lineRule="auto"/>
        <w:tabs>
          <w:tab w:leader="none" w:pos="655" w:val="left"/>
        </w:tabs>
        <w:numPr>
          <w:ilvl w:val="0"/>
          <w:numId w:val="40"/>
        </w:numPr>
        <w:rPr>
          <w:rFonts w:ascii="Times New Roman" w:cs="Times New Roman" w:eastAsia="Times New Roman" w:hAnsi="Times New Roman"/>
          <w:sz w:val="22"/>
          <w:szCs w:val="22"/>
          <w:color w:val="7F7F7F"/>
        </w:rPr>
      </w:pPr>
      <w:r>
        <w:rPr>
          <w:rFonts w:ascii="Arial" w:cs="Arial" w:eastAsia="Arial" w:hAnsi="Arial"/>
          <w:sz w:val="22"/>
          <w:szCs w:val="22"/>
          <w:color w:val="7F7F7F"/>
        </w:rPr>
        <w:t>acceptance or receipt of a stock option, shares of restricted stock or similar grants of securities under one of Acuity’s employee benefit plans (including elections to acquire securities in lieu of other compensation) or the cancellation or forfeiture of options, restricted stock or securities pursuant to Acuity’s plans;</w:t>
      </w:r>
    </w:p>
    <w:p>
      <w:pPr>
        <w:spacing w:after="0" w:line="77" w:lineRule="exact"/>
        <w:rPr>
          <w:rFonts w:ascii="Times New Roman" w:cs="Times New Roman" w:eastAsia="Times New Roman" w:hAnsi="Times New Roman"/>
          <w:sz w:val="22"/>
          <w:szCs w:val="22"/>
          <w:color w:val="7F7F7F"/>
        </w:rPr>
      </w:pPr>
    </w:p>
    <w:p>
      <w:pPr>
        <w:ind w:left="660" w:right="180" w:hanging="328"/>
        <w:spacing w:after="0" w:line="257" w:lineRule="auto"/>
        <w:tabs>
          <w:tab w:leader="none" w:pos="655" w:val="left"/>
        </w:tabs>
        <w:numPr>
          <w:ilvl w:val="0"/>
          <w:numId w:val="40"/>
        </w:numPr>
        <w:rPr>
          <w:rFonts w:ascii="Times New Roman" w:cs="Times New Roman" w:eastAsia="Times New Roman" w:hAnsi="Times New Roman"/>
          <w:sz w:val="22"/>
          <w:szCs w:val="22"/>
          <w:color w:val="7F7F7F"/>
        </w:rPr>
      </w:pPr>
      <w:r>
        <w:rPr>
          <w:rFonts w:ascii="Arial" w:cs="Arial" w:eastAsia="Arial" w:hAnsi="Arial"/>
          <w:sz w:val="22"/>
          <w:szCs w:val="22"/>
          <w:color w:val="7F7F7F"/>
        </w:rPr>
        <w:t>purchasing securities under an Acuity employee stock purchase plan, if such a plan is in effect, but not making or changing any election to participate in an Acuity stock purchase plan (see further discussion which follows);</w:t>
      </w:r>
    </w:p>
    <w:p>
      <w:pPr>
        <w:spacing w:after="0" w:line="63" w:lineRule="exact"/>
        <w:rPr>
          <w:rFonts w:ascii="Times New Roman" w:cs="Times New Roman" w:eastAsia="Times New Roman" w:hAnsi="Times New Roman"/>
          <w:sz w:val="22"/>
          <w:szCs w:val="22"/>
          <w:color w:val="7F7F7F"/>
        </w:rPr>
      </w:pPr>
    </w:p>
    <w:p>
      <w:pPr>
        <w:ind w:left="660" w:right="180" w:hanging="328"/>
        <w:spacing w:after="0" w:line="251" w:lineRule="auto"/>
        <w:tabs>
          <w:tab w:leader="none" w:pos="655" w:val="left"/>
        </w:tabs>
        <w:numPr>
          <w:ilvl w:val="0"/>
          <w:numId w:val="40"/>
        </w:numPr>
        <w:rPr>
          <w:rFonts w:ascii="Times New Roman" w:cs="Times New Roman" w:eastAsia="Times New Roman" w:hAnsi="Times New Roman"/>
          <w:sz w:val="22"/>
          <w:szCs w:val="22"/>
          <w:color w:val="7F7F7F"/>
        </w:rPr>
      </w:pPr>
      <w:r>
        <w:rPr>
          <w:rFonts w:ascii="Arial" w:cs="Arial" w:eastAsia="Arial" w:hAnsi="Arial"/>
          <w:sz w:val="22"/>
          <w:szCs w:val="22"/>
          <w:color w:val="7F7F7F"/>
        </w:rPr>
        <w:t>earning or vesting of stock options or shares of restricted stock and any related stock withholding by the Company, including to satisfy tax withholding requirements upon such vesting (provided, however, a “Permitted Transaction” does not include any sale of stock as part of a broker-assisted cashless exercise of an option, or any other market sale for the purpose of generating the cash needed to pay the exercise price of an option, any tax withholding requirements, or otherwise in connection with the vesting of stock options or restricted stock);</w:t>
      </w:r>
    </w:p>
    <w:p>
      <w:pPr>
        <w:spacing w:after="0" w:line="72" w:lineRule="exact"/>
        <w:rPr>
          <w:rFonts w:ascii="Times New Roman" w:cs="Times New Roman" w:eastAsia="Times New Roman" w:hAnsi="Times New Roman"/>
          <w:sz w:val="22"/>
          <w:szCs w:val="22"/>
          <w:color w:val="7F7F7F"/>
        </w:rPr>
      </w:pPr>
    </w:p>
    <w:p>
      <w:pPr>
        <w:jc w:val="both"/>
        <w:ind w:left="660" w:right="220" w:hanging="328"/>
        <w:spacing w:after="0" w:line="262" w:lineRule="auto"/>
        <w:tabs>
          <w:tab w:leader="none" w:pos="655" w:val="left"/>
        </w:tabs>
        <w:numPr>
          <w:ilvl w:val="0"/>
          <w:numId w:val="40"/>
        </w:numPr>
        <w:rPr>
          <w:rFonts w:ascii="Times New Roman" w:cs="Times New Roman" w:eastAsia="Times New Roman" w:hAnsi="Times New Roman"/>
          <w:sz w:val="21"/>
          <w:szCs w:val="21"/>
          <w:color w:val="7F7F7F"/>
        </w:rPr>
      </w:pPr>
      <w:r>
        <w:rPr>
          <w:rFonts w:ascii="Arial" w:cs="Arial" w:eastAsia="Arial" w:hAnsi="Arial"/>
          <w:sz w:val="21"/>
          <w:szCs w:val="21"/>
          <w:color w:val="7F7F7F"/>
        </w:rPr>
        <w:t>subject to applicable pre-clearance requirements, exercise of stock options issued under Acuity’s employee benefit plans in a cash exercise, a stock-for-stock exercise or a net share exercise, payment of the exercise price in shares of already-owned stock and any related stock withholding transactions, but not (1) the sale of any stock acquired in the option exercise, (2) a “cashless exercise” in which shares are sold in the market, or</w:t>
      </w:r>
    </w:p>
    <w:p>
      <w:pPr>
        <w:spacing w:after="0" w:line="4" w:lineRule="exact"/>
        <w:rPr>
          <w:rFonts w:ascii="Times New Roman" w:cs="Times New Roman" w:eastAsia="Times New Roman" w:hAnsi="Times New Roman"/>
          <w:sz w:val="21"/>
          <w:szCs w:val="21"/>
          <w:color w:val="7F7F7F"/>
        </w:rPr>
      </w:pPr>
    </w:p>
    <w:p>
      <w:pPr>
        <w:ind w:left="660" w:right="1180"/>
        <w:spacing w:after="0" w:line="253" w:lineRule="auto"/>
        <w:rPr>
          <w:rFonts w:ascii="Times New Roman" w:cs="Times New Roman" w:eastAsia="Times New Roman" w:hAnsi="Times New Roman"/>
          <w:sz w:val="21"/>
          <w:szCs w:val="21"/>
          <w:color w:val="7F7F7F"/>
        </w:rPr>
      </w:pPr>
      <w:r>
        <w:rPr>
          <w:rFonts w:ascii="Arial" w:cs="Arial" w:eastAsia="Arial" w:hAnsi="Arial"/>
          <w:sz w:val="22"/>
          <w:szCs w:val="22"/>
          <w:color w:val="7F7F7F"/>
        </w:rPr>
        <w:t>(3) the use of proceeds from the sale of any such shares to exercise additional options (see further discussion which follows);</w:t>
      </w:r>
    </w:p>
    <w:p>
      <w:pPr>
        <w:spacing w:after="0" w:line="67" w:lineRule="exact"/>
        <w:rPr>
          <w:rFonts w:ascii="Times New Roman" w:cs="Times New Roman" w:eastAsia="Times New Roman" w:hAnsi="Times New Roman"/>
          <w:sz w:val="21"/>
          <w:szCs w:val="21"/>
          <w:color w:val="7F7F7F"/>
        </w:rPr>
      </w:pPr>
    </w:p>
    <w:p>
      <w:pPr>
        <w:ind w:left="660" w:right="400" w:hanging="328"/>
        <w:spacing w:after="0" w:line="263" w:lineRule="auto"/>
        <w:tabs>
          <w:tab w:leader="none" w:pos="655" w:val="left"/>
        </w:tabs>
        <w:numPr>
          <w:ilvl w:val="0"/>
          <w:numId w:val="40"/>
        </w:numPr>
        <w:rPr>
          <w:rFonts w:ascii="Times New Roman" w:cs="Times New Roman" w:eastAsia="Times New Roman" w:hAnsi="Times New Roman"/>
          <w:sz w:val="22"/>
          <w:szCs w:val="22"/>
          <w:color w:val="7F7F7F"/>
        </w:rPr>
      </w:pPr>
      <w:r>
        <w:rPr>
          <w:rFonts w:ascii="Arial" w:cs="Arial" w:eastAsia="Arial" w:hAnsi="Arial"/>
          <w:sz w:val="22"/>
          <w:szCs w:val="22"/>
          <w:color w:val="7F7F7F"/>
        </w:rPr>
        <w:t>transferring shares to an entity that does not involve a change in the beneficial ownership of the shares, for example, to an inter vivos trust of which you are the sole beneficiary during your lifetime (see further discussion which follows);</w:t>
      </w:r>
    </w:p>
    <w:p>
      <w:pPr>
        <w:spacing w:after="0" w:line="58" w:lineRule="exact"/>
        <w:rPr>
          <w:rFonts w:ascii="Times New Roman" w:cs="Times New Roman" w:eastAsia="Times New Roman" w:hAnsi="Times New Roman"/>
          <w:sz w:val="22"/>
          <w:szCs w:val="22"/>
          <w:color w:val="7F7F7F"/>
        </w:rPr>
      </w:pPr>
    </w:p>
    <w:p>
      <w:pPr>
        <w:ind w:left="660" w:right="240" w:hanging="328"/>
        <w:spacing w:after="0" w:line="252" w:lineRule="auto"/>
        <w:tabs>
          <w:tab w:leader="none" w:pos="655" w:val="left"/>
        </w:tabs>
        <w:numPr>
          <w:ilvl w:val="0"/>
          <w:numId w:val="40"/>
        </w:numPr>
        <w:rPr>
          <w:rFonts w:ascii="Times New Roman" w:cs="Times New Roman" w:eastAsia="Times New Roman" w:hAnsi="Times New Roman"/>
          <w:sz w:val="22"/>
          <w:szCs w:val="22"/>
          <w:color w:val="7F7F7F"/>
        </w:rPr>
      </w:pPr>
      <w:r>
        <w:rPr>
          <w:rFonts w:ascii="Arial" w:cs="Arial" w:eastAsia="Arial" w:hAnsi="Arial"/>
          <w:sz w:val="22"/>
          <w:szCs w:val="22"/>
          <w:color w:val="7F7F7F"/>
        </w:rPr>
        <w:t>making payroll contributions to the Acuity 401(k) plan, deferred compensation plan or any similar plan, but not (1) intraplan transfers involving any Acuity securities or (2) a change in “investment direction” under such plan to increase or decrease your percentage investment contribution allocated to Acuity securities (see further discussion which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left="660" w:right="460" w:hanging="328"/>
        <w:spacing w:after="0" w:line="271" w:lineRule="auto"/>
        <w:tabs>
          <w:tab w:leader="none" w:pos="655" w:val="left"/>
        </w:tabs>
        <w:numPr>
          <w:ilvl w:val="0"/>
          <w:numId w:val="41"/>
        </w:numPr>
        <w:rPr>
          <w:rFonts w:ascii="Times New Roman" w:cs="Times New Roman" w:eastAsia="Times New Roman" w:hAnsi="Times New Roman"/>
          <w:sz w:val="22"/>
          <w:szCs w:val="22"/>
          <w:color w:val="7F7F7F"/>
        </w:rPr>
      </w:pPr>
      <w:r>
        <w:rPr>
          <w:rFonts w:ascii="Arial" w:cs="Arial" w:eastAsia="Arial" w:hAnsi="Arial"/>
          <w:sz w:val="22"/>
          <w:szCs w:val="22"/>
          <w:color w:val="7F7F7F"/>
        </w:rPr>
        <w:t>execution of a transaction pursuant to a contract, instruction, or plan described in Securities Exchange Act Rule 10b5-1 (called a “Trading Plan”), as discussed below (see further discussion which follows); or</w:t>
      </w:r>
    </w:p>
    <w:p>
      <w:pPr>
        <w:spacing w:after="0" w:line="48" w:lineRule="exact"/>
        <w:rPr>
          <w:rFonts w:ascii="Times New Roman" w:cs="Times New Roman" w:eastAsia="Times New Roman" w:hAnsi="Times New Roman"/>
          <w:sz w:val="22"/>
          <w:szCs w:val="22"/>
          <w:color w:val="7F7F7F"/>
        </w:rPr>
      </w:pPr>
    </w:p>
    <w:p>
      <w:pPr>
        <w:ind w:left="660" w:right="300" w:hanging="328"/>
        <w:spacing w:after="0" w:line="257" w:lineRule="auto"/>
        <w:tabs>
          <w:tab w:leader="none" w:pos="655" w:val="left"/>
        </w:tabs>
        <w:numPr>
          <w:ilvl w:val="0"/>
          <w:numId w:val="41"/>
        </w:numPr>
        <w:rPr>
          <w:rFonts w:ascii="Times New Roman" w:cs="Times New Roman" w:eastAsia="Times New Roman" w:hAnsi="Times New Roman"/>
          <w:sz w:val="22"/>
          <w:szCs w:val="22"/>
          <w:color w:val="7F7F7F"/>
        </w:rPr>
      </w:pPr>
      <w:r>
        <w:rPr>
          <w:rFonts w:ascii="Arial" w:cs="Arial" w:eastAsia="Arial" w:hAnsi="Arial"/>
          <w:sz w:val="22"/>
          <w:szCs w:val="22"/>
          <w:color w:val="7F7F7F"/>
        </w:rPr>
        <w:t>any other transaction designated by the board of directors, any board committee or the General Counsel, Corporate Secretary or an officer designated in writing by either such officer, with reference to this Policy, as a Permitted Transaction.</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Employee Benefit Plan Transactions</w:t>
      </w:r>
    </w:p>
    <w:p>
      <w:pPr>
        <w:spacing w:after="0" w:line="125"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7F7F7F"/>
        </w:rPr>
        <w:t xml:space="preserve">Included in the definition of Permitted Transactions are most of the ongoing transactions you might enter into under Acuity’s equity-based benefit plans. For example, although your ongoing participation in a plan may involve the regular purchase of Acuity’s common stock, either directly pursuant to an investment election, those purchases are Permitted Transactions. </w:t>
      </w:r>
      <w:r>
        <w:rPr>
          <w:rFonts w:ascii="Arial" w:cs="Arial" w:eastAsia="Arial" w:hAnsi="Arial"/>
          <w:sz w:val="22"/>
          <w:szCs w:val="22"/>
          <w:b w:val="1"/>
          <w:bCs w:val="1"/>
          <w:i w:val="1"/>
          <w:iCs w:val="1"/>
          <w:color w:val="7F7F7F"/>
        </w:rPr>
        <w:t>Note, however, that the movement of balances in those plans into or out of Acuity</w:t>
      </w:r>
      <w:r>
        <w:rPr>
          <w:rFonts w:ascii="Arial" w:cs="Arial" w:eastAsia="Arial" w:hAnsi="Arial"/>
          <w:sz w:val="22"/>
          <w:szCs w:val="22"/>
          <w:color w:val="7F7F7F"/>
        </w:rPr>
        <w:t xml:space="preserve"> </w:t>
      </w:r>
      <w:r>
        <w:rPr>
          <w:rFonts w:ascii="Arial" w:cs="Arial" w:eastAsia="Arial" w:hAnsi="Arial"/>
          <w:sz w:val="22"/>
          <w:szCs w:val="22"/>
          <w:b w:val="1"/>
          <w:bCs w:val="1"/>
          <w:i w:val="1"/>
          <w:iCs w:val="1"/>
          <w:color w:val="7F7F7F"/>
        </w:rPr>
        <w:t xml:space="preserve">securities or changes in your investment direction under those plans are not Permitted Transactions. </w:t>
      </w:r>
      <w:r>
        <w:rPr>
          <w:rFonts w:ascii="Arial" w:cs="Arial" w:eastAsia="Arial" w:hAnsi="Arial"/>
          <w:sz w:val="22"/>
          <w:szCs w:val="22"/>
          <w:color w:val="7F7F7F"/>
        </w:rPr>
        <w:t>This</w:t>
      </w:r>
      <w:r>
        <w:rPr>
          <w:rFonts w:ascii="Arial" w:cs="Arial" w:eastAsia="Arial" w:hAnsi="Arial"/>
          <w:sz w:val="22"/>
          <w:szCs w:val="22"/>
          <w:b w:val="1"/>
          <w:bCs w:val="1"/>
          <w:i w:val="1"/>
          <w:iCs w:val="1"/>
          <w:color w:val="7F7F7F"/>
        </w:rPr>
        <w:t xml:space="preserve"> </w:t>
      </w:r>
      <w:r>
        <w:rPr>
          <w:rFonts w:ascii="Arial" w:cs="Arial" w:eastAsia="Arial" w:hAnsi="Arial"/>
          <w:sz w:val="22"/>
          <w:szCs w:val="22"/>
          <w:color w:val="7F7F7F"/>
        </w:rPr>
        <w:t>means that you may not make such transfers or elections while you are in possession of material non-public information and that such transfers or elections must be made in compliance with any other restrictions under this Policy that apply to you (for instance, such transfers or elections could only be made during an open trading window and with pre-clearance if you are in Group Three).</w:t>
      </w:r>
    </w:p>
    <w:p>
      <w:pPr>
        <w:spacing w:after="0" w:line="91" w:lineRule="exact"/>
        <w:rPr>
          <w:sz w:val="20"/>
          <w:szCs w:val="20"/>
          <w:color w:val="auto"/>
        </w:rPr>
      </w:pPr>
    </w:p>
    <w:p>
      <w:pPr>
        <w:ind w:right="140"/>
        <w:spacing w:after="0" w:line="262" w:lineRule="auto"/>
        <w:rPr>
          <w:sz w:val="20"/>
          <w:szCs w:val="20"/>
          <w:color w:val="auto"/>
        </w:rPr>
      </w:pPr>
      <w:r>
        <w:rPr>
          <w:rFonts w:ascii="Arial" w:cs="Arial" w:eastAsia="Arial" w:hAnsi="Arial"/>
          <w:sz w:val="21"/>
          <w:szCs w:val="21"/>
          <w:color w:val="7F7F7F"/>
        </w:rPr>
        <w:t xml:space="preserve">Transactions in employee stock options are also considered Permitted Transactions if there is no related sale on the market or to a person other than Acuity. </w:t>
      </w:r>
      <w:r>
        <w:rPr>
          <w:rFonts w:ascii="Arial" w:cs="Arial" w:eastAsia="Arial" w:hAnsi="Arial"/>
          <w:sz w:val="21"/>
          <w:szCs w:val="21"/>
          <w:b w:val="1"/>
          <w:bCs w:val="1"/>
          <w:i w:val="1"/>
          <w:iCs w:val="1"/>
          <w:color w:val="7F7F7F"/>
        </w:rPr>
        <w:t>Note, however, that a sale of stock following or in connection with an</w:t>
      </w:r>
      <w:r>
        <w:rPr>
          <w:rFonts w:ascii="Arial" w:cs="Arial" w:eastAsia="Arial" w:hAnsi="Arial"/>
          <w:sz w:val="21"/>
          <w:szCs w:val="21"/>
          <w:color w:val="7F7F7F"/>
        </w:rPr>
        <w:t xml:space="preserve"> </w:t>
      </w:r>
      <w:r>
        <w:rPr>
          <w:rFonts w:ascii="Arial" w:cs="Arial" w:eastAsia="Arial" w:hAnsi="Arial"/>
          <w:sz w:val="21"/>
          <w:szCs w:val="21"/>
          <w:b w:val="1"/>
          <w:bCs w:val="1"/>
          <w:i w:val="1"/>
          <w:iCs w:val="1"/>
          <w:color w:val="7F7F7F"/>
        </w:rPr>
        <w:t xml:space="preserve">option exercise is not a transaction with Acuity and is, therefore, not a Permitted Transaction. </w:t>
      </w:r>
      <w:r>
        <w:rPr>
          <w:rFonts w:ascii="Arial" w:cs="Arial" w:eastAsia="Arial" w:hAnsi="Arial"/>
          <w:sz w:val="21"/>
          <w:szCs w:val="21"/>
          <w:color w:val="7F7F7F"/>
        </w:rPr>
        <w:t>Thus, you may</w:t>
      </w:r>
      <w:r>
        <w:rPr>
          <w:rFonts w:ascii="Arial" w:cs="Arial" w:eastAsia="Arial" w:hAnsi="Arial"/>
          <w:sz w:val="21"/>
          <w:szCs w:val="21"/>
          <w:b w:val="1"/>
          <w:bCs w:val="1"/>
          <w:i w:val="1"/>
          <w:iCs w:val="1"/>
          <w:color w:val="7F7F7F"/>
        </w:rPr>
        <w:t xml:space="preserve"> </w:t>
      </w:r>
      <w:r>
        <w:rPr>
          <w:rFonts w:ascii="Arial" w:cs="Arial" w:eastAsia="Arial" w:hAnsi="Arial"/>
          <w:sz w:val="21"/>
          <w:szCs w:val="21"/>
          <w:color w:val="7F7F7F"/>
        </w:rPr>
        <w:t>engage in a cash exercise of an option as long as you retain the stock you buy in the exercise. You can also engage in stock-for-stock exercises or elect stock withholding without violating the Policy. However, it would not be a Permitted Transaction for you to exercise a stock option, sell the resulting shares and then use the proceeds from that sale to pay for the exercise of additional stock options in a same day sale. Although exercises of Acuity stock options are Permitted Transactions, members of Groups Two and Three must pre-clear all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Transactions in Which There is No Change in Beneficial Ownership</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22"/>
          <w:szCs w:val="22"/>
          <w:color w:val="7F7F7F"/>
        </w:rPr>
        <w:t>Certain transactions involve merely a change in the form in which you own securities. For example, you may transfer shares of stock to a trust if you are the only beneficiary of the trust during your lifetime. Likewise, changing the form of ownership to include a member of your household as a joint owner or as a sole owner is a Permitted Transaction since members of your household are considered the same as you for purposes of this Policy (and the shares will remain subject to the terms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Trading Plans</w:t>
      </w:r>
    </w:p>
    <w:p>
      <w:pPr>
        <w:spacing w:after="0" w:line="125"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7F7F7F"/>
        </w:rPr>
        <w:t>The SEC has enacted a rule (Rule 10b5-1 under the Securities Exchange Act (“Rule 10b5-1”)) that provides an affirmative defense against violations of the insider trading laws. To be eligible to rely on this defense, you must enter into a trading plan for transactions in Acuity securities that meets certain conditions specified in Rule 10b5-1 (a “Trading Plan”). If the Trading Plan meets the requirements of Rule 10b5-1, Acuity securities may be purchased, sold or otherwise transacted in without regard to certain insider trading restrictions. The Trading Plan must, along with other legally-required terms and conditions:</w:t>
      </w:r>
    </w:p>
    <w:p>
      <w:pPr>
        <w:spacing w:after="0" w:line="7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22"/>
          <w:szCs w:val="22"/>
          <w:color w:val="7F7F7F"/>
        </w:rPr>
      </w:pPr>
      <w:r>
        <w:rPr>
          <w:rFonts w:ascii="Arial" w:cs="Arial" w:eastAsia="Arial" w:hAnsi="Arial"/>
          <w:sz w:val="22"/>
          <w:szCs w:val="22"/>
          <w:color w:val="7F7F7F"/>
        </w:rPr>
        <w:t>specify the amount, price and date of the transaction;</w:t>
      </w:r>
    </w:p>
    <w:p>
      <w:pPr>
        <w:spacing w:after="0" w:line="110"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42"/>
        </w:numPr>
        <w:rPr>
          <w:rFonts w:ascii="Times New Roman" w:cs="Times New Roman" w:eastAsia="Times New Roman" w:hAnsi="Times New Roman"/>
          <w:sz w:val="22"/>
          <w:szCs w:val="22"/>
          <w:color w:val="7F7F7F"/>
        </w:rPr>
      </w:pPr>
      <w:r>
        <w:rPr>
          <w:rFonts w:ascii="Arial" w:cs="Arial" w:eastAsia="Arial" w:hAnsi="Arial"/>
          <w:sz w:val="22"/>
          <w:szCs w:val="22"/>
          <w:color w:val="7F7F7F"/>
        </w:rPr>
        <w:t>specify an objective method for determining the amount, price and date of the transaction; or</w:t>
      </w:r>
    </w:p>
    <w:p>
      <w:pPr>
        <w:spacing w:after="0" w:line="124" w:lineRule="exact"/>
        <w:rPr>
          <w:rFonts w:ascii="Times New Roman" w:cs="Times New Roman" w:eastAsia="Times New Roman" w:hAnsi="Times New Roman"/>
          <w:sz w:val="22"/>
          <w:szCs w:val="22"/>
          <w:color w:val="7F7F7F"/>
        </w:rPr>
      </w:pPr>
    </w:p>
    <w:p>
      <w:pPr>
        <w:ind w:left="660" w:right="340" w:hanging="328"/>
        <w:spacing w:after="0" w:line="271" w:lineRule="auto"/>
        <w:tabs>
          <w:tab w:leader="none" w:pos="655" w:val="left"/>
        </w:tabs>
        <w:numPr>
          <w:ilvl w:val="0"/>
          <w:numId w:val="42"/>
        </w:numPr>
        <w:rPr>
          <w:rFonts w:ascii="Times New Roman" w:cs="Times New Roman" w:eastAsia="Times New Roman" w:hAnsi="Times New Roman"/>
          <w:sz w:val="22"/>
          <w:szCs w:val="22"/>
          <w:color w:val="7F7F7F"/>
        </w:rPr>
      </w:pPr>
      <w:r>
        <w:rPr>
          <w:rFonts w:ascii="Arial" w:cs="Arial" w:eastAsia="Arial" w:hAnsi="Arial"/>
          <w:sz w:val="22"/>
          <w:szCs w:val="22"/>
          <w:color w:val="7F7F7F"/>
        </w:rPr>
        <w:t>place the discretion for determining amount, price, and date of the transaction in another person who is not, at the time of the transaction, in possession of material non-public information.</w:t>
      </w:r>
    </w:p>
    <w:p>
      <w:pPr>
        <w:spacing w:after="0" w:line="49"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7F7F7F"/>
        </w:rPr>
        <w:t>You must act in good faith with respect to the plan and may not exercise any discretion or influence over the amount, price, and date of the transaction(s) after entering into the Trading Plan. The rules regarding Trading Plans are extremely complex and must be complied with completely to be effective. You should consider consultation with your own legal advisor before proceeding with entering into any Trading Plan.</w:t>
      </w:r>
    </w:p>
    <w:p>
      <w:pPr>
        <w:spacing w:after="0" w:line="81"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7F7F7F"/>
        </w:rPr>
        <w:t>A Trading Plan must be entered into in good faith. In addition, any restrictions under this Policy that apply to you when purchasing or selling Acuity securities also apply to you when establishing a Trading Plan. Therefore, you may not establish a Trading Plan when you are in possession of material non-public information about Acuity and, to the extent trading windows and special blackout periods apply to you, those restrictions must be complied with in connection with establishing a Trading Plan. Rule 10b5-1 (a) requires a person (other than a director or Section 16 Officer or the Company) wait to begin trading under a 10b5-1 Plan until 30 days after the adoption of the plan, (b) generally prohibits a person from having more than one plan in place at the same time and (c) restricts persons from relying on a single-trade plan more than once during any 12-month period. In addition, the following requirements with respect to Trading Plans also apply to members of Group Three, as well as their Family Members and Controlled Entities:</w:t>
      </w:r>
    </w:p>
    <w:p>
      <w:pPr>
        <w:spacing w:after="0" w:line="9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7F7F7F"/>
        </w:rPr>
      </w:pPr>
      <w:r>
        <w:rPr>
          <w:rFonts w:ascii="Arial" w:cs="Arial" w:eastAsia="Arial" w:hAnsi="Arial"/>
          <w:sz w:val="22"/>
          <w:szCs w:val="22"/>
          <w:color w:val="7F7F7F"/>
        </w:rPr>
        <w:t>Only enter into or amend a Trading Plan during an open trading window.</w:t>
      </w:r>
    </w:p>
    <w:p>
      <w:pPr>
        <w:spacing w:after="0" w:line="110" w:lineRule="exact"/>
        <w:rPr>
          <w:rFonts w:ascii="Times New Roman" w:cs="Times New Roman" w:eastAsia="Times New Roman" w:hAnsi="Times New Roman"/>
          <w:sz w:val="22"/>
          <w:szCs w:val="22"/>
          <w:color w:val="7F7F7F"/>
        </w:rPr>
      </w:pPr>
    </w:p>
    <w:p>
      <w:pPr>
        <w:ind w:left="660" w:right="340" w:hanging="328"/>
        <w:spacing w:after="0" w:line="257" w:lineRule="auto"/>
        <w:tabs>
          <w:tab w:leader="none" w:pos="655" w:val="left"/>
        </w:tabs>
        <w:numPr>
          <w:ilvl w:val="0"/>
          <w:numId w:val="43"/>
        </w:numPr>
        <w:rPr>
          <w:rFonts w:ascii="Times New Roman" w:cs="Times New Roman" w:eastAsia="Times New Roman" w:hAnsi="Times New Roman"/>
          <w:sz w:val="22"/>
          <w:szCs w:val="22"/>
          <w:color w:val="7F7F7F"/>
        </w:rPr>
      </w:pPr>
      <w:r>
        <w:rPr>
          <w:rFonts w:ascii="Arial" w:cs="Arial" w:eastAsia="Arial" w:hAnsi="Arial"/>
          <w:sz w:val="22"/>
          <w:szCs w:val="22"/>
          <w:color w:val="7F7F7F"/>
        </w:rPr>
        <w:t>The Trading Plan must also include a representation certifying that they are not aware of material nonpublic information about Acuity and are adopting the plan in good faith and not as a scheme to evade the prohibitions of Rule 10b-5.</w:t>
      </w:r>
    </w:p>
    <w:p>
      <w:pPr>
        <w:spacing w:after="0" w:line="63" w:lineRule="exact"/>
        <w:rPr>
          <w:rFonts w:ascii="Times New Roman" w:cs="Times New Roman" w:eastAsia="Times New Roman" w:hAnsi="Times New Roman"/>
          <w:sz w:val="22"/>
          <w:szCs w:val="22"/>
          <w:color w:val="7F7F7F"/>
        </w:rPr>
      </w:pPr>
    </w:p>
    <w:p>
      <w:pPr>
        <w:ind w:left="660" w:right="200" w:hanging="328"/>
        <w:spacing w:after="0" w:line="256" w:lineRule="auto"/>
        <w:tabs>
          <w:tab w:leader="none" w:pos="655" w:val="left"/>
        </w:tabs>
        <w:numPr>
          <w:ilvl w:val="0"/>
          <w:numId w:val="43"/>
        </w:numPr>
        <w:rPr>
          <w:rFonts w:ascii="Times New Roman" w:cs="Times New Roman" w:eastAsia="Times New Roman" w:hAnsi="Times New Roman"/>
          <w:sz w:val="22"/>
          <w:szCs w:val="22"/>
          <w:color w:val="7F7F7F"/>
        </w:rPr>
      </w:pPr>
      <w:r>
        <w:rPr>
          <w:rFonts w:ascii="Arial" w:cs="Arial" w:eastAsia="Arial" w:hAnsi="Arial"/>
          <w:sz w:val="22"/>
          <w:szCs w:val="22"/>
          <w:color w:val="7F7F7F"/>
        </w:rPr>
        <w:t>The first trade under the Trading Plan may not occur under until the later of (a) 90 days after the adoption of the plan or (b) two business days following the disclosure of Acuity’s financial results in a Form 10-Q or Form 10-K relating to the quarter in which the plan was adopted, subject to a maximum of 120 days after adoption of the plan.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70" w:lineRule="exact"/>
        <w:rPr>
          <w:sz w:val="20"/>
          <w:szCs w:val="20"/>
          <w:color w:val="auto"/>
        </w:rPr>
      </w:pPr>
    </w:p>
    <w:p>
      <w:pPr>
        <w:ind w:left="660" w:right="380" w:hanging="328"/>
        <w:spacing w:after="0" w:line="271" w:lineRule="auto"/>
        <w:tabs>
          <w:tab w:leader="none" w:pos="655" w:val="left"/>
        </w:tabs>
        <w:numPr>
          <w:ilvl w:val="0"/>
          <w:numId w:val="44"/>
        </w:numPr>
        <w:rPr>
          <w:rFonts w:ascii="Times New Roman" w:cs="Times New Roman" w:eastAsia="Times New Roman" w:hAnsi="Times New Roman"/>
          <w:sz w:val="22"/>
          <w:szCs w:val="22"/>
          <w:color w:val="7F7F7F"/>
        </w:rPr>
      </w:pPr>
      <w:r>
        <w:rPr>
          <w:rFonts w:ascii="Arial" w:cs="Arial" w:eastAsia="Arial" w:hAnsi="Arial"/>
          <w:sz w:val="22"/>
          <w:szCs w:val="22"/>
          <w:color w:val="7F7F7F"/>
        </w:rPr>
        <w:t>Unless expressly approved by the General Counsel and compliant with Rule 10b5-1, have only one 10b5-1 Plan in effect at a time.</w:t>
      </w:r>
    </w:p>
    <w:p>
      <w:pPr>
        <w:spacing w:after="0" w:line="48" w:lineRule="exact"/>
        <w:rPr>
          <w:rFonts w:ascii="Times New Roman" w:cs="Times New Roman" w:eastAsia="Times New Roman" w:hAnsi="Times New Roman"/>
          <w:sz w:val="22"/>
          <w:szCs w:val="22"/>
          <w:color w:val="7F7F7F"/>
        </w:rPr>
      </w:pPr>
    </w:p>
    <w:p>
      <w:pPr>
        <w:ind w:left="660" w:right="240" w:hanging="328"/>
        <w:spacing w:after="0" w:line="256" w:lineRule="auto"/>
        <w:tabs>
          <w:tab w:leader="none" w:pos="655" w:val="left"/>
        </w:tabs>
        <w:numPr>
          <w:ilvl w:val="0"/>
          <w:numId w:val="44"/>
        </w:numPr>
        <w:rPr>
          <w:rFonts w:ascii="Times New Roman" w:cs="Times New Roman" w:eastAsia="Times New Roman" w:hAnsi="Times New Roman"/>
          <w:sz w:val="22"/>
          <w:szCs w:val="22"/>
          <w:color w:val="7F7F7F"/>
        </w:rPr>
      </w:pPr>
      <w:r>
        <w:rPr>
          <w:rFonts w:ascii="Arial" w:cs="Arial" w:eastAsia="Arial" w:hAnsi="Arial"/>
          <w:sz w:val="22"/>
          <w:szCs w:val="22"/>
          <w:color w:val="7F7F7F"/>
        </w:rPr>
        <w:t>Any amendment to a Trading Plan will be treated as a termination of an existing Trading Plan and the entry into a new Trading Plan. Accordingly, the terms of any amendment must be approved in accordance with the terms of this Policy and shall otherwise comply with the terms of this Policy as if the amendment were a new Trading Plan.</w:t>
      </w:r>
    </w:p>
    <w:p>
      <w:pPr>
        <w:spacing w:after="0" w:line="67"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7F7F7F"/>
        </w:rPr>
      </w:pPr>
      <w:r>
        <w:rPr>
          <w:rFonts w:ascii="Arial" w:cs="Arial" w:eastAsia="Arial" w:hAnsi="Arial"/>
          <w:sz w:val="22"/>
          <w:szCs w:val="22"/>
          <w:color w:val="7F7F7F"/>
        </w:rPr>
        <w:t>You must consult with the General Counsel prior to terminating a Trading Plan.</w:t>
      </w:r>
    </w:p>
    <w:p>
      <w:pPr>
        <w:spacing w:after="0" w:line="111" w:lineRule="exact"/>
        <w:rPr>
          <w:sz w:val="20"/>
          <w:szCs w:val="20"/>
          <w:color w:val="auto"/>
        </w:rPr>
      </w:pPr>
    </w:p>
    <w:p>
      <w:pPr>
        <w:ind w:right="80"/>
        <w:spacing w:after="0" w:line="268" w:lineRule="auto"/>
        <w:rPr>
          <w:sz w:val="20"/>
          <w:szCs w:val="20"/>
          <w:color w:val="auto"/>
        </w:rPr>
      </w:pPr>
      <w:r>
        <w:rPr>
          <w:rFonts w:ascii="Arial" w:cs="Arial" w:eastAsia="Arial" w:hAnsi="Arial"/>
          <w:sz w:val="21"/>
          <w:szCs w:val="21"/>
          <w:color w:val="7F7F7F"/>
        </w:rPr>
        <w:t>The Company may from time to time adopt additional rules for the establishment and operation of Trading Plans, and you will need to comply with these rules in order to utilize a Trading Plan. In addition, all of our employees, officers and directors are required to receive pre-clearance before entering into, amending or terminating any Trading Plan. Once a Trading Plan has been pre-cleared by the General Counsel, Corporate Secretary or an officer designated in writing by either such officer, transactions executed pursuant to that Trading Plan do not require approval.</w:t>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22"/>
          <w:szCs w:val="22"/>
          <w:color w:val="7F7F7F"/>
        </w:rPr>
        <w:t>In establishing any Trading Plan, you should carefully consider the timing of your transactions under the Trading Plan. Even though transactions executed in accordance with a Trading Plan are exempt from the insider trading rules, the trades may nonetheless occur at times shortly before Acuity announces material news, and the media may not understand the nuances of trading pursuant to a Trading Plan.</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color w:val="7F7F7F"/>
        </w:rPr>
        <w:t xml:space="preserve">VII. </w:t>
      </w:r>
      <w:r>
        <w:rPr>
          <w:rFonts w:ascii="Arial" w:cs="Arial" w:eastAsia="Arial" w:hAnsi="Arial"/>
          <w:sz w:val="25"/>
          <w:szCs w:val="25"/>
          <w:b w:val="1"/>
          <w:bCs w:val="1"/>
          <w:u w:val="single" w:color="auto"/>
          <w:color w:val="7F7F7F"/>
        </w:rPr>
        <w:t>Sanctions for Violations of this Policy</w:t>
      </w:r>
    </w:p>
    <w:p>
      <w:pPr>
        <w:spacing w:after="0" w:line="239" w:lineRule="exact"/>
        <w:rPr>
          <w:sz w:val="20"/>
          <w:szCs w:val="20"/>
          <w:color w:val="auto"/>
        </w:rPr>
      </w:pPr>
    </w:p>
    <w:p>
      <w:pPr>
        <w:ind w:right="540"/>
        <w:spacing w:after="0" w:line="272" w:lineRule="auto"/>
        <w:rPr>
          <w:sz w:val="20"/>
          <w:szCs w:val="20"/>
          <w:color w:val="auto"/>
        </w:rPr>
      </w:pPr>
      <w:r>
        <w:rPr>
          <w:rFonts w:ascii="Arial" w:cs="Arial" w:eastAsia="Arial" w:hAnsi="Arial"/>
          <w:sz w:val="22"/>
          <w:szCs w:val="22"/>
          <w:color w:val="7F7F7F"/>
        </w:rPr>
        <w:t>The SEC, the stock exchanges and plaintiffs’ lawyers focus on uncovering insider trading, and use sophisticated technologies to investigate suspicious activity.</w:t>
      </w:r>
    </w:p>
    <w:p>
      <w:pPr>
        <w:spacing w:after="0" w:line="48"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color w:val="7F7F7F"/>
        </w:rPr>
        <w:t>A breach of the insider trading laws could expose the insider to criminal fines of up to $5,000,000 and imprisonment of up to 20 years, in addition to civil penalties (up to three times the profits earned), and injunctive actions. In addition, punitive damages may be imposed under applicable state laws. Securities laws also subject controlling persons to civil penalties for illegal insider trading by employees. Controlling persons include directors, officers and supervisors. These persons may be subject to fines of up to the greater of $1,000,000 or three times the profit realized or loss avoided by the insider. Accordingly, all Acuity employees must comply with this policy and applicable securities laws and ensure that those employees who they supervise also comply.</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7F7F7F"/>
        </w:rPr>
        <w:t>Inside information does not belong to any of Acuity’s individual employees, officers or directors. This information is an asset of the company. For any person to use such information for personal benefit or to disclose it to others outside of the Company violates Acuity’s Code of Ethics and Business Conduct, this Policy and federal securities laws. More particularly, insider trading is a fraud against members of the investing public and against the Company. Whether or not there is any actual trading of our securities, any violation of this Policy will be grounds for discipline, up to termination of employment for cause.</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b w:val="1"/>
          <w:bCs w:val="1"/>
          <w:color w:val="7F7F7F"/>
        </w:rPr>
        <w:t xml:space="preserve">VIII. </w:t>
      </w:r>
      <w:r>
        <w:rPr>
          <w:rFonts w:ascii="Arial" w:cs="Arial" w:eastAsia="Arial" w:hAnsi="Arial"/>
          <w:sz w:val="25"/>
          <w:szCs w:val="25"/>
          <w:b w:val="1"/>
          <w:bCs w:val="1"/>
          <w:u w:val="single" w:color="auto"/>
          <w:color w:val="7F7F7F"/>
        </w:rPr>
        <w:t>Administration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Administration by the Corporate Secretary</w:t>
      </w:r>
    </w:p>
    <w:p>
      <w:pPr>
        <w:spacing w:after="0" w:line="12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7F7F7F"/>
        </w:rPr>
        <w:t>The day-to-day administration of this Policy will be carried out by the Corporate Secretary. If you have any questions concerning the interpretation of this Policy, you should direct your questions to the Corporate Secretary.</w:t>
      </w:r>
    </w:p>
    <w:p>
      <w:pPr>
        <w:spacing w:after="0"/>
        <w:rPr>
          <w:sz w:val="20"/>
          <w:szCs w:val="20"/>
          <w:color w:val="auto"/>
        </w:rPr>
      </w:pPr>
      <w:r>
        <w:rPr>
          <w:rFonts w:ascii="Arial" w:cs="Arial" w:eastAsia="Arial" w:hAnsi="Arial"/>
          <w:sz w:val="25"/>
          <w:szCs w:val="25"/>
          <w:i w:val="1"/>
          <w:iCs w:val="1"/>
          <w:color w:val="7F7F7F"/>
        </w:rPr>
        <w:t>Reporting Violations</w:t>
      </w:r>
    </w:p>
    <w:p>
      <w:pPr>
        <w:spacing w:after="0" w:line="22" w:lineRule="exact"/>
        <w:rPr>
          <w:sz w:val="20"/>
          <w:szCs w:val="20"/>
          <w:color w:val="auto"/>
        </w:rPr>
      </w:pPr>
    </w:p>
    <w:p>
      <w:pPr>
        <w:ind w:left="660" w:right="60" w:hanging="328"/>
        <w:spacing w:after="0" w:line="268" w:lineRule="auto"/>
        <w:tabs>
          <w:tab w:leader="none" w:pos="655" w:val="left"/>
        </w:tabs>
        <w:numPr>
          <w:ilvl w:val="0"/>
          <w:numId w:val="45"/>
        </w:numPr>
        <w:rPr>
          <w:rFonts w:ascii="Times New Roman" w:cs="Times New Roman" w:eastAsia="Times New Roman" w:hAnsi="Times New Roman"/>
          <w:sz w:val="22"/>
          <w:szCs w:val="22"/>
          <w:color w:val="7F7F7F"/>
        </w:rPr>
      </w:pPr>
      <w:r>
        <w:rPr>
          <w:rFonts w:ascii="Arial" w:cs="Arial" w:eastAsia="Arial" w:hAnsi="Arial"/>
          <w:sz w:val="22"/>
          <w:szCs w:val="22"/>
          <w:color w:val="7F7F7F"/>
        </w:rPr>
        <w:t>If you become aware of any violation of this Policy, you should report it immediately to the Corporate Secretary or the General Counsel. You can also reach out to our Ethics Helpline:</w:t>
      </w:r>
    </w:p>
    <w:p>
      <w:pPr>
        <w:ind w:left="660" w:hanging="328"/>
        <w:spacing w:after="0"/>
        <w:tabs>
          <w:tab w:leader="none" w:pos="660" w:val="left"/>
        </w:tabs>
        <w:numPr>
          <w:ilvl w:val="0"/>
          <w:numId w:val="45"/>
        </w:numPr>
        <w:rPr>
          <w:rFonts w:ascii="Times New Roman" w:cs="Times New Roman" w:eastAsia="Times New Roman" w:hAnsi="Times New Roman"/>
          <w:sz w:val="22"/>
          <w:szCs w:val="22"/>
          <w:color w:val="7F7F7F"/>
        </w:rPr>
      </w:pPr>
      <w:r>
        <w:rPr>
          <w:rFonts w:ascii="Arial" w:cs="Arial" w:eastAsia="Arial" w:hAnsi="Arial"/>
          <w:sz w:val="22"/>
          <w:szCs w:val="22"/>
          <w:color w:val="7F7F7F"/>
        </w:rPr>
        <w:t>Via th</w:t>
      </w:r>
      <w:r>
        <w:rPr>
          <w:rFonts w:ascii="Arial" w:cs="Arial" w:eastAsia="Arial" w:hAnsi="Arial"/>
          <w:sz w:val="22"/>
          <w:szCs w:val="22"/>
          <w:color w:val="808080"/>
        </w:rPr>
        <w:t>e internet:</w:t>
      </w:r>
      <w:r>
        <w:rPr>
          <w:rFonts w:ascii="Arial" w:cs="Arial" w:eastAsia="Arial" w:hAnsi="Arial"/>
          <w:sz w:val="22"/>
          <w:szCs w:val="22"/>
          <w:color w:val="7F7F7F"/>
        </w:rPr>
        <w:t xml:space="preserve"> </w:t>
      </w:r>
      <w:r>
        <w:rPr>
          <w:rFonts w:ascii="Arial" w:cs="Arial" w:eastAsia="Arial" w:hAnsi="Arial"/>
          <w:sz w:val="22"/>
          <w:szCs w:val="22"/>
          <w:u w:val="single" w:color="auto"/>
          <w:color w:val="0000FF"/>
        </w:rPr>
        <w:t>ethicshelpline.acuitybrands.com</w:t>
      </w:r>
    </w:p>
    <w:p>
      <w:pPr>
        <w:spacing w:after="0" w:line="43" w:lineRule="exact"/>
        <w:rPr>
          <w:rFonts w:ascii="Times New Roman" w:cs="Times New Roman" w:eastAsia="Times New Roman" w:hAnsi="Times New Roman"/>
          <w:sz w:val="22"/>
          <w:szCs w:val="22"/>
          <w:color w:val="7F7F7F"/>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7F7F7F"/>
        </w:rPr>
      </w:pPr>
      <w:r>
        <w:rPr>
          <w:rFonts w:ascii="Arial" w:cs="Arial" w:eastAsia="Arial" w:hAnsi="Arial"/>
          <w:sz w:val="22"/>
          <w:szCs w:val="22"/>
          <w:color w:val="7F7F7F"/>
        </w:rPr>
        <w:t>Via telephone, 24 hours/day, 7 days/week:</w:t>
      </w:r>
    </w:p>
    <w:p>
      <w:pPr>
        <w:spacing w:after="0" w:line="84" w:lineRule="exact"/>
        <w:rPr>
          <w:sz w:val="20"/>
          <w:szCs w:val="20"/>
          <w:color w:val="auto"/>
        </w:rPr>
      </w:pPr>
    </w:p>
    <w:tbl>
      <w:tblPr>
        <w:tblLayout w:type="fixed"/>
        <w:tblInd w:w="240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Arial" w:cs="Arial" w:eastAsia="Arial" w:hAnsi="Arial"/>
                <w:sz w:val="22"/>
                <w:szCs w:val="22"/>
                <w:color w:val="7F7F7F"/>
              </w:rPr>
              <w:t>U.S. and</w:t>
            </w:r>
          </w:p>
        </w:tc>
        <w:tc>
          <w:tcPr>
            <w:tcW w:w="3860" w:type="dxa"/>
            <w:vAlign w:val="bottom"/>
          </w:tcPr>
          <w:p>
            <w:pPr>
              <w:ind w:left="120"/>
              <w:spacing w:after="0"/>
              <w:rPr>
                <w:sz w:val="20"/>
                <w:szCs w:val="20"/>
                <w:color w:val="auto"/>
              </w:rPr>
            </w:pPr>
            <w:r>
              <w:rPr>
                <w:rFonts w:ascii="Arial" w:cs="Arial" w:eastAsia="Arial" w:hAnsi="Arial"/>
                <w:sz w:val="22"/>
                <w:szCs w:val="22"/>
                <w:color w:val="7F7F7F"/>
                <w:w w:val="97"/>
              </w:rPr>
              <w:t>800-461-9330 or via text 770-637-0324</w:t>
            </w:r>
          </w:p>
        </w:tc>
      </w:tr>
      <w:tr>
        <w:trPr>
          <w:trHeight w:val="283"/>
        </w:trPr>
        <w:tc>
          <w:tcPr>
            <w:tcW w:w="1700" w:type="dxa"/>
            <w:vAlign w:val="bottom"/>
          </w:tcPr>
          <w:p>
            <w:pPr>
              <w:spacing w:after="0"/>
              <w:rPr>
                <w:sz w:val="20"/>
                <w:szCs w:val="20"/>
                <w:color w:val="auto"/>
              </w:rPr>
            </w:pPr>
            <w:r>
              <w:rPr>
                <w:rFonts w:ascii="Arial" w:cs="Arial" w:eastAsia="Arial" w:hAnsi="Arial"/>
                <w:sz w:val="22"/>
                <w:szCs w:val="22"/>
                <w:color w:val="7F7F7F"/>
              </w:rPr>
              <w:t>Canada:</w:t>
            </w:r>
          </w:p>
        </w:tc>
        <w:tc>
          <w:tcPr>
            <w:tcW w:w="3860" w:type="dxa"/>
            <w:vAlign w:val="bottom"/>
          </w:tcPr>
          <w:p>
            <w:pPr>
              <w:spacing w:after="0"/>
              <w:rPr>
                <w:sz w:val="24"/>
                <w:szCs w:val="24"/>
                <w:color w:val="auto"/>
              </w:rPr>
            </w:pPr>
          </w:p>
        </w:tc>
      </w:tr>
      <w:tr>
        <w:trPr>
          <w:trHeight w:val="351"/>
        </w:trPr>
        <w:tc>
          <w:tcPr>
            <w:tcW w:w="1700" w:type="dxa"/>
            <w:vAlign w:val="bottom"/>
          </w:tcPr>
          <w:p>
            <w:pPr>
              <w:spacing w:after="0"/>
              <w:rPr>
                <w:sz w:val="20"/>
                <w:szCs w:val="20"/>
                <w:color w:val="auto"/>
              </w:rPr>
            </w:pPr>
            <w:r>
              <w:rPr>
                <w:rFonts w:ascii="Arial" w:cs="Arial" w:eastAsia="Arial" w:hAnsi="Arial"/>
                <w:sz w:val="22"/>
                <w:szCs w:val="22"/>
                <w:color w:val="7F7F7F"/>
              </w:rPr>
              <w:t>China:</w:t>
            </w:r>
          </w:p>
        </w:tc>
        <w:tc>
          <w:tcPr>
            <w:tcW w:w="3860" w:type="dxa"/>
            <w:vAlign w:val="bottom"/>
          </w:tcPr>
          <w:p>
            <w:pPr>
              <w:ind w:left="120"/>
              <w:spacing w:after="0"/>
              <w:rPr>
                <w:sz w:val="20"/>
                <w:szCs w:val="20"/>
                <w:color w:val="auto"/>
              </w:rPr>
            </w:pPr>
            <w:r>
              <w:rPr>
                <w:rFonts w:ascii="Arial" w:cs="Arial" w:eastAsia="Arial" w:hAnsi="Arial"/>
                <w:sz w:val="22"/>
                <w:szCs w:val="22"/>
                <w:color w:val="7F7F7F"/>
              </w:rPr>
              <w:t>400-120-3062</w:t>
            </w:r>
          </w:p>
        </w:tc>
      </w:tr>
      <w:tr>
        <w:trPr>
          <w:trHeight w:val="338"/>
        </w:trPr>
        <w:tc>
          <w:tcPr>
            <w:tcW w:w="1700" w:type="dxa"/>
            <w:vAlign w:val="bottom"/>
          </w:tcPr>
          <w:p>
            <w:pPr>
              <w:spacing w:after="0"/>
              <w:rPr>
                <w:sz w:val="20"/>
                <w:szCs w:val="20"/>
                <w:color w:val="auto"/>
              </w:rPr>
            </w:pPr>
            <w:r>
              <w:rPr>
                <w:rFonts w:ascii="Arial" w:cs="Arial" w:eastAsia="Arial" w:hAnsi="Arial"/>
                <w:sz w:val="22"/>
                <w:szCs w:val="22"/>
                <w:color w:val="7F7F7F"/>
              </w:rPr>
              <w:t>France:</w:t>
            </w:r>
          </w:p>
        </w:tc>
        <w:tc>
          <w:tcPr>
            <w:tcW w:w="3860" w:type="dxa"/>
            <w:vAlign w:val="bottom"/>
          </w:tcPr>
          <w:p>
            <w:pPr>
              <w:ind w:left="120"/>
              <w:spacing w:after="0"/>
              <w:rPr>
                <w:sz w:val="20"/>
                <w:szCs w:val="20"/>
                <w:color w:val="auto"/>
              </w:rPr>
            </w:pPr>
            <w:r>
              <w:rPr>
                <w:rFonts w:ascii="Arial" w:cs="Arial" w:eastAsia="Arial" w:hAnsi="Arial"/>
                <w:sz w:val="22"/>
                <w:szCs w:val="22"/>
                <w:color w:val="7F7F7F"/>
              </w:rPr>
              <w:t>0805-080339</w:t>
            </w:r>
          </w:p>
        </w:tc>
      </w:tr>
      <w:tr>
        <w:trPr>
          <w:trHeight w:val="338"/>
        </w:trPr>
        <w:tc>
          <w:tcPr>
            <w:tcW w:w="1700" w:type="dxa"/>
            <w:vAlign w:val="bottom"/>
          </w:tcPr>
          <w:p>
            <w:pPr>
              <w:spacing w:after="0"/>
              <w:rPr>
                <w:sz w:val="20"/>
                <w:szCs w:val="20"/>
                <w:color w:val="auto"/>
              </w:rPr>
            </w:pPr>
            <w:r>
              <w:rPr>
                <w:rFonts w:ascii="Arial" w:cs="Arial" w:eastAsia="Arial" w:hAnsi="Arial"/>
                <w:sz w:val="22"/>
                <w:szCs w:val="22"/>
                <w:color w:val="7F7F7F"/>
              </w:rPr>
              <w:t>Mexico:</w:t>
            </w:r>
          </w:p>
        </w:tc>
        <w:tc>
          <w:tcPr>
            <w:tcW w:w="3860" w:type="dxa"/>
            <w:vAlign w:val="bottom"/>
          </w:tcPr>
          <w:p>
            <w:pPr>
              <w:ind w:left="120"/>
              <w:spacing w:after="0"/>
              <w:rPr>
                <w:sz w:val="20"/>
                <w:szCs w:val="20"/>
                <w:color w:val="auto"/>
              </w:rPr>
            </w:pPr>
            <w:r>
              <w:rPr>
                <w:rFonts w:ascii="Arial" w:cs="Arial" w:eastAsia="Arial" w:hAnsi="Arial"/>
                <w:sz w:val="22"/>
                <w:szCs w:val="22"/>
                <w:color w:val="7F7F7F"/>
              </w:rPr>
              <w:t>01-800-681-6945</w:t>
            </w:r>
          </w:p>
        </w:tc>
      </w:tr>
      <w:tr>
        <w:trPr>
          <w:trHeight w:val="337"/>
        </w:trPr>
        <w:tc>
          <w:tcPr>
            <w:tcW w:w="1700" w:type="dxa"/>
            <w:vAlign w:val="bottom"/>
          </w:tcPr>
          <w:p>
            <w:pPr>
              <w:spacing w:after="0"/>
              <w:rPr>
                <w:sz w:val="20"/>
                <w:szCs w:val="20"/>
                <w:color w:val="auto"/>
              </w:rPr>
            </w:pPr>
            <w:r>
              <w:rPr>
                <w:rFonts w:ascii="Arial" w:cs="Arial" w:eastAsia="Arial" w:hAnsi="Arial"/>
                <w:sz w:val="22"/>
                <w:szCs w:val="22"/>
                <w:color w:val="7F7F7F"/>
              </w:rPr>
              <w:t>Netherlands:</w:t>
            </w:r>
          </w:p>
        </w:tc>
        <w:tc>
          <w:tcPr>
            <w:tcW w:w="3860" w:type="dxa"/>
            <w:vAlign w:val="bottom"/>
          </w:tcPr>
          <w:p>
            <w:pPr>
              <w:ind w:left="120"/>
              <w:spacing w:after="0"/>
              <w:rPr>
                <w:sz w:val="20"/>
                <w:szCs w:val="20"/>
                <w:color w:val="auto"/>
              </w:rPr>
            </w:pPr>
            <w:r>
              <w:rPr>
                <w:rFonts w:ascii="Arial" w:cs="Arial" w:eastAsia="Arial" w:hAnsi="Arial"/>
                <w:sz w:val="22"/>
                <w:szCs w:val="22"/>
                <w:color w:val="7F7F7F"/>
              </w:rPr>
              <w:t>0-800-022-0441</w:t>
            </w:r>
          </w:p>
        </w:tc>
      </w:tr>
      <w:tr>
        <w:trPr>
          <w:trHeight w:val="338"/>
        </w:trPr>
        <w:tc>
          <w:tcPr>
            <w:tcW w:w="1700" w:type="dxa"/>
            <w:vAlign w:val="bottom"/>
          </w:tcPr>
          <w:p>
            <w:pPr>
              <w:spacing w:after="0"/>
              <w:rPr>
                <w:sz w:val="20"/>
                <w:szCs w:val="20"/>
                <w:color w:val="auto"/>
              </w:rPr>
            </w:pPr>
            <w:r>
              <w:rPr>
                <w:rFonts w:ascii="Arial" w:cs="Arial" w:eastAsia="Arial" w:hAnsi="Arial"/>
                <w:sz w:val="22"/>
                <w:szCs w:val="22"/>
                <w:color w:val="7F7F7F"/>
              </w:rPr>
              <w:t>United Kingdom:</w:t>
            </w:r>
          </w:p>
        </w:tc>
        <w:tc>
          <w:tcPr>
            <w:tcW w:w="3860" w:type="dxa"/>
            <w:vAlign w:val="bottom"/>
          </w:tcPr>
          <w:p>
            <w:pPr>
              <w:ind w:left="120"/>
              <w:spacing w:after="0"/>
              <w:rPr>
                <w:sz w:val="20"/>
                <w:szCs w:val="20"/>
                <w:color w:val="auto"/>
              </w:rPr>
            </w:pPr>
            <w:r>
              <w:rPr>
                <w:rFonts w:ascii="Arial" w:cs="Arial" w:eastAsia="Arial" w:hAnsi="Arial"/>
                <w:sz w:val="22"/>
                <w:szCs w:val="22"/>
                <w:color w:val="7F7F7F"/>
              </w:rPr>
              <w:t>0-808-189-1053</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Exemptions</w:t>
      </w:r>
    </w:p>
    <w:p>
      <w:pPr>
        <w:spacing w:after="0" w:line="125" w:lineRule="exact"/>
        <w:rPr>
          <w:sz w:val="20"/>
          <w:szCs w:val="20"/>
          <w:color w:val="auto"/>
        </w:rPr>
      </w:pPr>
    </w:p>
    <w:p>
      <w:pPr>
        <w:ind w:right="380"/>
        <w:spacing w:after="0" w:line="273" w:lineRule="auto"/>
        <w:rPr>
          <w:sz w:val="20"/>
          <w:szCs w:val="20"/>
          <w:color w:val="auto"/>
        </w:rPr>
      </w:pPr>
      <w:r>
        <w:rPr>
          <w:rFonts w:ascii="Arial" w:cs="Arial" w:eastAsia="Arial" w:hAnsi="Arial"/>
          <w:sz w:val="21"/>
          <w:szCs w:val="21"/>
          <w:color w:val="7F7F7F"/>
        </w:rPr>
        <w:t>An individual subject to the trading windows or special blackout periods described in Section IV may request the General Counsel, Corporate Secretary or an officer designated in writing by either such officer to grant him, her or them a hardship exemption from those restrictions if such person is not otherwise prohibited from trading under Section II. However, we anticipate that exemptions will be given very rarely and only in extreme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i w:val="1"/>
          <w:iCs w:val="1"/>
          <w:color w:val="7F7F7F"/>
        </w:rPr>
        <w:t>Amendment of the Policy</w:t>
      </w:r>
    </w:p>
    <w:p>
      <w:pPr>
        <w:spacing w:after="0" w:line="125" w:lineRule="exact"/>
        <w:rPr>
          <w:sz w:val="20"/>
          <w:szCs w:val="20"/>
          <w:color w:val="auto"/>
        </w:rPr>
      </w:pPr>
    </w:p>
    <w:p>
      <w:pPr>
        <w:ind w:right="20"/>
        <w:spacing w:after="0" w:line="296" w:lineRule="auto"/>
        <w:rPr>
          <w:sz w:val="20"/>
          <w:szCs w:val="20"/>
          <w:color w:val="auto"/>
        </w:rPr>
      </w:pPr>
      <w:r>
        <w:rPr>
          <w:rFonts w:ascii="Arial" w:cs="Arial" w:eastAsia="Arial" w:hAnsi="Arial"/>
          <w:sz w:val="21"/>
          <w:szCs w:val="21"/>
          <w:color w:val="7F7F7F"/>
        </w:rPr>
        <w:t>This Policy may be amended by the Board of Directors or a committee of the Board of Directors. If the Policy is amended, we will communicate to you through normal communications channels the substance of any such changes.</w:t>
      </w:r>
    </w:p>
    <w:p>
      <w:pPr>
        <w:spacing w:after="0" w:line="23" w:lineRule="exact"/>
        <w:rPr>
          <w:sz w:val="20"/>
          <w:szCs w:val="20"/>
          <w:color w:val="auto"/>
        </w:rPr>
      </w:pPr>
    </w:p>
    <w:p>
      <w:pPr>
        <w:jc w:val="both"/>
        <w:ind w:right="40"/>
        <w:spacing w:after="0" w:line="270" w:lineRule="auto"/>
        <w:rPr>
          <w:sz w:val="20"/>
          <w:szCs w:val="20"/>
          <w:color w:val="auto"/>
        </w:rPr>
      </w:pPr>
      <w:r>
        <w:rPr>
          <w:rFonts w:ascii="Arial" w:cs="Arial" w:eastAsia="Arial" w:hAnsi="Arial"/>
          <w:sz w:val="22"/>
          <w:szCs w:val="22"/>
          <w:b w:val="1"/>
          <w:bCs w:val="1"/>
          <w:color w:val="7F7F7F"/>
        </w:rPr>
        <w:t>Please bear in mind that the ultimate responsibility for complying with this Policy and applicable laws, rules and regulations rests with you. You should use your best judgment and consult with the Corporate Secretary or the General Counsel and your legal and financial advisors,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379855" cy="7372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379855"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19</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608"/>
        </w:trPr>
        <w:tc>
          <w:tcPr>
            <w:tcW w:w="5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7F7F7F"/>
                <w:w w:val="97"/>
              </w:rPr>
              <w:t>Department: Board/Legal</w:t>
            </w:r>
          </w:p>
        </w:tc>
        <w:tc>
          <w:tcPr>
            <w:tcW w:w="5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7F7F7F"/>
                <w:w w:val="97"/>
              </w:rPr>
              <w:t>Policy Number: 7.004</w:t>
            </w:r>
          </w:p>
        </w:tc>
      </w:tr>
      <w:tr>
        <w:trPr>
          <w:trHeight w:val="40"/>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940" w:type="dxa"/>
            <w:vAlign w:val="bottom"/>
            <w:tcBorders>
              <w:bottom w:val="single" w:sz="8" w:color="auto"/>
              <w:right w:val="single" w:sz="8" w:color="auto"/>
            </w:tcBorders>
          </w:tcPr>
          <w:p>
            <w:pPr>
              <w:spacing w:after="0"/>
              <w:rPr>
                <w:sz w:val="3"/>
                <w:szCs w:val="3"/>
                <w:color w:val="auto"/>
              </w:rPr>
            </w:pPr>
          </w:p>
        </w:tc>
      </w:tr>
      <w:tr>
        <w:trPr>
          <w:trHeight w:val="588"/>
        </w:trPr>
        <w:tc>
          <w:tcPr>
            <w:tcW w:w="5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7F7F7F"/>
                <w:w w:val="98"/>
              </w:rPr>
              <w:t>Effective Date: June 26, 2024</w:t>
            </w:r>
          </w:p>
        </w:tc>
        <w:tc>
          <w:tcPr>
            <w:tcW w:w="5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7F7F7F"/>
                <w:w w:val="97"/>
              </w:rPr>
              <w:t>Version: 2 (with corporate change)</w:t>
            </w:r>
          </w:p>
        </w:tc>
      </w:tr>
      <w:tr>
        <w:trPr>
          <w:trHeight w:val="40"/>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59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97"/>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List of Subsidiaries - Acuity Inc.</w:t>
            </w:r>
          </w:p>
        </w:tc>
        <w:tc>
          <w:tcPr>
            <w:tcW w:w="3360" w:type="dxa"/>
            <w:vAlign w:val="bottom"/>
          </w:tcPr>
          <w:p>
            <w:pPr>
              <w:ind w:left="2360"/>
              <w:spacing w:after="0"/>
              <w:rPr>
                <w:sz w:val="20"/>
                <w:szCs w:val="20"/>
                <w:color w:val="auto"/>
              </w:rPr>
            </w:pPr>
            <w:r>
              <w:rPr>
                <w:rFonts w:ascii="Arial" w:cs="Arial" w:eastAsia="Arial" w:hAnsi="Arial"/>
                <w:sz w:val="18"/>
                <w:szCs w:val="18"/>
                <w:b w:val="1"/>
                <w:bCs w:val="1"/>
                <w:color w:val="auto"/>
              </w:rPr>
              <w:t>Exhibit 21</w:t>
            </w:r>
          </w:p>
        </w:tc>
      </w:tr>
      <w:tr>
        <w:trPr>
          <w:trHeight w:val="414"/>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w:t>
            </w:r>
          </w:p>
        </w:tc>
      </w:tr>
      <w:tr>
        <w:trPr>
          <w:trHeight w:val="235"/>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Subsidiary or Affiliate</w:t>
            </w: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18"/>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to Z Manufacturing LLC</w:t>
            </w:r>
          </w:p>
        </w:tc>
        <w:tc>
          <w:tcPr>
            <w:tcW w:w="20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Arizona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AB Netherlands Holdings B.V.</w:t>
            </w:r>
          </w:p>
        </w:tc>
        <w:tc>
          <w:tcPr>
            <w:tcW w:w="3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ABL IP Holding LLC</w:t>
            </w:r>
          </w:p>
        </w:tc>
        <w:tc>
          <w:tcPr>
            <w:tcW w:w="336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Aviation LLC</w:t>
            </w:r>
          </w:p>
        </w:tc>
        <w:tc>
          <w:tcPr>
            <w:tcW w:w="336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Insurance (Bermuda) Ltd.</w:t>
            </w:r>
          </w:p>
        </w:tc>
        <w:tc>
          <w:tcPr>
            <w:tcW w:w="33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Lighting,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Lighting Canada, Inc.</w:t>
            </w:r>
          </w:p>
        </w:tc>
        <w:tc>
          <w:tcPr>
            <w:tcW w:w="33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Lighting (Hong Kong)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Lighting de Mexico, S. de R.L. de C.V.</w:t>
            </w:r>
          </w:p>
        </w:tc>
        <w:tc>
          <w:tcPr>
            <w:tcW w:w="33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Mexico Holdings II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Netherlands B.V.</w:t>
            </w:r>
          </w:p>
        </w:tc>
        <w:tc>
          <w:tcPr>
            <w:tcW w:w="3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Brands Services,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Intelligent Spaces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Digital Ireland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Dublin, Ireland</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Intelligent Spaces UK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Intelligent Spaces US Inc.</w:t>
            </w:r>
          </w:p>
        </w:tc>
        <w:tc>
          <w:tcPr>
            <w:tcW w:w="3360" w:type="dxa"/>
            <w:vAlign w:val="bottom"/>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Acuity Mexico Holdings,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Acuity Trading (Shanghai) Co. Ltd.</w:t>
            </w:r>
          </w:p>
        </w:tc>
        <w:tc>
          <w:tcPr>
            <w:tcW w:w="336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Amerillum, LLC</w:t>
            </w:r>
          </w:p>
        </w:tc>
        <w:tc>
          <w:tcPr>
            <w:tcW w:w="33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Arizona (Tianjin) Electronics Products Trade Co., Ltd</w:t>
            </w:r>
          </w:p>
        </w:tc>
        <w:tc>
          <w:tcPr>
            <w:tcW w:w="336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Arizona Trading Company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Castlight de Mexico, S.A. de C.V.</w:t>
            </w:r>
          </w:p>
        </w:tc>
        <w:tc>
          <w:tcPr>
            <w:tcW w:w="33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Distech Controls Inc.</w:t>
            </w:r>
          </w:p>
        </w:tc>
        <w:tc>
          <w:tcPr>
            <w:tcW w:w="336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Distech Controls Energy Services (Canada) Inc.</w:t>
            </w:r>
          </w:p>
        </w:tc>
        <w:tc>
          <w:tcPr>
            <w:tcW w:w="3360" w:type="dxa"/>
            <w:vAlign w:val="bottom"/>
          </w:tcPr>
          <w:p>
            <w:pPr>
              <w:ind w:left="20"/>
              <w:spacing w:after="0"/>
              <w:rPr>
                <w:sz w:val="20"/>
                <w:szCs w:val="20"/>
                <w:color w:val="auto"/>
              </w:rPr>
            </w:pPr>
            <w:r>
              <w:rPr>
                <w:rFonts w:ascii="Arial" w:cs="Arial" w:eastAsia="Arial" w:hAnsi="Arial"/>
                <w:sz w:val="18"/>
                <w:szCs w:val="18"/>
                <w:color w:val="auto"/>
              </w:rPr>
              <w:t>Quebec, Canada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Distech Controls Energy Services, Inc.</w:t>
            </w:r>
          </w:p>
        </w:tc>
        <w:tc>
          <w:tcPr>
            <w:tcW w:w="33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Distech Controls Facility Solutions Inc.</w:t>
            </w:r>
          </w:p>
        </w:tc>
        <w:tc>
          <w:tcPr>
            <w:tcW w:w="336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Distech Controls SAS</w:t>
            </w:r>
          </w:p>
        </w:tc>
        <w:tc>
          <w:tcPr>
            <w:tcW w:w="33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eldoLAB Holding B.V.</w:t>
            </w:r>
          </w:p>
        </w:tc>
        <w:tc>
          <w:tcPr>
            <w:tcW w:w="3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eldoLED B.V.</w:t>
            </w:r>
          </w:p>
        </w:tc>
        <w:tc>
          <w:tcPr>
            <w:tcW w:w="3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EXY Poland sp. z o.o.</w:t>
            </w:r>
          </w:p>
        </w:tc>
        <w:tc>
          <w:tcPr>
            <w:tcW w:w="336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Holophane S.A. de C.V.</w:t>
            </w:r>
          </w:p>
        </w:tc>
        <w:tc>
          <w:tcPr>
            <w:tcW w:w="33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Holophane Europe Ltd.</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Holophane Lighting Ltd.</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HSA Acquisition Company, LLC</w:t>
            </w:r>
          </w:p>
        </w:tc>
        <w:tc>
          <w:tcPr>
            <w:tcW w:w="33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ID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Isle of Man</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KE2 Connect, LLC</w:t>
            </w:r>
          </w:p>
        </w:tc>
        <w:tc>
          <w:tcPr>
            <w:tcW w:w="3360" w:type="dxa"/>
            <w:vAlign w:val="bottom"/>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Luminaire LED,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Luxfab Ltd</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LLC</w:t>
            </w:r>
          </w:p>
        </w:tc>
        <w:tc>
          <w:tcPr>
            <w:tcW w:w="33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QSC APAC Private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Asia,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Capital, LLC</w:t>
            </w:r>
          </w:p>
        </w:tc>
        <w:tc>
          <w:tcPr>
            <w:tcW w:w="33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EMEA GmbH</w:t>
            </w:r>
          </w:p>
        </w:tc>
        <w:tc>
          <w:tcPr>
            <w:tcW w:w="33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QSC India Private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MEA DMCC</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QSC Netherlands B.V.</w:t>
            </w:r>
          </w:p>
        </w:tc>
        <w:tc>
          <w:tcPr>
            <w:tcW w:w="3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QSC UK &amp; Ireland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Q SYS Middle East Electronics Trading L.L.C.</w:t>
            </w:r>
          </w:p>
        </w:tc>
        <w:tc>
          <w:tcPr>
            <w:tcW w:w="336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Rockpile Ventures,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Seervision GmbH</w:t>
            </w:r>
          </w:p>
        </w:tc>
        <w:tc>
          <w:tcPr>
            <w:tcW w:w="33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Seervision Hellas Mon IKE</w:t>
            </w:r>
          </w:p>
        </w:tc>
        <w:tc>
          <w:tcPr>
            <w:tcW w:w="336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39"/>
        </w:trPr>
        <w:tc>
          <w:tcPr>
            <w:tcW w:w="5780" w:type="dxa"/>
            <w:vAlign w:val="bottom"/>
            <w:gridSpan w:val="2"/>
          </w:tcPr>
          <w:p>
            <w:pPr>
              <w:spacing w:after="0"/>
              <w:rPr>
                <w:sz w:val="20"/>
                <w:szCs w:val="20"/>
                <w:color w:val="auto"/>
              </w:rPr>
            </w:pPr>
            <w:r>
              <w:rPr>
                <w:rFonts w:ascii="Arial" w:cs="Arial" w:eastAsia="Arial" w:hAnsi="Arial"/>
                <w:sz w:val="18"/>
                <w:szCs w:val="18"/>
                <w:color w:val="auto"/>
              </w:rPr>
              <w:t>The Luminaires Group U.S.A.,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719"/>
          </w:cols>
          <w:pgMar w:left="740" w:top="61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ectPr>
          <w:pgSz w:w="11900" w:h="16838" w:orient="portrait"/>
          <w:cols w:equalWidth="0" w:num="1">
            <w:col w:w="11240"/>
          </w:cols>
          <w:pgMar w:left="320" w:top="121" w:right="33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(Form S-3 No. 333-275184) of Acuity Inc., Acuity Brands Lighting, Inc., and ABL IP Holding LLC,</w:t>
      </w:r>
    </w:p>
    <w:p>
      <w:pPr>
        <w:spacing w:after="0" w:line="18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p>
      <w:pPr>
        <w:spacing w:after="0" w:line="1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and Acuity Brands, Inc. 2001 Nonemployee Directors’ Stock Option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(Form S-8 No. 333-123999) pertaining to the Acuity Brands, Inc. 401(k) Plan,</w:t>
      </w:r>
    </w:p>
    <w:p>
      <w:pPr>
        <w:spacing w:after="0" w:line="63" w:lineRule="exact"/>
        <w:rPr>
          <w:sz w:val="20"/>
          <w:szCs w:val="20"/>
          <w:color w:val="auto"/>
        </w:rPr>
      </w:pPr>
    </w:p>
    <w:p>
      <w:pPr>
        <w:sectPr>
          <w:pgSz w:w="11900" w:h="16838" w:orient="portrait"/>
          <w:cols w:equalWidth="0" w:num="2">
            <w:col w:w="340" w:space="260"/>
            <w:col w:w="10640"/>
          </w:cols>
          <w:pgMar w:left="320" w:top="121" w:right="339" w:bottom="1440" w:gutter="0" w:footer="0" w:header="0"/>
          <w:type w:val="continuous"/>
        </w:sectPr>
      </w:pPr>
    </w:p>
    <w:p>
      <w:pPr>
        <w:ind w:left="600" w:right="160" w:hanging="479"/>
        <w:spacing w:after="0" w:line="27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and Acuity Brands, Inc. Nonemployee Director Deferred Compensation Plan (as amended and restated),</w:t>
      </w:r>
    </w:p>
    <w:p>
      <w:pPr>
        <w:spacing w:after="0" w:line="15" w:lineRule="exact"/>
        <w:rPr>
          <w:rFonts w:ascii="Arial" w:cs="Arial" w:eastAsia="Arial" w:hAnsi="Arial"/>
          <w:sz w:val="18"/>
          <w:szCs w:val="18"/>
          <w:color w:val="auto"/>
        </w:rPr>
      </w:pPr>
    </w:p>
    <w:p>
      <w:pPr>
        <w:ind w:left="600" w:right="1180" w:hanging="479"/>
        <w:spacing w:after="0" w:line="27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w:t>
      </w:r>
    </w:p>
    <w:p>
      <w:pPr>
        <w:spacing w:after="0" w:line="15" w:lineRule="exact"/>
        <w:rPr>
          <w:rFonts w:ascii="Arial" w:cs="Arial" w:eastAsia="Arial" w:hAnsi="Arial"/>
          <w:sz w:val="18"/>
          <w:szCs w:val="18"/>
          <w:color w:val="auto"/>
        </w:rPr>
      </w:pPr>
    </w:p>
    <w:p>
      <w:pPr>
        <w:ind w:left="600" w:right="500" w:hanging="479"/>
        <w:spacing w:after="0" w:line="27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15" w:lineRule="exact"/>
        <w:rPr>
          <w:rFonts w:ascii="Arial" w:cs="Arial" w:eastAsia="Arial" w:hAnsi="Arial"/>
          <w:sz w:val="18"/>
          <w:szCs w:val="18"/>
          <w:color w:val="auto"/>
        </w:rPr>
      </w:pPr>
    </w:p>
    <w:p>
      <w:pPr>
        <w:ind w:left="600" w:right="120" w:hanging="479"/>
        <w:spacing w:after="0" w:line="266"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Amended and Restated Acuity Brands, Inc. 2011 Nonemployee Director Deferred Compensation Plan, and the Amended and Restated Acuity Brands, Inc. 2012 Omnibus Stock Incentive Compensation Plan, and</w:t>
      </w:r>
    </w:p>
    <w:p>
      <w:pPr>
        <w:spacing w:after="0" w:line="13" w:lineRule="exact"/>
        <w:rPr>
          <w:rFonts w:ascii="Arial" w:cs="Arial" w:eastAsia="Arial" w:hAnsi="Arial"/>
          <w:sz w:val="18"/>
          <w:szCs w:val="18"/>
          <w:color w:val="auto"/>
        </w:rPr>
      </w:pPr>
    </w:p>
    <w:p>
      <w:pPr>
        <w:ind w:left="600" w:right="460" w:hanging="479"/>
        <w:spacing w:after="0" w:line="287"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333-262426) pertaining to the. Amended and Restated Acuity Brands, Inc. 2012 Omnibus Stock Incentive Compensation Plan;</w:t>
      </w:r>
    </w:p>
    <w:p>
      <w:pPr>
        <w:spacing w:after="0" w:line="180"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of our reports dated October 27, 2025, with respect to the consolidated financial statements of Acuity Inc. and the effectiveness of internal control over financial reporting of Acuity Inc. included in this Annual Report (Form 10-K) of Acuity Inc. for the year ended August 31, 2025.</w:t>
      </w:r>
    </w:p>
    <w:p>
      <w:pPr>
        <w:spacing w:after="0" w:line="200" w:lineRule="exact"/>
        <w:rPr>
          <w:sz w:val="20"/>
          <w:szCs w:val="20"/>
          <w:color w:val="auto"/>
        </w:rPr>
      </w:pPr>
    </w:p>
    <w:p>
      <w:pPr>
        <w:spacing w:after="0" w:line="33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Atlanta, Georgia</w:t>
      </w:r>
    </w:p>
    <w:p>
      <w:pPr>
        <w:spacing w:after="0" w:line="2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October 27, 2025</w:t>
      </w:r>
    </w:p>
    <w:p>
      <w:pPr>
        <w:sectPr>
          <w:pgSz w:w="11900" w:h="16838" w:orient="portrait"/>
          <w:cols w:equalWidth="0" w:num="1">
            <w:col w:w="11240"/>
          </w:cols>
          <w:pgMar w:left="320" w:top="12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Marcia J. Avedon,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903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4">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Marcia J. Avedon, Ph.D.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986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5">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 Patrick Battle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48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6">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Michael J. Bender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446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7">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 Douglas Dillard, Jr.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938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8">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James H. Hance, Jr.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Maya Leibman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41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9">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Maya Leibman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176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0">
                      <a:extLst>
                        <a:ext uri="{28A0092B-C50C-407E-A947-70E740481C1C}"/>
                      </a:extLst>
                    </a:blip>
                    <a:srcRect/>
                    <a:stretch>
                      <a:fillRect/>
                    </a:stretch>
                  </pic:blipFill>
                  <pic:spPr bwMode="auto">
                    <a:xfrm>
                      <a:off x="0" y="0"/>
                      <a:ext cx="17176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 G. O'Shaughnessy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Inc., to file a registrant's annual report on Form 10-K for the fiscal year ended August 31, 2025,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Mark J. Sachleben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065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1">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Mark J. Sachleben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2025</w:t>
      </w:r>
    </w:p>
    <w:p>
      <w:pPr>
        <w:sectPr>
          <w:pgSz w:w="11900" w:h="16838" w:orient="portrait"/>
          <w:cols w:equalWidth="0" w:num="1">
            <w:col w:w="11240"/>
          </w:cols>
          <w:pgMar w:left="320" w:top="141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Annual Report on Form 10-K of Acuity Inc. (the “Corporation”) for the year ended August 31, 2025,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Annual Report on Form 10-K of Acuity Inc. (the “Corporation”) for the year ended August 31, 2025,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9" w:name="page130"/>
    <w:bookmarkEnd w:id="12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8058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122680" cy="8058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97</w:t>
      </w:r>
    </w:p>
    <w:p>
      <w:pPr>
        <w:spacing w:after="0" w:line="11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Acuity Inc.</w:t>
      </w:r>
    </w:p>
    <w:p>
      <w:pPr>
        <w:spacing w:after="0" w:line="7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Incentive-Based Compensation Recoupment</w:t>
      </w:r>
    </w:p>
    <w:p>
      <w:pPr>
        <w:spacing w:after="0" w:line="1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Policy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(As Amended and Restated Effective as of March 26, 2025)</w:t>
      </w:r>
    </w:p>
    <w:p>
      <w:pPr>
        <w:spacing w:after="0" w:line="200" w:lineRule="exact"/>
        <w:rPr>
          <w:sz w:val="20"/>
          <w:szCs w:val="20"/>
          <w:color w:val="auto"/>
        </w:rPr>
      </w:pPr>
    </w:p>
    <w:p>
      <w:pPr>
        <w:spacing w:after="0" w:line="283" w:lineRule="exact"/>
        <w:rPr>
          <w:sz w:val="20"/>
          <w:szCs w:val="20"/>
          <w:color w:val="auto"/>
        </w:rPr>
      </w:pPr>
    </w:p>
    <w:p>
      <w:pPr>
        <w:ind w:left="140" w:right="260"/>
        <w:spacing w:after="0" w:line="272" w:lineRule="auto"/>
        <w:rPr>
          <w:sz w:val="20"/>
          <w:szCs w:val="20"/>
          <w:color w:val="auto"/>
        </w:rPr>
      </w:pPr>
      <w:r>
        <w:rPr>
          <w:rFonts w:ascii="Arial" w:cs="Arial" w:eastAsia="Arial" w:hAnsi="Arial"/>
          <w:sz w:val="22"/>
          <w:szCs w:val="22"/>
          <w:color w:val="7F7F7F"/>
        </w:rPr>
        <w:t>Acuity Inc. (the “Company”), by action of its Board of Directors, has adopted this amended and restated incentive-based compensation recoupment policy (this “Policy”).</w:t>
      </w:r>
    </w:p>
    <w:p>
      <w:pPr>
        <w:spacing w:after="0" w:line="183" w:lineRule="exact"/>
        <w:rPr>
          <w:sz w:val="20"/>
          <w:szCs w:val="20"/>
          <w:color w:val="auto"/>
        </w:rPr>
      </w:pPr>
    </w:p>
    <w:p>
      <w:pPr>
        <w:jc w:val="both"/>
        <w:ind w:left="460" w:right="420" w:hanging="315"/>
        <w:spacing w:after="0" w:line="257" w:lineRule="auto"/>
        <w:tabs>
          <w:tab w:leader="none" w:pos="451" w:val="left"/>
        </w:tabs>
        <w:numPr>
          <w:ilvl w:val="0"/>
          <w:numId w:val="51"/>
        </w:numPr>
        <w:rPr>
          <w:rFonts w:ascii="Arial" w:cs="Arial" w:eastAsia="Arial" w:hAnsi="Arial"/>
          <w:sz w:val="22"/>
          <w:szCs w:val="22"/>
          <w:color w:val="7F7F7F"/>
        </w:rPr>
      </w:pPr>
      <w:r>
        <w:rPr>
          <w:rFonts w:ascii="Arial" w:cs="Arial" w:eastAsia="Arial" w:hAnsi="Arial"/>
          <w:sz w:val="22"/>
          <w:szCs w:val="22"/>
          <w:color w:val="7F7F7F"/>
        </w:rPr>
        <w:t>Mandatory Recovery. If the Company is required to prepare an Accounting Restatement, the Company shall recover reasonably promptly from current or former Covered Officers, as described in this Policy, the amount of Erroneously Awarded Compensation.</w:t>
      </w:r>
    </w:p>
    <w:p>
      <w:pPr>
        <w:spacing w:after="0" w:line="199" w:lineRule="exact"/>
        <w:rPr>
          <w:rFonts w:ascii="Arial" w:cs="Arial" w:eastAsia="Arial" w:hAnsi="Arial"/>
          <w:sz w:val="22"/>
          <w:szCs w:val="22"/>
          <w:color w:val="7F7F7F"/>
        </w:rPr>
      </w:pPr>
    </w:p>
    <w:p>
      <w:pPr>
        <w:ind w:left="460" w:right="240" w:hanging="315"/>
        <w:spacing w:after="0" w:line="247" w:lineRule="auto"/>
        <w:tabs>
          <w:tab w:leader="none" w:pos="451" w:val="left"/>
        </w:tabs>
        <w:numPr>
          <w:ilvl w:val="0"/>
          <w:numId w:val="51"/>
        </w:numPr>
        <w:rPr>
          <w:rFonts w:ascii="Arial" w:cs="Arial" w:eastAsia="Arial" w:hAnsi="Arial"/>
          <w:sz w:val="22"/>
          <w:szCs w:val="22"/>
          <w:color w:val="7F7F7F"/>
        </w:rPr>
      </w:pPr>
      <w:r>
        <w:rPr>
          <w:rFonts w:ascii="Arial" w:cs="Arial" w:eastAsia="Arial" w:hAnsi="Arial"/>
          <w:sz w:val="22"/>
          <w:szCs w:val="22"/>
          <w:color w:val="7F7F7F"/>
        </w:rPr>
        <w:t>Other Recovery. If the Company is required to prepare an Accounting Restatement, the Company may, at the discretion of the Committee, recover from any one or more individuals who report directly to a Covered Officer (each such individual to whom the Committee applies this Section 2, a “Direct Report”) all or a portion of the amount of Incentive Compensation that would be considered Erroneously Awarded Compensation if the Direct Report was a Covered Officer, determined by substituting the term “Direct Report” for the term “Covered Officer” in Section 3(e) below. If the Committee decides to recover any amount of Incentive Compensation from a Direct Report, then such amount shall be considered “Erroneously Awarded Compensation” for purposes of this Policy.</w:t>
      </w:r>
    </w:p>
    <w:p>
      <w:pPr>
        <w:spacing w:after="0" w:line="225" w:lineRule="exact"/>
        <w:rPr>
          <w:rFonts w:ascii="Arial" w:cs="Arial" w:eastAsia="Arial" w:hAnsi="Arial"/>
          <w:sz w:val="22"/>
          <w:szCs w:val="22"/>
          <w:color w:val="7F7F7F"/>
        </w:rPr>
      </w:pPr>
    </w:p>
    <w:p>
      <w:pPr>
        <w:ind w:left="460" w:right="200" w:hanging="315"/>
        <w:spacing w:after="0" w:line="272" w:lineRule="auto"/>
        <w:tabs>
          <w:tab w:leader="none" w:pos="451" w:val="left"/>
        </w:tabs>
        <w:numPr>
          <w:ilvl w:val="0"/>
          <w:numId w:val="51"/>
        </w:numPr>
        <w:rPr>
          <w:rFonts w:ascii="Arial" w:cs="Arial" w:eastAsia="Arial" w:hAnsi="Arial"/>
          <w:sz w:val="22"/>
          <w:szCs w:val="22"/>
          <w:color w:val="7F7F7F"/>
        </w:rPr>
      </w:pPr>
      <w:r>
        <w:rPr>
          <w:rFonts w:ascii="Arial" w:cs="Arial" w:eastAsia="Arial" w:hAnsi="Arial"/>
          <w:sz w:val="22"/>
          <w:szCs w:val="22"/>
          <w:color w:val="7F7F7F"/>
        </w:rPr>
        <w:t>Definitions. For purposes of this Policy, the following terms, when capitalized, shall have the meanings set forth below:</w:t>
      </w:r>
    </w:p>
    <w:p>
      <w:pPr>
        <w:spacing w:after="0" w:line="182" w:lineRule="exact"/>
        <w:rPr>
          <w:rFonts w:ascii="Arial" w:cs="Arial" w:eastAsia="Arial" w:hAnsi="Arial"/>
          <w:sz w:val="22"/>
          <w:szCs w:val="22"/>
          <w:color w:val="7F7F7F"/>
        </w:rPr>
      </w:pPr>
    </w:p>
    <w:p>
      <w:pPr>
        <w:ind w:left="760" w:right="600" w:hanging="312"/>
        <w:spacing w:after="0" w:line="253" w:lineRule="auto"/>
        <w:tabs>
          <w:tab w:leader="none" w:pos="750" w:val="left"/>
        </w:tabs>
        <w:numPr>
          <w:ilvl w:val="1"/>
          <w:numId w:val="51"/>
        </w:numPr>
        <w:rPr>
          <w:rFonts w:ascii="Arial" w:cs="Arial" w:eastAsia="Arial" w:hAnsi="Arial"/>
          <w:sz w:val="20"/>
          <w:szCs w:val="20"/>
          <w:color w:val="7F7F7F"/>
        </w:rPr>
      </w:pPr>
      <w:r>
        <w:rPr>
          <w:rFonts w:ascii="Arial" w:cs="Arial" w:eastAsia="Arial" w:hAnsi="Arial"/>
          <w:sz w:val="22"/>
          <w:szCs w:val="22"/>
          <w:color w:val="7F7F7F"/>
        </w:rPr>
        <w:t>“Accounting Restatement” 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5" w:lineRule="exact"/>
        <w:rPr>
          <w:rFonts w:ascii="Arial" w:cs="Arial" w:eastAsia="Arial" w:hAnsi="Arial"/>
          <w:sz w:val="20"/>
          <w:szCs w:val="20"/>
          <w:color w:val="7F7F7F"/>
        </w:rPr>
      </w:pPr>
    </w:p>
    <w:p>
      <w:pPr>
        <w:ind w:left="760" w:right="740" w:hanging="312"/>
        <w:spacing w:after="0" w:line="257" w:lineRule="auto"/>
        <w:tabs>
          <w:tab w:leader="none" w:pos="750" w:val="left"/>
        </w:tabs>
        <w:numPr>
          <w:ilvl w:val="1"/>
          <w:numId w:val="51"/>
        </w:numPr>
        <w:rPr>
          <w:rFonts w:ascii="Arial" w:cs="Arial" w:eastAsia="Arial" w:hAnsi="Arial"/>
          <w:sz w:val="20"/>
          <w:szCs w:val="20"/>
          <w:color w:val="7F7F7F"/>
        </w:rPr>
      </w:pPr>
      <w:r>
        <w:rPr>
          <w:rFonts w:ascii="Arial" w:cs="Arial" w:eastAsia="Arial" w:hAnsi="Arial"/>
          <w:sz w:val="22"/>
          <w:szCs w:val="22"/>
          <w:color w:val="7F7F7F"/>
        </w:rPr>
        <w:t>“Committee” shall mean the Compensation and Management Development Committee of the Board of Directors of the Company, or another committee of independent directors designated by the Board of Directors.</w:t>
      </w:r>
    </w:p>
    <w:p>
      <w:pPr>
        <w:spacing w:after="0" w:line="199" w:lineRule="exact"/>
        <w:rPr>
          <w:rFonts w:ascii="Arial" w:cs="Arial" w:eastAsia="Arial" w:hAnsi="Arial"/>
          <w:sz w:val="20"/>
          <w:szCs w:val="20"/>
          <w:color w:val="7F7F7F"/>
        </w:rPr>
      </w:pPr>
    </w:p>
    <w:p>
      <w:pPr>
        <w:ind w:left="760" w:right="740" w:hanging="312"/>
        <w:spacing w:after="0" w:line="257" w:lineRule="auto"/>
        <w:tabs>
          <w:tab w:leader="none" w:pos="752" w:val="left"/>
        </w:tabs>
        <w:numPr>
          <w:ilvl w:val="1"/>
          <w:numId w:val="51"/>
        </w:numPr>
        <w:rPr>
          <w:rFonts w:ascii="Arial" w:cs="Arial" w:eastAsia="Arial" w:hAnsi="Arial"/>
          <w:sz w:val="20"/>
          <w:szCs w:val="20"/>
          <w:color w:val="7F7F7F"/>
        </w:rPr>
      </w:pPr>
      <w:r>
        <w:rPr>
          <w:rFonts w:ascii="Arial" w:cs="Arial" w:eastAsia="Arial" w:hAnsi="Arial"/>
          <w:sz w:val="22"/>
          <w:szCs w:val="22"/>
          <w:color w:val="7F7F7F"/>
        </w:rPr>
        <w:t>“Covered Officer”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20"/>
          <w:szCs w:val="20"/>
          <w:color w:val="auto"/>
        </w:rPr>
        <w:t>Effective 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8464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8058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122680" cy="805815"/>
                    </a:xfrm>
                    <a:prstGeom prst="rect">
                      <a:avLst/>
                    </a:prstGeom>
                    <a:noFill/>
                  </pic:spPr>
                </pic:pic>
              </a:graphicData>
            </a:graphic>
          </wp:anchor>
        </w:drawing>
      </w:r>
    </w:p>
    <w:p>
      <w:pPr>
        <w:ind w:left="10180"/>
        <w:spacing w:after="0"/>
        <w:rPr>
          <w:sz w:val="20"/>
          <w:szCs w:val="20"/>
          <w:color w:val="auto"/>
        </w:rPr>
      </w:pPr>
      <w:r>
        <w:rPr>
          <w:rFonts w:ascii="Arial" w:cs="Arial" w:eastAsia="Arial" w:hAnsi="Arial"/>
          <w:sz w:val="21"/>
          <w:szCs w:val="21"/>
          <w:b w:val="1"/>
          <w:bCs w:val="1"/>
          <w:color w:val="auto"/>
        </w:rPr>
        <w:t>Exhibit 97</w:t>
      </w:r>
    </w:p>
    <w:p>
      <w:pPr>
        <w:spacing w:after="0" w:line="139" w:lineRule="exact"/>
        <w:rPr>
          <w:sz w:val="20"/>
          <w:szCs w:val="20"/>
          <w:color w:val="auto"/>
        </w:rPr>
      </w:pPr>
    </w:p>
    <w:p>
      <w:pPr>
        <w:ind w:left="720" w:right="660"/>
        <w:spacing w:after="0" w:line="272" w:lineRule="auto"/>
        <w:rPr>
          <w:sz w:val="20"/>
          <w:szCs w:val="20"/>
          <w:color w:val="auto"/>
        </w:rPr>
      </w:pPr>
      <w:r>
        <w:rPr>
          <w:rFonts w:ascii="Arial" w:cs="Arial" w:eastAsia="Arial" w:hAnsi="Arial"/>
          <w:sz w:val="22"/>
          <w:szCs w:val="22"/>
          <w:color w:val="7F7F7F"/>
        </w:rPr>
        <w:t>policy-making function; or any other person who performs similar significant policy-making functions for the Company.</w:t>
      </w:r>
    </w:p>
    <w:p>
      <w:pPr>
        <w:spacing w:after="0" w:line="200" w:lineRule="exact"/>
        <w:rPr>
          <w:sz w:val="20"/>
          <w:szCs w:val="20"/>
          <w:color w:val="auto"/>
        </w:rPr>
      </w:pPr>
    </w:p>
    <w:p>
      <w:pPr>
        <w:spacing w:after="0" w:line="226" w:lineRule="exact"/>
        <w:rPr>
          <w:sz w:val="20"/>
          <w:szCs w:val="20"/>
          <w:color w:val="auto"/>
        </w:rPr>
      </w:pPr>
    </w:p>
    <w:p>
      <w:pPr>
        <w:ind w:left="700" w:hanging="292"/>
        <w:spacing w:after="0"/>
        <w:tabs>
          <w:tab w:leader="none" w:pos="700" w:val="left"/>
        </w:tabs>
        <w:numPr>
          <w:ilvl w:val="0"/>
          <w:numId w:val="52"/>
        </w:numPr>
        <w:rPr>
          <w:rFonts w:ascii="Arial" w:cs="Arial" w:eastAsia="Arial" w:hAnsi="Arial"/>
          <w:sz w:val="20"/>
          <w:szCs w:val="20"/>
          <w:color w:val="7F7F7F"/>
        </w:rPr>
      </w:pPr>
      <w:r>
        <w:rPr>
          <w:rFonts w:ascii="Arial" w:cs="Arial" w:eastAsia="Arial" w:hAnsi="Arial"/>
          <w:sz w:val="22"/>
          <w:szCs w:val="22"/>
          <w:color w:val="7F7F7F"/>
        </w:rPr>
        <w:t>“Effective Date” shall mean the effective date of Section 303A.14 of the NYSE Listed Company Manual.</w:t>
      </w:r>
    </w:p>
    <w:p>
      <w:pPr>
        <w:spacing w:after="0" w:line="260" w:lineRule="exact"/>
        <w:rPr>
          <w:rFonts w:ascii="Arial" w:cs="Arial" w:eastAsia="Arial" w:hAnsi="Arial"/>
          <w:sz w:val="20"/>
          <w:szCs w:val="20"/>
          <w:color w:val="7F7F7F"/>
        </w:rPr>
      </w:pPr>
    </w:p>
    <w:p>
      <w:pPr>
        <w:ind w:left="720" w:right="480" w:hanging="312"/>
        <w:spacing w:after="0" w:line="265" w:lineRule="auto"/>
        <w:tabs>
          <w:tab w:leader="none" w:pos="710" w:val="left"/>
        </w:tabs>
        <w:numPr>
          <w:ilvl w:val="0"/>
          <w:numId w:val="52"/>
        </w:numPr>
        <w:rPr>
          <w:rFonts w:ascii="Arial" w:cs="Arial" w:eastAsia="Arial" w:hAnsi="Arial"/>
          <w:sz w:val="19"/>
          <w:szCs w:val="19"/>
          <w:color w:val="7F7F7F"/>
        </w:rPr>
      </w:pPr>
      <w:r>
        <w:rPr>
          <w:rFonts w:ascii="Arial" w:cs="Arial" w:eastAsia="Arial" w:hAnsi="Arial"/>
          <w:sz w:val="21"/>
          <w:szCs w:val="21"/>
          <w:color w:val="7F7F7F"/>
        </w:rPr>
        <w:t>“Erroneously Awarded Compensation”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p>
      <w:pPr>
        <w:spacing w:after="0" w:line="192" w:lineRule="exact"/>
        <w:rPr>
          <w:rFonts w:ascii="Arial" w:cs="Arial" w:eastAsia="Arial" w:hAnsi="Arial"/>
          <w:sz w:val="19"/>
          <w:szCs w:val="19"/>
          <w:color w:val="7F7F7F"/>
        </w:rPr>
      </w:pPr>
    </w:p>
    <w:p>
      <w:pPr>
        <w:ind w:left="720" w:right="440" w:hanging="312"/>
        <w:spacing w:after="0" w:line="247" w:lineRule="auto"/>
        <w:tabs>
          <w:tab w:leader="none" w:pos="709" w:val="left"/>
        </w:tabs>
        <w:numPr>
          <w:ilvl w:val="0"/>
          <w:numId w:val="52"/>
        </w:numPr>
        <w:rPr>
          <w:rFonts w:ascii="Arial" w:cs="Arial" w:eastAsia="Arial" w:hAnsi="Arial"/>
          <w:sz w:val="20"/>
          <w:szCs w:val="20"/>
          <w:color w:val="7F7F7F"/>
        </w:rPr>
      </w:pPr>
      <w:r>
        <w:rPr>
          <w:rFonts w:ascii="Arial" w:cs="Arial" w:eastAsia="Arial" w:hAnsi="Arial"/>
          <w:sz w:val="22"/>
          <w:szCs w:val="22"/>
          <w:color w:val="7F7F7F"/>
        </w:rPr>
        <w:t>“Incentive-Based Compensation”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Exchange Commission. Each of stock 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or attaining one or more non-financial reporting measures.</w:t>
      </w:r>
    </w:p>
    <w:p>
      <w:pPr>
        <w:spacing w:after="0" w:line="214" w:lineRule="exact"/>
        <w:rPr>
          <w:rFonts w:ascii="Arial" w:cs="Arial" w:eastAsia="Arial" w:hAnsi="Arial"/>
          <w:sz w:val="20"/>
          <w:szCs w:val="20"/>
          <w:color w:val="7F7F7F"/>
        </w:rPr>
      </w:pPr>
    </w:p>
    <w:p>
      <w:pPr>
        <w:ind w:left="720" w:right="500" w:hanging="312"/>
        <w:spacing w:after="0" w:line="246" w:lineRule="auto"/>
        <w:tabs>
          <w:tab w:leader="none" w:pos="710" w:val="left"/>
        </w:tabs>
        <w:numPr>
          <w:ilvl w:val="0"/>
          <w:numId w:val="52"/>
        </w:numPr>
        <w:rPr>
          <w:rFonts w:ascii="Arial" w:cs="Arial" w:eastAsia="Arial" w:hAnsi="Arial"/>
          <w:sz w:val="20"/>
          <w:szCs w:val="20"/>
          <w:color w:val="7F7F7F"/>
        </w:rPr>
      </w:pPr>
      <w:r>
        <w:rPr>
          <w:rFonts w:ascii="Arial" w:cs="Arial" w:eastAsia="Arial" w:hAnsi="Arial"/>
          <w:sz w:val="22"/>
          <w:szCs w:val="22"/>
          <w:color w:val="7F7F7F"/>
        </w:rPr>
        <w:t>“Recalculated Compensation”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 documentation to the national securities exchange or association on which its securities are listed.</w:t>
      </w:r>
    </w:p>
    <w:p>
      <w:pPr>
        <w:spacing w:after="0" w:line="5" w:lineRule="exact"/>
        <w:rPr>
          <w:rFonts w:ascii="Arial" w:cs="Arial" w:eastAsia="Arial" w:hAnsi="Arial"/>
          <w:sz w:val="20"/>
          <w:szCs w:val="20"/>
          <w:color w:val="7F7F7F"/>
        </w:rPr>
      </w:pPr>
    </w:p>
    <w:p>
      <w:pPr>
        <w:ind w:left="720" w:right="760" w:hanging="312"/>
        <w:spacing w:after="0" w:line="253" w:lineRule="auto"/>
        <w:tabs>
          <w:tab w:leader="none" w:pos="710" w:val="left"/>
        </w:tabs>
        <w:numPr>
          <w:ilvl w:val="0"/>
          <w:numId w:val="52"/>
        </w:numPr>
        <w:rPr>
          <w:rFonts w:ascii="Arial" w:cs="Arial" w:eastAsia="Arial" w:hAnsi="Arial"/>
          <w:sz w:val="20"/>
          <w:szCs w:val="20"/>
          <w:color w:val="7F7F7F"/>
        </w:rPr>
      </w:pPr>
      <w:r>
        <w:rPr>
          <w:rFonts w:ascii="Arial" w:cs="Arial" w:eastAsia="Arial" w:hAnsi="Arial"/>
          <w:sz w:val="22"/>
          <w:szCs w:val="22"/>
          <w:color w:val="7F7F7F"/>
        </w:rPr>
        <w:t>Incentive-Based Compensation is deemed “Received” in the Company’s fiscal period during which the financial reporting measure specified in the award of such Incentive-</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58464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31" w:name="page132"/>
    <w:bookmarkEnd w:id="13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8058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122680" cy="805815"/>
                    </a:xfrm>
                    <a:prstGeom prst="rect">
                      <a:avLst/>
                    </a:prstGeom>
                    <a:noFill/>
                  </pic:spPr>
                </pic:pic>
              </a:graphicData>
            </a:graphic>
          </wp:anchor>
        </w:drawing>
      </w:r>
    </w:p>
    <w:p>
      <w:pPr>
        <w:ind w:left="10180"/>
        <w:spacing w:after="0"/>
        <w:rPr>
          <w:sz w:val="20"/>
          <w:szCs w:val="20"/>
          <w:color w:val="auto"/>
        </w:rPr>
      </w:pPr>
      <w:r>
        <w:rPr>
          <w:rFonts w:ascii="Arial" w:cs="Arial" w:eastAsia="Arial" w:hAnsi="Arial"/>
          <w:sz w:val="21"/>
          <w:szCs w:val="21"/>
          <w:b w:val="1"/>
          <w:bCs w:val="1"/>
          <w:color w:val="auto"/>
        </w:rPr>
        <w:t>Exhibit 97</w:t>
      </w:r>
    </w:p>
    <w:p>
      <w:pPr>
        <w:spacing w:after="0" w:line="139" w:lineRule="exact"/>
        <w:rPr>
          <w:sz w:val="20"/>
          <w:szCs w:val="20"/>
          <w:color w:val="auto"/>
        </w:rPr>
      </w:pPr>
    </w:p>
    <w:p>
      <w:pPr>
        <w:ind w:left="720" w:right="900"/>
        <w:spacing w:after="0" w:line="272" w:lineRule="auto"/>
        <w:rPr>
          <w:sz w:val="20"/>
          <w:szCs w:val="20"/>
          <w:color w:val="auto"/>
        </w:rPr>
      </w:pPr>
      <w:r>
        <w:rPr>
          <w:rFonts w:ascii="Arial" w:cs="Arial" w:eastAsia="Arial" w:hAnsi="Arial"/>
          <w:sz w:val="22"/>
          <w:szCs w:val="22"/>
          <w:color w:val="7F7F7F"/>
        </w:rPr>
        <w:t>Based Compensation is attained, even if the payment or grant of the Incentive-Based Compensation occurs after the end of that period.</w:t>
      </w:r>
    </w:p>
    <w:p>
      <w:pPr>
        <w:spacing w:after="0" w:line="183" w:lineRule="exact"/>
        <w:rPr>
          <w:sz w:val="20"/>
          <w:szCs w:val="20"/>
          <w:color w:val="auto"/>
        </w:rPr>
      </w:pPr>
    </w:p>
    <w:p>
      <w:pPr>
        <w:ind w:left="720" w:right="480" w:hanging="312"/>
        <w:spacing w:after="0" w:line="263" w:lineRule="auto"/>
        <w:tabs>
          <w:tab w:leader="none" w:pos="711" w:val="left"/>
        </w:tabs>
        <w:numPr>
          <w:ilvl w:val="1"/>
          <w:numId w:val="53"/>
        </w:numPr>
        <w:rPr>
          <w:rFonts w:ascii="Arial" w:cs="Arial" w:eastAsia="Arial" w:hAnsi="Arial"/>
          <w:sz w:val="19"/>
          <w:szCs w:val="19"/>
          <w:color w:val="7F7F7F"/>
        </w:rPr>
      </w:pPr>
      <w:r>
        <w:rPr>
          <w:rFonts w:ascii="Arial" w:cs="Arial" w:eastAsia="Arial" w:hAnsi="Arial"/>
          <w:sz w:val="21"/>
          <w:szCs w:val="21"/>
          <w:color w:val="7F7F7F"/>
        </w:rPr>
        <w:t>“Recovery Period”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w:t>
      </w:r>
    </w:p>
    <w:p>
      <w:pPr>
        <w:spacing w:after="0" w:line="1" w:lineRule="exact"/>
        <w:rPr>
          <w:rFonts w:ascii="Arial" w:cs="Arial" w:eastAsia="Arial" w:hAnsi="Arial"/>
          <w:sz w:val="19"/>
          <w:szCs w:val="19"/>
          <w:color w:val="7F7F7F"/>
        </w:rPr>
      </w:pPr>
    </w:p>
    <w:p>
      <w:pPr>
        <w:ind w:left="720" w:right="480"/>
        <w:spacing w:after="0" w:line="244" w:lineRule="auto"/>
        <w:rPr>
          <w:rFonts w:ascii="Arial" w:cs="Arial" w:eastAsia="Arial" w:hAnsi="Arial"/>
          <w:sz w:val="19"/>
          <w:szCs w:val="19"/>
          <w:color w:val="7F7F7F"/>
        </w:rPr>
      </w:pPr>
      <w:r>
        <w:rPr>
          <w:rFonts w:ascii="Arial" w:cs="Arial" w:eastAsia="Arial" w:hAnsi="Arial"/>
          <w:sz w:val="22"/>
          <w:szCs w:val="22"/>
          <w:color w:val="7F7F7F"/>
        </w:rPr>
        <w:t>(i)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twelve months, then such transition period shall instead be deemed one of the three completed fiscal years and shall not extend the length of the Recovery Period.</w:t>
      </w:r>
    </w:p>
    <w:p>
      <w:pPr>
        <w:spacing w:after="0" w:line="230" w:lineRule="exact"/>
        <w:rPr>
          <w:rFonts w:ascii="Arial" w:cs="Arial" w:eastAsia="Arial" w:hAnsi="Arial"/>
          <w:sz w:val="19"/>
          <w:szCs w:val="19"/>
          <w:color w:val="7F7F7F"/>
        </w:rPr>
      </w:pPr>
    </w:p>
    <w:p>
      <w:pPr>
        <w:ind w:left="420" w:right="160" w:hanging="315"/>
        <w:spacing w:after="0" w:line="250" w:lineRule="auto"/>
        <w:tabs>
          <w:tab w:leader="none" w:pos="411" w:val="left"/>
        </w:tabs>
        <w:numPr>
          <w:ilvl w:val="0"/>
          <w:numId w:val="54"/>
        </w:numPr>
        <w:rPr>
          <w:rFonts w:ascii="Arial" w:cs="Arial" w:eastAsia="Arial" w:hAnsi="Arial"/>
          <w:sz w:val="22"/>
          <w:szCs w:val="22"/>
          <w:color w:val="7F7F7F"/>
        </w:rPr>
      </w:pPr>
      <w:r>
        <w:rPr>
          <w:rFonts w:ascii="Arial" w:cs="Arial" w:eastAsia="Arial" w:hAnsi="Arial"/>
          <w:sz w:val="22"/>
          <w:szCs w:val="22"/>
          <w:color w:val="7F7F7F"/>
        </w:rPr>
        <w:t>Exceptions. Notwithstanding anything to the contrary in this Policy, recovery of Erroneously Awarded Compensation will not be required to the extent the Company’s committee of independent directors responsible for executive compensation decisions (or a majority of the independent directors on the Company’s board of directors in the absence of such a committee) has made a determination that such recovery would be impracticable and one of the following conditions have been satisfied:</w:t>
      </w:r>
    </w:p>
    <w:p>
      <w:pPr>
        <w:spacing w:after="0" w:line="221" w:lineRule="exact"/>
        <w:rPr>
          <w:rFonts w:ascii="Arial" w:cs="Arial" w:eastAsia="Arial" w:hAnsi="Arial"/>
          <w:sz w:val="22"/>
          <w:szCs w:val="22"/>
          <w:color w:val="7F7F7F"/>
        </w:rPr>
      </w:pPr>
    </w:p>
    <w:p>
      <w:pPr>
        <w:ind w:left="720" w:right="600" w:hanging="312"/>
        <w:spacing w:after="0" w:line="249" w:lineRule="auto"/>
        <w:tabs>
          <w:tab w:leader="none" w:pos="710" w:val="left"/>
        </w:tabs>
        <w:numPr>
          <w:ilvl w:val="1"/>
          <w:numId w:val="54"/>
        </w:numPr>
        <w:rPr>
          <w:rFonts w:ascii="Arial" w:cs="Arial" w:eastAsia="Arial" w:hAnsi="Arial"/>
          <w:sz w:val="20"/>
          <w:szCs w:val="20"/>
          <w:color w:val="7F7F7F"/>
        </w:rPr>
      </w:pPr>
      <w:r>
        <w:rPr>
          <w:rFonts w:ascii="Arial" w:cs="Arial" w:eastAsia="Arial" w:hAnsi="Arial"/>
          <w:sz w:val="22"/>
          <w:szCs w:val="22"/>
          <w:color w:val="7F7F7F"/>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spacing w:after="0" w:line="207" w:lineRule="exact"/>
        <w:rPr>
          <w:rFonts w:ascii="Arial" w:cs="Arial" w:eastAsia="Arial" w:hAnsi="Arial"/>
          <w:sz w:val="20"/>
          <w:szCs w:val="20"/>
          <w:color w:val="7F7F7F"/>
        </w:rPr>
      </w:pPr>
    </w:p>
    <w:p>
      <w:pPr>
        <w:ind w:left="720" w:right="440" w:hanging="312"/>
        <w:spacing w:after="0" w:line="265" w:lineRule="auto"/>
        <w:tabs>
          <w:tab w:leader="none" w:pos="710" w:val="left"/>
        </w:tabs>
        <w:numPr>
          <w:ilvl w:val="1"/>
          <w:numId w:val="54"/>
        </w:numPr>
        <w:rPr>
          <w:rFonts w:ascii="Arial" w:cs="Arial" w:eastAsia="Arial" w:hAnsi="Arial"/>
          <w:sz w:val="19"/>
          <w:szCs w:val="19"/>
          <w:color w:val="7F7F7F"/>
        </w:rPr>
      </w:pPr>
      <w:r>
        <w:rPr>
          <w:rFonts w:ascii="Arial" w:cs="Arial" w:eastAsia="Arial" w:hAnsi="Arial"/>
          <w:sz w:val="21"/>
          <w:szCs w:val="21"/>
          <w:color w:val="7F7F7F"/>
        </w:rPr>
        <w:t>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58464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32" w:name="page133"/>
    <w:bookmarkEnd w:id="13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8058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122680" cy="8058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97</w:t>
      </w:r>
    </w:p>
    <w:p>
      <w:pPr>
        <w:spacing w:after="0" w:line="127" w:lineRule="exact"/>
        <w:rPr>
          <w:sz w:val="20"/>
          <w:szCs w:val="20"/>
          <w:color w:val="auto"/>
        </w:rPr>
      </w:pPr>
    </w:p>
    <w:p>
      <w:pPr>
        <w:ind w:left="720" w:right="520" w:hanging="312"/>
        <w:spacing w:after="0" w:line="264" w:lineRule="auto"/>
        <w:tabs>
          <w:tab w:leader="none" w:pos="712" w:val="left"/>
        </w:tabs>
        <w:numPr>
          <w:ilvl w:val="1"/>
          <w:numId w:val="55"/>
        </w:numPr>
        <w:rPr>
          <w:rFonts w:ascii="Arial" w:cs="Arial" w:eastAsia="Arial" w:hAnsi="Arial"/>
          <w:sz w:val="20"/>
          <w:szCs w:val="20"/>
          <w:color w:val="7F7F7F"/>
        </w:rPr>
      </w:pPr>
      <w:r>
        <w:rPr>
          <w:rFonts w:ascii="Arial" w:cs="Arial" w:eastAsia="Arial" w:hAnsi="Arial"/>
          <w:sz w:val="22"/>
          <w:szCs w:val="22"/>
          <w:color w:val="7F7F7F"/>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91" w:lineRule="exact"/>
        <w:rPr>
          <w:rFonts w:ascii="Arial" w:cs="Arial" w:eastAsia="Arial" w:hAnsi="Arial"/>
          <w:sz w:val="20"/>
          <w:szCs w:val="20"/>
          <w:color w:val="7F7F7F"/>
        </w:rPr>
      </w:pPr>
    </w:p>
    <w:p>
      <w:pPr>
        <w:ind w:left="420" w:hanging="315"/>
        <w:spacing w:after="0" w:line="260" w:lineRule="auto"/>
        <w:tabs>
          <w:tab w:leader="none" w:pos="411" w:val="left"/>
        </w:tabs>
        <w:numPr>
          <w:ilvl w:val="0"/>
          <w:numId w:val="56"/>
        </w:numPr>
        <w:rPr>
          <w:rFonts w:ascii="Arial" w:cs="Arial" w:eastAsia="Arial" w:hAnsi="Arial"/>
          <w:sz w:val="21"/>
          <w:szCs w:val="21"/>
          <w:color w:val="7F7F7F"/>
        </w:rPr>
      </w:pPr>
      <w:r>
        <w:rPr>
          <w:rFonts w:ascii="Arial" w:cs="Arial" w:eastAsia="Arial" w:hAnsi="Arial"/>
          <w:sz w:val="21"/>
          <w:szCs w:val="21"/>
          <w:color w:val="7F7F7F"/>
        </w:rPr>
        <w:t>Manner of Recovery. In addition to any other actions permitted by law or contract, the Company may take any or all of the following actions to recover any Erroneously Awarded Compensation: (a) require the Covered Officer or Direct Report to repay such amount; (b) offset such amount from any other compensation owed by the Company or any of its affiliates to the Covered Officer or Direct Report, regardless of whether the contract or other documentation governing such other compensation specifically permits or specifically prohibits such offsets; and</w:t>
      </w:r>
    </w:p>
    <w:p>
      <w:pPr>
        <w:spacing w:after="0" w:line="1" w:lineRule="exact"/>
        <w:rPr>
          <w:rFonts w:ascii="Arial" w:cs="Arial" w:eastAsia="Arial" w:hAnsi="Arial"/>
          <w:sz w:val="21"/>
          <w:szCs w:val="21"/>
          <w:color w:val="7F7F7F"/>
        </w:rPr>
      </w:pPr>
    </w:p>
    <w:p>
      <w:pPr>
        <w:ind w:left="420" w:right="80"/>
        <w:spacing w:after="0" w:line="246" w:lineRule="auto"/>
        <w:rPr>
          <w:rFonts w:ascii="Arial" w:cs="Arial" w:eastAsia="Arial" w:hAnsi="Arial"/>
          <w:sz w:val="21"/>
          <w:szCs w:val="21"/>
          <w:color w:val="7F7F7F"/>
        </w:rPr>
      </w:pPr>
      <w:r>
        <w:rPr>
          <w:rFonts w:ascii="Arial" w:cs="Arial" w:eastAsia="Arial" w:hAnsi="Arial"/>
          <w:sz w:val="22"/>
          <w:szCs w:val="22"/>
          <w:color w:val="7F7F7F"/>
        </w:rPr>
        <w:t>(c) subject to Section 4(c), to the extent the Erroneously Awarded Compensation was deferred into a plan of deferred compensation, whether or not qualified, forfeit such amount (as well as the earnings on such amounts) from the Covered Officer’s or Direct Report’s balance in such plan, regardless of whether the plan specifically permits or specifically prohibits such forfeiture. If the Erroneously Awarded Compensation consists of shares of the Company’s common stock, and the Covered Officer or Direct Report still owns such shares, then the Company may satisfy its recovery obligations by requiring the Covered Officer or the Direct Report to transfer such shares back to the Company. Without limitation, to the extent appropriate and consistent with the requirements of applicable law and listing standards, as determined by the Committee in its sole and absolute discretion, the Company may elect to recover some or all Erroneously Awarded Compensation by means of a deferred payment plan that allows the Covered Officer to repay Erroneously Awarded Compensation as soon as possible without unreasonable economic hardship to the Covered Officer.</w:t>
      </w:r>
    </w:p>
    <w:p>
      <w:pPr>
        <w:spacing w:after="0" w:line="225" w:lineRule="exact"/>
        <w:rPr>
          <w:rFonts w:ascii="Arial" w:cs="Arial" w:eastAsia="Arial" w:hAnsi="Arial"/>
          <w:sz w:val="21"/>
          <w:szCs w:val="21"/>
          <w:color w:val="7F7F7F"/>
        </w:rPr>
      </w:pPr>
    </w:p>
    <w:p>
      <w:pPr>
        <w:ind w:left="420" w:hanging="315"/>
        <w:spacing w:after="0"/>
        <w:tabs>
          <w:tab w:leader="none" w:pos="420" w:val="left"/>
        </w:tabs>
        <w:numPr>
          <w:ilvl w:val="0"/>
          <w:numId w:val="56"/>
        </w:numPr>
        <w:rPr>
          <w:rFonts w:ascii="Arial" w:cs="Arial" w:eastAsia="Arial" w:hAnsi="Arial"/>
          <w:sz w:val="22"/>
          <w:szCs w:val="22"/>
          <w:color w:val="7F7F7F"/>
        </w:rPr>
      </w:pPr>
      <w:r>
        <w:rPr>
          <w:rFonts w:ascii="Arial" w:cs="Arial" w:eastAsia="Arial" w:hAnsi="Arial"/>
          <w:sz w:val="22"/>
          <w:szCs w:val="22"/>
          <w:color w:val="7F7F7F"/>
        </w:rPr>
        <w:t>Other.</w:t>
      </w:r>
    </w:p>
    <w:p>
      <w:pPr>
        <w:spacing w:after="0" w:line="246" w:lineRule="exact"/>
        <w:rPr>
          <w:rFonts w:ascii="Arial" w:cs="Arial" w:eastAsia="Arial" w:hAnsi="Arial"/>
          <w:sz w:val="22"/>
          <w:szCs w:val="22"/>
          <w:color w:val="7F7F7F"/>
        </w:rPr>
      </w:pPr>
    </w:p>
    <w:p>
      <w:pPr>
        <w:ind w:left="720" w:right="620" w:hanging="312"/>
        <w:spacing w:after="0" w:line="253" w:lineRule="auto"/>
        <w:tabs>
          <w:tab w:leader="none" w:pos="710" w:val="left"/>
        </w:tabs>
        <w:numPr>
          <w:ilvl w:val="1"/>
          <w:numId w:val="56"/>
        </w:numPr>
        <w:rPr>
          <w:rFonts w:ascii="Arial" w:cs="Arial" w:eastAsia="Arial" w:hAnsi="Arial"/>
          <w:sz w:val="20"/>
          <w:szCs w:val="20"/>
          <w:color w:val="7F7F7F"/>
        </w:rPr>
      </w:pPr>
      <w:r>
        <w:rPr>
          <w:rFonts w:ascii="Arial" w:cs="Arial" w:eastAsia="Arial" w:hAnsi="Arial"/>
          <w:sz w:val="22"/>
          <w:szCs w:val="22"/>
          <w:color w:val="7F7F7F"/>
        </w:rPr>
        <w:t>The Committee shall have the sole discretion to administer, interpret and amend this Policy from time to time, in compliance with the applicable listing standards of the national securities exchange or association on which the Company’s securities are listed, and the determinations of the Board of Directors or the Committee shall be binding on all Covered Officers and Direct Reports.</w:t>
      </w:r>
    </w:p>
    <w:p>
      <w:pPr>
        <w:spacing w:after="0" w:line="202" w:lineRule="exact"/>
        <w:rPr>
          <w:rFonts w:ascii="Arial" w:cs="Arial" w:eastAsia="Arial" w:hAnsi="Arial"/>
          <w:sz w:val="20"/>
          <w:szCs w:val="20"/>
          <w:color w:val="7F7F7F"/>
        </w:rPr>
      </w:pPr>
    </w:p>
    <w:p>
      <w:pPr>
        <w:ind w:left="720" w:right="740" w:hanging="312"/>
        <w:spacing w:after="0" w:line="264" w:lineRule="auto"/>
        <w:tabs>
          <w:tab w:leader="none" w:pos="710" w:val="left"/>
        </w:tabs>
        <w:numPr>
          <w:ilvl w:val="1"/>
          <w:numId w:val="56"/>
        </w:numPr>
        <w:rPr>
          <w:rFonts w:ascii="Arial" w:cs="Arial" w:eastAsia="Arial" w:hAnsi="Arial"/>
          <w:sz w:val="20"/>
          <w:szCs w:val="20"/>
          <w:color w:val="7F7F7F"/>
        </w:rPr>
      </w:pPr>
      <w:r>
        <w:rPr>
          <w:rFonts w:ascii="Arial" w:cs="Arial" w:eastAsia="Arial" w:hAnsi="Arial"/>
          <w:sz w:val="22"/>
          <w:szCs w:val="22"/>
          <w:color w:val="7F7F7F"/>
        </w:rPr>
        <w:t>In no event shall the Company be required to award a Covered Officer or a Direct Report an additional payment if the restated or accurate financial results would have resulted in higher Incentive-Based Compensation.</w:t>
      </w:r>
    </w:p>
    <w:p>
      <w:pPr>
        <w:spacing w:after="0" w:line="191" w:lineRule="exact"/>
        <w:rPr>
          <w:rFonts w:ascii="Arial" w:cs="Arial" w:eastAsia="Arial" w:hAnsi="Arial"/>
          <w:sz w:val="20"/>
          <w:szCs w:val="20"/>
          <w:color w:val="7F7F7F"/>
        </w:rPr>
      </w:pPr>
    </w:p>
    <w:p>
      <w:pPr>
        <w:ind w:left="720" w:right="720" w:hanging="312"/>
        <w:spacing w:after="0" w:line="272" w:lineRule="auto"/>
        <w:tabs>
          <w:tab w:leader="none" w:pos="712" w:val="left"/>
        </w:tabs>
        <w:numPr>
          <w:ilvl w:val="1"/>
          <w:numId w:val="56"/>
        </w:numPr>
        <w:rPr>
          <w:rFonts w:ascii="Arial" w:cs="Arial" w:eastAsia="Arial" w:hAnsi="Arial"/>
          <w:sz w:val="20"/>
          <w:szCs w:val="20"/>
          <w:color w:val="7F7F7F"/>
        </w:rPr>
      </w:pPr>
      <w:r>
        <w:rPr>
          <w:rFonts w:ascii="Arial" w:cs="Arial" w:eastAsia="Arial" w:hAnsi="Arial"/>
          <w:sz w:val="22"/>
          <w:szCs w:val="22"/>
          <w:color w:val="7F7F7F"/>
        </w:rPr>
        <w:t>The Company shall not indemnify any Covered Officer or Direct Report against the loss of Erroneously Awarded Compensation.</w:t>
      </w:r>
    </w:p>
    <w:p>
      <w:pPr>
        <w:spacing w:after="0" w:line="182" w:lineRule="exact"/>
        <w:rPr>
          <w:rFonts w:ascii="Arial" w:cs="Arial" w:eastAsia="Arial" w:hAnsi="Arial"/>
          <w:sz w:val="20"/>
          <w:szCs w:val="20"/>
          <w:color w:val="7F7F7F"/>
        </w:rPr>
      </w:pPr>
    </w:p>
    <w:p>
      <w:pPr>
        <w:ind w:left="720" w:right="480" w:hanging="312"/>
        <w:spacing w:after="0" w:line="310" w:lineRule="auto"/>
        <w:tabs>
          <w:tab w:leader="none" w:pos="710" w:val="left"/>
        </w:tabs>
        <w:numPr>
          <w:ilvl w:val="1"/>
          <w:numId w:val="56"/>
        </w:numPr>
        <w:rPr>
          <w:rFonts w:ascii="Arial" w:cs="Arial" w:eastAsia="Arial" w:hAnsi="Arial"/>
          <w:sz w:val="19"/>
          <w:szCs w:val="19"/>
          <w:color w:val="7F7F7F"/>
        </w:rPr>
      </w:pPr>
      <w:r>
        <w:rPr>
          <w:rFonts w:ascii="Arial" w:cs="Arial" w:eastAsia="Arial" w:hAnsi="Arial"/>
          <w:sz w:val="21"/>
          <w:szCs w:val="21"/>
          <w:color w:val="7F7F7F"/>
        </w:rPr>
        <w:t>The Company shall file all disclosures with respect to this Policy in accordance with the requirements of the Federal securities laws, including disclosure required by the Securities Exchange Commission filings.</w:t>
      </w:r>
    </w:p>
    <w:p>
      <w:pPr>
        <w:spacing w:after="0" w:line="145" w:lineRule="exact"/>
        <w:rPr>
          <w:rFonts w:ascii="Arial" w:cs="Arial" w:eastAsia="Arial" w:hAnsi="Arial"/>
          <w:sz w:val="19"/>
          <w:szCs w:val="19"/>
          <w:color w:val="7F7F7F"/>
        </w:rPr>
      </w:pPr>
    </w:p>
    <w:p>
      <w:pPr>
        <w:ind w:left="720" w:right="800" w:hanging="312"/>
        <w:spacing w:after="0" w:line="272" w:lineRule="auto"/>
        <w:tabs>
          <w:tab w:leader="none" w:pos="710" w:val="left"/>
        </w:tabs>
        <w:numPr>
          <w:ilvl w:val="1"/>
          <w:numId w:val="56"/>
        </w:numPr>
        <w:rPr>
          <w:rFonts w:ascii="Arial" w:cs="Arial" w:eastAsia="Arial" w:hAnsi="Arial"/>
          <w:sz w:val="20"/>
          <w:szCs w:val="20"/>
          <w:color w:val="7F7F7F"/>
        </w:rPr>
      </w:pPr>
      <w:r>
        <w:rPr>
          <w:rFonts w:ascii="Arial" w:cs="Arial" w:eastAsia="Arial" w:hAnsi="Arial"/>
          <w:sz w:val="22"/>
          <w:szCs w:val="22"/>
          <w:color w:val="7F7F7F"/>
        </w:rPr>
        <w:t>Any references in compensation plans, agreements, equity awards or other policies to the Company’s “recoupment”, “clawback” or similarly-named policy shall be deemed to</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58464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33" w:name="page134"/>
    <w:bookmarkEnd w:id="13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8058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122680" cy="805815"/>
                    </a:xfrm>
                    <a:prstGeom prst="rect">
                      <a:avLst/>
                    </a:prstGeom>
                    <a:noFill/>
                  </pic:spPr>
                </pic:pic>
              </a:graphicData>
            </a:graphic>
          </wp:anchor>
        </w:drawing>
      </w:r>
    </w:p>
    <w:p>
      <w:pPr>
        <w:ind w:left="10180"/>
        <w:spacing w:after="0"/>
        <w:rPr>
          <w:sz w:val="20"/>
          <w:szCs w:val="20"/>
          <w:color w:val="auto"/>
        </w:rPr>
      </w:pPr>
      <w:r>
        <w:rPr>
          <w:rFonts w:ascii="Arial" w:cs="Arial" w:eastAsia="Arial" w:hAnsi="Arial"/>
          <w:sz w:val="21"/>
          <w:szCs w:val="21"/>
          <w:b w:val="1"/>
          <w:bCs w:val="1"/>
          <w:color w:val="auto"/>
        </w:rPr>
        <w:t>Exhibit 97</w:t>
      </w:r>
    </w:p>
    <w:p>
      <w:pPr>
        <w:spacing w:after="0" w:line="139" w:lineRule="exact"/>
        <w:rPr>
          <w:sz w:val="20"/>
          <w:szCs w:val="20"/>
          <w:color w:val="auto"/>
        </w:rPr>
      </w:pPr>
    </w:p>
    <w:p>
      <w:pPr>
        <w:ind w:left="720" w:right="420"/>
        <w:spacing w:after="0" w:line="250" w:lineRule="auto"/>
        <w:rPr>
          <w:sz w:val="20"/>
          <w:szCs w:val="20"/>
          <w:color w:val="auto"/>
        </w:rPr>
      </w:pPr>
      <w:r>
        <w:rPr>
          <w:rFonts w:ascii="Arial" w:cs="Arial" w:eastAsia="Arial" w:hAnsi="Arial"/>
          <w:sz w:val="22"/>
          <w:szCs w:val="22"/>
          <w:color w:val="7F7F7F"/>
        </w:rPr>
        <w:t>refer to this Policy with respect to Incentive-Based Compensation Received on or after the Effective Date. With respect to Incentive-Based Compensation Received prior to the Effective Date, such references to the Company’s “recoupment”, “clawback” or similarly-named policy in compensation plans, agreements, equity awards or other policies shall be deemed to refer to the Company’s Incentive-Based Compensation Recoupment Policy in effect prior to the Effective Date.</w:t>
      </w:r>
    </w:p>
    <w:p>
      <w:pPr>
        <w:spacing w:after="0" w:line="208" w:lineRule="exact"/>
        <w:rPr>
          <w:sz w:val="20"/>
          <w:szCs w:val="20"/>
          <w:color w:val="auto"/>
        </w:rPr>
      </w:pPr>
    </w:p>
    <w:p>
      <w:pPr>
        <w:ind w:left="720" w:right="500" w:hanging="312"/>
        <w:spacing w:after="0" w:line="251" w:lineRule="auto"/>
        <w:tabs>
          <w:tab w:leader="none" w:pos="709" w:val="left"/>
        </w:tabs>
        <w:numPr>
          <w:ilvl w:val="1"/>
          <w:numId w:val="57"/>
        </w:numPr>
        <w:rPr>
          <w:rFonts w:ascii="Arial" w:cs="Arial" w:eastAsia="Arial" w:hAnsi="Arial"/>
          <w:sz w:val="20"/>
          <w:szCs w:val="20"/>
          <w:color w:val="7F7F7F"/>
        </w:rPr>
      </w:pPr>
      <w:r>
        <w:rPr>
          <w:rFonts w:ascii="Arial" w:cs="Arial" w:eastAsia="Arial" w:hAnsi="Arial"/>
          <w:sz w:val="22"/>
          <w:szCs w:val="22"/>
          <w:color w:val="7F7F7F"/>
        </w:rPr>
        <w:t>The terms of this Policy will be deemed to be expressly incorporated into the terms of any award or other arrangement relating to Incentive-Based Compensation. Any right to recovery under this Policy shall be in addition to, and not in lieu of, any other rights of recovery that may be available to the Company. Application of this Policy does not preclude the Company from taking any other action to enforce a Covered Officer’s or Direct Report’s obligations to the Company, including, but not limited to, termination of employment or institution of civil or criminal proceedings.</w:t>
      </w:r>
    </w:p>
    <w:p>
      <w:pPr>
        <w:spacing w:after="0" w:line="208" w:lineRule="exact"/>
        <w:rPr>
          <w:rFonts w:ascii="Arial" w:cs="Arial" w:eastAsia="Arial" w:hAnsi="Arial"/>
          <w:sz w:val="20"/>
          <w:szCs w:val="20"/>
          <w:color w:val="7F7F7F"/>
        </w:rPr>
      </w:pPr>
    </w:p>
    <w:p>
      <w:pPr>
        <w:ind w:left="420" w:right="200" w:hanging="315"/>
        <w:spacing w:after="0" w:line="272" w:lineRule="auto"/>
        <w:tabs>
          <w:tab w:leader="none" w:pos="411" w:val="left"/>
        </w:tabs>
        <w:numPr>
          <w:ilvl w:val="0"/>
          <w:numId w:val="58"/>
        </w:numPr>
        <w:rPr>
          <w:rFonts w:ascii="Arial" w:cs="Arial" w:eastAsia="Arial" w:hAnsi="Arial"/>
          <w:sz w:val="22"/>
          <w:szCs w:val="22"/>
          <w:color w:val="7F7F7F"/>
        </w:rPr>
      </w:pPr>
      <w:r>
        <w:rPr>
          <w:rFonts w:ascii="Arial" w:cs="Arial" w:eastAsia="Arial" w:hAnsi="Arial"/>
          <w:sz w:val="22"/>
          <w:szCs w:val="22"/>
          <w:color w:val="7F7F7F"/>
        </w:rPr>
        <w:t>Reporting Violations. If you become aware of any violation of this Policy, you should report it immediately to the Corporate Secretary or the General Counsel. You can also reach out to our Ethics Helpline:</w:t>
      </w:r>
    </w:p>
    <w:p>
      <w:pPr>
        <w:spacing w:after="0" w:line="61" w:lineRule="exact"/>
        <w:rPr>
          <w:rFonts w:ascii="Arial" w:cs="Arial" w:eastAsia="Arial" w:hAnsi="Arial"/>
          <w:sz w:val="22"/>
          <w:szCs w:val="22"/>
          <w:color w:val="7F7F7F"/>
        </w:rPr>
      </w:pPr>
    </w:p>
    <w:p>
      <w:pPr>
        <w:ind w:left="1900" w:hanging="312"/>
        <w:spacing w:after="0"/>
        <w:tabs>
          <w:tab w:leader="none" w:pos="1900" w:val="left"/>
        </w:tabs>
        <w:numPr>
          <w:ilvl w:val="2"/>
          <w:numId w:val="58"/>
        </w:numPr>
        <w:rPr>
          <w:rFonts w:ascii="Times New Roman" w:cs="Times New Roman" w:eastAsia="Times New Roman" w:hAnsi="Times New Roman"/>
          <w:sz w:val="20"/>
          <w:szCs w:val="20"/>
          <w:color w:val="677279"/>
        </w:rPr>
      </w:pPr>
      <w:r>
        <w:rPr>
          <w:rFonts w:ascii="Arial" w:cs="Arial" w:eastAsia="Arial" w:hAnsi="Arial"/>
          <w:sz w:val="22"/>
          <w:szCs w:val="22"/>
          <w:color w:val="7F7F7F"/>
        </w:rPr>
        <w:t xml:space="preserve">Via the internet: </w:t>
      </w:r>
      <w:r>
        <w:rPr>
          <w:rFonts w:ascii="Arial" w:cs="Arial" w:eastAsia="Arial" w:hAnsi="Arial"/>
          <w:sz w:val="22"/>
          <w:szCs w:val="22"/>
          <w:u w:val="single" w:color="auto"/>
          <w:color w:val="7F7F7F"/>
        </w:rPr>
        <w:t>ethicshelpline.acuityinc.com</w:t>
      </w:r>
    </w:p>
    <w:p>
      <w:pPr>
        <w:spacing w:after="0" w:line="44" w:lineRule="exact"/>
        <w:rPr>
          <w:rFonts w:ascii="Times New Roman" w:cs="Times New Roman" w:eastAsia="Times New Roman" w:hAnsi="Times New Roman"/>
          <w:sz w:val="20"/>
          <w:szCs w:val="20"/>
          <w:color w:val="677279"/>
        </w:rPr>
      </w:pPr>
    </w:p>
    <w:p>
      <w:pPr>
        <w:ind w:left="1900" w:hanging="313"/>
        <w:spacing w:after="0"/>
        <w:tabs>
          <w:tab w:leader="none" w:pos="1900" w:val="left"/>
        </w:tabs>
        <w:numPr>
          <w:ilvl w:val="2"/>
          <w:numId w:val="58"/>
        </w:numPr>
        <w:rPr>
          <w:rFonts w:ascii="Times New Roman" w:cs="Times New Roman" w:eastAsia="Times New Roman" w:hAnsi="Times New Roman"/>
          <w:sz w:val="20"/>
          <w:szCs w:val="20"/>
          <w:color w:val="677279"/>
        </w:rPr>
      </w:pPr>
      <w:r>
        <w:rPr>
          <w:rFonts w:ascii="Arial" w:cs="Arial" w:eastAsia="Arial" w:hAnsi="Arial"/>
          <w:sz w:val="22"/>
          <w:szCs w:val="22"/>
          <w:color w:val="7F7F7F"/>
        </w:rPr>
        <w:t>Via telephone, 24 hours/day, 7 days/week:</w:t>
      </w:r>
    </w:p>
    <w:p>
      <w:pPr>
        <w:spacing w:after="0" w:line="328" w:lineRule="exact"/>
        <w:rPr>
          <w:sz w:val="20"/>
          <w:szCs w:val="20"/>
          <w:color w:val="auto"/>
        </w:rPr>
      </w:pPr>
    </w:p>
    <w:tbl>
      <w:tblPr>
        <w:tblLayout w:type="fixed"/>
        <w:tblInd w:w="230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22"/>
                <w:szCs w:val="22"/>
                <w:color w:val="7F7F7F"/>
              </w:rPr>
              <w:t>U.S. and Canada:</w:t>
            </w:r>
          </w:p>
        </w:tc>
        <w:tc>
          <w:tcPr>
            <w:tcW w:w="3960" w:type="dxa"/>
            <w:vAlign w:val="bottom"/>
          </w:tcPr>
          <w:p>
            <w:pPr>
              <w:ind w:left="200"/>
              <w:spacing w:after="0"/>
              <w:rPr>
                <w:sz w:val="20"/>
                <w:szCs w:val="20"/>
                <w:color w:val="auto"/>
              </w:rPr>
            </w:pPr>
            <w:r>
              <w:rPr>
                <w:rFonts w:ascii="Arial" w:cs="Arial" w:eastAsia="Arial" w:hAnsi="Arial"/>
                <w:sz w:val="22"/>
                <w:szCs w:val="22"/>
                <w:color w:val="7F7F7F"/>
                <w:w w:val="98"/>
              </w:rPr>
              <w:t>800-461-9330 or via text 770-637-0324</w:t>
            </w:r>
          </w:p>
        </w:tc>
      </w:tr>
      <w:tr>
        <w:trPr>
          <w:trHeight w:val="338"/>
        </w:trPr>
        <w:tc>
          <w:tcPr>
            <w:tcW w:w="1920" w:type="dxa"/>
            <w:vAlign w:val="bottom"/>
          </w:tcPr>
          <w:p>
            <w:pPr>
              <w:spacing w:after="0"/>
              <w:rPr>
                <w:sz w:val="20"/>
                <w:szCs w:val="20"/>
                <w:color w:val="auto"/>
              </w:rPr>
            </w:pPr>
            <w:r>
              <w:rPr>
                <w:rFonts w:ascii="Arial" w:cs="Arial" w:eastAsia="Arial" w:hAnsi="Arial"/>
                <w:sz w:val="22"/>
                <w:szCs w:val="22"/>
                <w:color w:val="7F7F7F"/>
              </w:rPr>
              <w:t>China:</w:t>
            </w:r>
          </w:p>
        </w:tc>
        <w:tc>
          <w:tcPr>
            <w:tcW w:w="3960" w:type="dxa"/>
            <w:vAlign w:val="bottom"/>
          </w:tcPr>
          <w:p>
            <w:pPr>
              <w:ind w:left="200"/>
              <w:spacing w:after="0"/>
              <w:rPr>
                <w:sz w:val="20"/>
                <w:szCs w:val="20"/>
                <w:color w:val="auto"/>
              </w:rPr>
            </w:pPr>
            <w:r>
              <w:rPr>
                <w:rFonts w:ascii="Arial" w:cs="Arial" w:eastAsia="Arial" w:hAnsi="Arial"/>
                <w:sz w:val="22"/>
                <w:szCs w:val="22"/>
                <w:color w:val="7F7F7F"/>
              </w:rPr>
              <w:t>400-120-3062</w:t>
            </w:r>
          </w:p>
        </w:tc>
      </w:tr>
      <w:tr>
        <w:trPr>
          <w:trHeight w:val="338"/>
        </w:trPr>
        <w:tc>
          <w:tcPr>
            <w:tcW w:w="1920" w:type="dxa"/>
            <w:vAlign w:val="bottom"/>
          </w:tcPr>
          <w:p>
            <w:pPr>
              <w:spacing w:after="0"/>
              <w:rPr>
                <w:sz w:val="20"/>
                <w:szCs w:val="20"/>
                <w:color w:val="auto"/>
              </w:rPr>
            </w:pPr>
            <w:r>
              <w:rPr>
                <w:rFonts w:ascii="Arial" w:cs="Arial" w:eastAsia="Arial" w:hAnsi="Arial"/>
                <w:sz w:val="22"/>
                <w:szCs w:val="22"/>
                <w:color w:val="7F7F7F"/>
              </w:rPr>
              <w:t>France:</w:t>
            </w:r>
          </w:p>
        </w:tc>
        <w:tc>
          <w:tcPr>
            <w:tcW w:w="3960" w:type="dxa"/>
            <w:vAlign w:val="bottom"/>
          </w:tcPr>
          <w:p>
            <w:pPr>
              <w:ind w:left="200"/>
              <w:spacing w:after="0"/>
              <w:rPr>
                <w:sz w:val="20"/>
                <w:szCs w:val="20"/>
                <w:color w:val="auto"/>
              </w:rPr>
            </w:pPr>
            <w:r>
              <w:rPr>
                <w:rFonts w:ascii="Arial" w:cs="Arial" w:eastAsia="Arial" w:hAnsi="Arial"/>
                <w:sz w:val="22"/>
                <w:szCs w:val="22"/>
                <w:color w:val="7F7F7F"/>
              </w:rPr>
              <w:t>0805-080339</w:t>
            </w:r>
          </w:p>
        </w:tc>
      </w:tr>
      <w:tr>
        <w:trPr>
          <w:trHeight w:val="337"/>
        </w:trPr>
        <w:tc>
          <w:tcPr>
            <w:tcW w:w="1920" w:type="dxa"/>
            <w:vAlign w:val="bottom"/>
          </w:tcPr>
          <w:p>
            <w:pPr>
              <w:spacing w:after="0"/>
              <w:rPr>
                <w:sz w:val="20"/>
                <w:szCs w:val="20"/>
                <w:color w:val="auto"/>
              </w:rPr>
            </w:pPr>
            <w:r>
              <w:rPr>
                <w:rFonts w:ascii="Arial" w:cs="Arial" w:eastAsia="Arial" w:hAnsi="Arial"/>
                <w:sz w:val="22"/>
                <w:szCs w:val="22"/>
                <w:color w:val="7F7F7F"/>
              </w:rPr>
              <w:t>Mexico:</w:t>
            </w:r>
          </w:p>
        </w:tc>
        <w:tc>
          <w:tcPr>
            <w:tcW w:w="3960" w:type="dxa"/>
            <w:vAlign w:val="bottom"/>
          </w:tcPr>
          <w:p>
            <w:pPr>
              <w:ind w:left="200"/>
              <w:spacing w:after="0"/>
              <w:rPr>
                <w:sz w:val="20"/>
                <w:szCs w:val="20"/>
                <w:color w:val="auto"/>
              </w:rPr>
            </w:pPr>
            <w:r>
              <w:rPr>
                <w:rFonts w:ascii="Arial" w:cs="Arial" w:eastAsia="Arial" w:hAnsi="Arial"/>
                <w:sz w:val="22"/>
                <w:szCs w:val="22"/>
                <w:color w:val="7F7F7F"/>
              </w:rPr>
              <w:t>01-800-681-6945</w:t>
            </w:r>
          </w:p>
        </w:tc>
      </w:tr>
      <w:tr>
        <w:trPr>
          <w:trHeight w:val="338"/>
        </w:trPr>
        <w:tc>
          <w:tcPr>
            <w:tcW w:w="1920" w:type="dxa"/>
            <w:vAlign w:val="bottom"/>
          </w:tcPr>
          <w:p>
            <w:pPr>
              <w:spacing w:after="0"/>
              <w:rPr>
                <w:sz w:val="20"/>
                <w:szCs w:val="20"/>
                <w:color w:val="auto"/>
              </w:rPr>
            </w:pPr>
            <w:r>
              <w:rPr>
                <w:rFonts w:ascii="Arial" w:cs="Arial" w:eastAsia="Arial" w:hAnsi="Arial"/>
                <w:sz w:val="22"/>
                <w:szCs w:val="22"/>
                <w:color w:val="7F7F7F"/>
              </w:rPr>
              <w:t>Netherlands:</w:t>
            </w:r>
          </w:p>
        </w:tc>
        <w:tc>
          <w:tcPr>
            <w:tcW w:w="3960" w:type="dxa"/>
            <w:vAlign w:val="bottom"/>
          </w:tcPr>
          <w:p>
            <w:pPr>
              <w:ind w:left="200"/>
              <w:spacing w:after="0"/>
              <w:rPr>
                <w:sz w:val="20"/>
                <w:szCs w:val="20"/>
                <w:color w:val="auto"/>
              </w:rPr>
            </w:pPr>
            <w:r>
              <w:rPr>
                <w:rFonts w:ascii="Arial" w:cs="Arial" w:eastAsia="Arial" w:hAnsi="Arial"/>
                <w:sz w:val="22"/>
                <w:szCs w:val="22"/>
                <w:color w:val="7F7F7F"/>
              </w:rPr>
              <w:t>0-800-022-0441</w:t>
            </w:r>
          </w:p>
        </w:tc>
      </w:tr>
      <w:tr>
        <w:trPr>
          <w:trHeight w:val="338"/>
        </w:trPr>
        <w:tc>
          <w:tcPr>
            <w:tcW w:w="1920" w:type="dxa"/>
            <w:vAlign w:val="bottom"/>
          </w:tcPr>
          <w:p>
            <w:pPr>
              <w:spacing w:after="0"/>
              <w:rPr>
                <w:sz w:val="20"/>
                <w:szCs w:val="20"/>
                <w:color w:val="auto"/>
              </w:rPr>
            </w:pPr>
            <w:r>
              <w:rPr>
                <w:rFonts w:ascii="Arial" w:cs="Arial" w:eastAsia="Arial" w:hAnsi="Arial"/>
                <w:sz w:val="22"/>
                <w:szCs w:val="22"/>
                <w:color w:val="7F7F7F"/>
              </w:rPr>
              <w:t>United Kingdom:</w:t>
            </w:r>
          </w:p>
        </w:tc>
        <w:tc>
          <w:tcPr>
            <w:tcW w:w="3960" w:type="dxa"/>
            <w:vAlign w:val="bottom"/>
          </w:tcPr>
          <w:p>
            <w:pPr>
              <w:ind w:left="200"/>
              <w:spacing w:after="0"/>
              <w:rPr>
                <w:sz w:val="20"/>
                <w:szCs w:val="20"/>
                <w:color w:val="auto"/>
              </w:rPr>
            </w:pPr>
            <w:r>
              <w:rPr>
                <w:rFonts w:ascii="Arial" w:cs="Arial" w:eastAsia="Arial" w:hAnsi="Arial"/>
                <w:sz w:val="22"/>
                <w:szCs w:val="22"/>
                <w:color w:val="7F7F7F"/>
              </w:rPr>
              <w:t>0-808-189-1053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720090</wp:posOffset>
            </wp:positionV>
            <wp:extent cx="7106285" cy="7454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5">
                      <a:extLst>
                        <a:ext uri="{28A0092B-C50C-407E-A947-70E740481C1C}"/>
                      </a:extLst>
                    </a:blip>
                    <a:srcRect/>
                    <a:stretch>
                      <a:fillRect/>
                    </a:stretch>
                  </pic:blipFill>
                  <pic:spPr bwMode="auto">
                    <a:xfrm>
                      <a:off x="0" y="0"/>
                      <a:ext cx="710628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80"/>
        <w:spacing w:after="0"/>
        <w:rPr>
          <w:sz w:val="20"/>
          <w:szCs w:val="20"/>
          <w:color w:val="auto"/>
        </w:rPr>
      </w:pPr>
      <w:r>
        <w:rPr>
          <w:rFonts w:ascii="Arial" w:cs="Arial" w:eastAsia="Arial" w:hAnsi="Arial"/>
          <w:sz w:val="20"/>
          <w:szCs w:val="20"/>
          <w:color w:val="7F7F7F"/>
        </w:rPr>
        <w:t>Department: Board/Legal</w:t>
      </w:r>
    </w:p>
    <w:p>
      <w:pPr>
        <w:spacing w:after="0" w:line="351" w:lineRule="exact"/>
        <w:rPr>
          <w:sz w:val="20"/>
          <w:szCs w:val="20"/>
          <w:color w:val="auto"/>
        </w:rPr>
      </w:pPr>
    </w:p>
    <w:p>
      <w:pPr>
        <w:ind w:left="1220"/>
        <w:spacing w:after="0"/>
        <w:rPr>
          <w:sz w:val="20"/>
          <w:szCs w:val="20"/>
          <w:color w:val="auto"/>
        </w:rPr>
      </w:pPr>
      <w:r>
        <w:rPr>
          <w:rFonts w:ascii="Arial" w:cs="Arial" w:eastAsia="Arial" w:hAnsi="Arial"/>
          <w:sz w:val="20"/>
          <w:szCs w:val="20"/>
          <w:color w:val="7F7F7F"/>
        </w:rPr>
        <w:t>Effective Date: March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58464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6">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sectPr>
      <w:pgSz w:w="11900" w:h="16838" w:orient="portrait"/>
      <w:cols w:equalWidth="0" w:num="1">
        <w:col w:w="11200"/>
      </w:cols>
      <w:pgMar w:left="3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2"/>
    </w:lvl>
  </w:abstractNum>
  <w:abstractNum w:abstractNumId="20">
    <w:nsid w:val="51EAD36B"/>
    <w:multiLevelType w:val="hybridMultilevel"/>
    <w:lvl w:ilvl="0">
      <w:lvlJc w:val="left"/>
      <w:lvlText w:val="(%1)"/>
      <w:numFmt w:val="decimal"/>
      <w:start w:val="3"/>
    </w:lvl>
  </w:abstractNum>
  <w:abstractNum w:abstractNumId="21">
    <w:nsid w:val="2D517796"/>
    <w:multiLevelType w:val="hybridMultilevel"/>
    <w:lvl w:ilvl="0">
      <w:lvlJc w:val="left"/>
      <w:lvlText w:val="(%1)"/>
      <w:numFmt w:val="decimal"/>
      <w:start w:val="10"/>
    </w:lvl>
  </w:abstractNum>
  <w:abstractNum w:abstractNumId="22">
    <w:nsid w:val="580BD78F"/>
    <w:multiLevelType w:val="hybridMultilevel"/>
    <w:lvl w:ilvl="0">
      <w:lvlJc w:val="left"/>
      <w:lvlText w:val="(%1)"/>
      <w:numFmt w:val="decimal"/>
      <w:start w:val="18"/>
    </w:lvl>
  </w:abstractNum>
  <w:abstractNum w:abstractNumId="23">
    <w:nsid w:val="153EA438"/>
    <w:multiLevelType w:val="hybridMultilevel"/>
    <w:lvl w:ilvl="0">
      <w:lvlJc w:val="left"/>
      <w:lvlText w:val="(%1)"/>
      <w:numFmt w:val="decimal"/>
      <w:start w:val="33"/>
    </w:lvl>
    <w:lvl w:ilvl="1">
      <w:lvlJc w:val="left"/>
      <w:lvlText w:val="%2."/>
      <w:numFmt w:val="upperLetter"/>
      <w:start w:val="18"/>
    </w:lvl>
  </w:abstractNum>
  <w:abstractNum w:abstractNumId="24">
    <w:nsid w:val="3855585C"/>
    <w:multiLevelType w:val="hybridMultilevel"/>
    <w:lvl w:ilvl="0">
      <w:lvlJc w:val="left"/>
      <w:lvlText w:val="%1"/>
      <w:numFmt w:val="decimal"/>
      <w:start w:val="1"/>
    </w:lvl>
    <w:lvl w:ilvl="1">
      <w:lvlJc w:val="left"/>
      <w:lvlText w:val="%2."/>
      <w:numFmt w:val="upperLetter"/>
      <w:start w:val="19"/>
    </w:lvl>
  </w:abstractNum>
  <w:abstractNum w:abstractNumId="25">
    <w:nsid w:val="70A64E2A"/>
    <w:multiLevelType w:val="hybridMultilevel"/>
    <w:lvl w:ilvl="0">
      <w:lvlJc w:val="left"/>
      <w:lvlText w:val="(%1)"/>
      <w:numFmt w:val="decimal"/>
      <w:start w:val="47"/>
    </w:lvl>
    <w:lvl w:ilvl="1">
      <w:lvlJc w:val="left"/>
      <w:lvlText w:val="%2"/>
      <w:numFmt w:val="upperLetter"/>
      <w:start w:val="1"/>
    </w:lvl>
  </w:abstractNum>
  <w:abstractNum w:abstractNumId="26">
    <w:nsid w:val="6A2342EC"/>
    <w:multiLevelType w:val="hybridMultilevel"/>
    <w:lvl w:ilvl="0">
      <w:lvlJc w:val="left"/>
      <w:lvlText w:val="(%1)"/>
      <w:numFmt w:val="decimal"/>
      <w:start w:val="48"/>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5"/>
    </w:lvl>
  </w:abstractNum>
  <w:abstractNum w:abstractNumId="31">
    <w:nsid w:val="57E4CCAF"/>
    <w:multiLevelType w:val="hybridMultilevel"/>
    <w:lvl w:ilvl="0">
      <w:lvlJc w:val="left"/>
      <w:lvlText w:val="%1."/>
      <w:numFmt w:val="upperLetter"/>
      <w:start w:val="35"/>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upperLetter"/>
      <w:start w:val="6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decimal"/>
      <w:start w:val="1"/>
    </w:lvl>
    <w:lvl w:ilvl="1">
      <w:lvlJc w:val="left"/>
      <w:lvlText w:val="(%2)"/>
      <w:numFmt w:val="lowerLetter"/>
      <w:start w:val="1"/>
    </w:lvl>
  </w:abstractNum>
  <w:abstractNum w:abstractNumId="47">
    <w:nsid w:val="70C6A529"/>
    <w:multiLevelType w:val="hybridMultilevel"/>
    <w:lvl w:ilvl="0">
      <w:lvlJc w:val="left"/>
      <w:lvlText w:val="%1."/>
      <w:numFmt w:val="decimal"/>
      <w:start w:val="1"/>
    </w:lvl>
    <w:lvl w:ilvl="1">
      <w:lvlJc w:val="left"/>
      <w:lvlText w:val="(%2)"/>
      <w:numFmt w:val="lowerLetter"/>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lvl w:ilvl="1">
      <w:lvlJc w:val="left"/>
      <w:lvlText w:val="%2)"/>
      <w:numFmt w:val="lowerLetter"/>
      <w:start w:val="1"/>
    </w:lvl>
  </w:abstractNum>
  <w:abstractNum w:abstractNumId="51">
    <w:nsid w:val="23F9C13C"/>
    <w:multiLevelType w:val="hybridMultilevel"/>
    <w:lvl w:ilvl="0">
      <w:lvlJc w:val="left"/>
      <w:lvlText w:val="%1)"/>
      <w:numFmt w:val="lowerLetter"/>
      <w:start w:val="4"/>
    </w:lvl>
  </w:abstractNum>
  <w:abstractNum w:abstractNumId="52">
    <w:nsid w:val="649BB77C"/>
    <w:multiLevelType w:val="hybridMultilevel"/>
    <w:lvl w:ilvl="0">
      <w:lvlJc w:val="left"/>
      <w:lvlText w:val="%1"/>
      <w:numFmt w:val="decimal"/>
      <w:start w:val="1"/>
    </w:lvl>
    <w:lvl w:ilvl="1">
      <w:lvlJc w:val="left"/>
      <w:lvlText w:val="%2)"/>
      <w:numFmt w:val="lowerLetter"/>
      <w:start w:val="9"/>
    </w:lvl>
  </w:abstractNum>
  <w:abstractNum w:abstractNumId="53">
    <w:nsid w:val="275AC794"/>
    <w:multiLevelType w:val="hybridMultilevel"/>
    <w:lvl w:ilvl="0">
      <w:lvlJc w:val="left"/>
      <w:lvlText w:val="%1."/>
      <w:numFmt w:val="decimal"/>
      <w:start w:val="4"/>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3"/>
    </w:lvl>
  </w:abstractNum>
  <w:abstractNum w:abstractNumId="55">
    <w:nsid w:val="1CF10FD8"/>
    <w:multiLevelType w:val="hybridMultilevel"/>
    <w:lvl w:ilvl="0">
      <w:lvlJc w:val="left"/>
      <w:lvlText w:val="%1."/>
      <w:numFmt w:val="decimal"/>
      <w:start w:val="5"/>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57">
    <w:nsid w:val="235BA861"/>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63" Type="http://schemas.openxmlformats.org/officeDocument/2006/relationships/image" Target="media/image144.png"/><Relationship Id="rId179" Type="http://schemas.openxmlformats.org/officeDocument/2006/relationships/image" Target="media/image145.png"/><Relationship Id="rId195" Type="http://schemas.openxmlformats.org/officeDocument/2006/relationships/image" Target="media/image146.png"/><Relationship Id="rId211" Type="http://schemas.openxmlformats.org/officeDocument/2006/relationships/image" Target="media/image147.png"/><Relationship Id="rId227" Type="http://schemas.openxmlformats.org/officeDocument/2006/relationships/image" Target="media/image148.png"/><Relationship Id="rId241" Type="http://schemas.openxmlformats.org/officeDocument/2006/relationships/image" Target="media/image149.png"/><Relationship Id="rId243" Type="http://schemas.openxmlformats.org/officeDocument/2006/relationships/image" Target="media/image150.png"/><Relationship Id="rId244" Type="http://schemas.openxmlformats.org/officeDocument/2006/relationships/image" Target="media/image151.png"/><Relationship Id="rId245" Type="http://schemas.openxmlformats.org/officeDocument/2006/relationships/image" Target="media/image152.png"/><Relationship Id="rId246" Type="http://schemas.openxmlformats.org/officeDocument/2006/relationships/image" Target="media/image153.png"/><Relationship Id="rId247" Type="http://schemas.openxmlformats.org/officeDocument/2006/relationships/image" Target="media/image154.png"/><Relationship Id="rId248" Type="http://schemas.openxmlformats.org/officeDocument/2006/relationships/image" Target="media/image155.png"/><Relationship Id="rId249" Type="http://schemas.openxmlformats.org/officeDocument/2006/relationships/image" Target="media/image156.png"/><Relationship Id="rId250" Type="http://schemas.openxmlformats.org/officeDocument/2006/relationships/image" Target="media/image157.png"/><Relationship Id="rId251" Type="http://schemas.openxmlformats.org/officeDocument/2006/relationships/image" Target="media/image158.png"/><Relationship Id="rId252" Type="http://schemas.openxmlformats.org/officeDocument/2006/relationships/image" Target="media/image159.png"/><Relationship Id="rId253" Type="http://schemas.openxmlformats.org/officeDocument/2006/relationships/image" Target="media/image160.png"/><Relationship Id="rId254" Type="http://schemas.openxmlformats.org/officeDocument/2006/relationships/image" Target="media/image161.png"/><Relationship Id="rId255" Type="http://schemas.openxmlformats.org/officeDocument/2006/relationships/image" Target="media/image162.png"/><Relationship Id="rId256" Type="http://schemas.openxmlformats.org/officeDocument/2006/relationships/image" Target="media/image163.png"/><Relationship Id="rId257" Type="http://schemas.openxmlformats.org/officeDocument/2006/relationships/image" Target="media/image164.jpeg"/><Relationship Id="rId258" Type="http://schemas.openxmlformats.org/officeDocument/2006/relationships/image" Target="media/image165.jpeg"/><Relationship Id="rId259" Type="http://schemas.openxmlformats.org/officeDocument/2006/relationships/image" Target="media/image166.jpeg"/><Relationship Id="rId260" Type="http://schemas.openxmlformats.org/officeDocument/2006/relationships/image" Target="media/image167.jpeg"/><Relationship Id="rId261" Type="http://schemas.openxmlformats.org/officeDocument/2006/relationships/image" Target="media/image168.jpeg"/><Relationship Id="rId262" Type="http://schemas.openxmlformats.org/officeDocument/2006/relationships/image" Target="media/image169.jpeg"/><Relationship Id="rId263" Type="http://schemas.openxmlformats.org/officeDocument/2006/relationships/image" Target="media/image170.jpeg"/><Relationship Id="rId264" Type="http://schemas.openxmlformats.org/officeDocument/2006/relationships/image" Target="media/image171.jpeg"/><Relationship Id="rId265" Type="http://schemas.openxmlformats.org/officeDocument/2006/relationships/image" Target="media/image172.jpeg"/><Relationship Id="rId266" Type="http://schemas.openxmlformats.org/officeDocument/2006/relationships/image" Target="media/image173.jpeg"/><Relationship Id="rId267" Type="http://schemas.openxmlformats.org/officeDocument/2006/relationships/image" Target="media/image174.jpeg"/><Relationship Id="rId268" Type="http://schemas.openxmlformats.org/officeDocument/2006/relationships/image" Target="media/image175.jpeg"/><Relationship Id="rId269" Type="http://schemas.openxmlformats.org/officeDocument/2006/relationships/image" Target="media/image176.jpeg"/><Relationship Id="rId270" Type="http://schemas.openxmlformats.org/officeDocument/2006/relationships/image" Target="media/image177.jpeg"/><Relationship Id="rId271" Type="http://schemas.openxmlformats.org/officeDocument/2006/relationships/image" Target="media/image178.jpeg"/><Relationship Id="rId272" Type="http://schemas.openxmlformats.org/officeDocument/2006/relationships/image" Target="media/image179.jpeg"/><Relationship Id="rId273" Type="http://schemas.openxmlformats.org/officeDocument/2006/relationships/image" Target="media/image180.jpeg"/><Relationship Id="rId274" Type="http://schemas.openxmlformats.org/officeDocument/2006/relationships/image" Target="media/image181.png"/><Relationship Id="rId275" Type="http://schemas.openxmlformats.org/officeDocument/2006/relationships/image" Target="media/image182.png"/><Relationship Id="rId276" Type="http://schemas.openxmlformats.org/officeDocument/2006/relationships/image" Target="media/image183.png"/><Relationship Id="rId277" Type="http://schemas.openxmlformats.org/officeDocument/2006/relationships/image" Target="media/image184.png"/><Relationship Id="rId278" Type="http://schemas.openxmlformats.org/officeDocument/2006/relationships/image" Target="media/image185.png"/><Relationship Id="rId279" Type="http://schemas.openxmlformats.org/officeDocument/2006/relationships/image" Target="media/image186.png"/><Relationship Id="rId280" Type="http://schemas.openxmlformats.org/officeDocument/2006/relationships/image" Target="media/image187.png"/><Relationship Id="rId281" Type="http://schemas.openxmlformats.org/officeDocument/2006/relationships/image" Target="media/image188.png"/><Relationship Id="rId282" Type="http://schemas.openxmlformats.org/officeDocument/2006/relationships/image" Target="media/image189.png"/><Relationship Id="rId283" Type="http://schemas.openxmlformats.org/officeDocument/2006/relationships/image" Target="media/image190.png"/><Relationship Id="rId284" Type="http://schemas.openxmlformats.org/officeDocument/2006/relationships/image" Target="media/image191.png"/><Relationship Id="rId285" Type="http://schemas.openxmlformats.org/officeDocument/2006/relationships/image" Target="media/image192.png"/><Relationship Id="rId286" Type="http://schemas.openxmlformats.org/officeDocument/2006/relationships/image" Target="media/image193.jpeg"/><Relationship Id="rId287" Type="http://schemas.openxmlformats.org/officeDocument/2006/relationships/image" Target="media/image194.png"/><Relationship Id="rId288" Type="http://schemas.openxmlformats.org/officeDocument/2006/relationships/image" Target="media/image195.jpeg"/><Relationship Id="rId289" Type="http://schemas.openxmlformats.org/officeDocument/2006/relationships/image" Target="media/image196.png"/><Relationship Id="rId290" Type="http://schemas.openxmlformats.org/officeDocument/2006/relationships/image" Target="media/image197.jpeg"/><Relationship Id="rId291" Type="http://schemas.openxmlformats.org/officeDocument/2006/relationships/image" Target="media/image198.png"/><Relationship Id="rId292" Type="http://schemas.openxmlformats.org/officeDocument/2006/relationships/image" Target="media/image199.jpeg"/><Relationship Id="rId293" Type="http://schemas.openxmlformats.org/officeDocument/2006/relationships/image" Target="media/image200.png"/><Relationship Id="rId294" Type="http://schemas.openxmlformats.org/officeDocument/2006/relationships/image" Target="media/image201.jpeg"/><Relationship Id="rId295" Type="http://schemas.openxmlformats.org/officeDocument/2006/relationships/image" Target="media/image202.png"/><Relationship Id="rId296" Type="http://schemas.openxmlformats.org/officeDocument/2006/relationships/image" Target="media/image203.png"/><Relationship Id="rId35" Type="http://schemas.openxmlformats.org/officeDocument/2006/relationships/hyperlink" Target="https://www.sec.gov/ix?doc=/Archives/edgar/data/1144215/000114421524000085/ayi-20240831.htm#i3a064afb13ae4f28943926185c38bac8_43" TargetMode="External"/><Relationship Id="rId152" Type="http://schemas.openxmlformats.org/officeDocument/2006/relationships/hyperlink" Target="https://www.sec.gov/Archives/edgar/data/1144215/000114421524000015/ayi-20240124xex32xrestated.htm" TargetMode="External"/><Relationship Id="rId153" Type="http://schemas.openxmlformats.org/officeDocument/2006/relationships/hyperlink" Target="https://www.sec.gov/Archives/edgar/data/1144215/000119312525052542/d931430dex31.htm" TargetMode="External"/><Relationship Id="rId154" Type="http://schemas.openxmlformats.org/officeDocument/2006/relationships/hyperlink" Target="https://www.sec.gov/Archives/edgar/data/1144215/000119312525052542/d931430dex33.htm" TargetMode="External"/><Relationship Id="rId155" Type="http://schemas.openxmlformats.org/officeDocument/2006/relationships/hyperlink" Target="https://www.sec.gov/Archives/edgar/data/0001144215/000119312520290161/d807246dex41.htm" TargetMode="External"/><Relationship Id="rId156" Type="http://schemas.openxmlformats.org/officeDocument/2006/relationships/hyperlink" Target="https://www.sec.gov/Archives/edgar/data/0001144215/000119312520290161/d807246dex42.htm" TargetMode="External"/><Relationship Id="rId157" Type="http://schemas.openxmlformats.org/officeDocument/2006/relationships/hyperlink" Target="https://www.sec.gov/Archives/edgar/data/0001144215/000119312520290161/d807246dex43.htm" TargetMode="External"/><Relationship Id="rId158" Type="http://schemas.openxmlformats.org/officeDocument/2006/relationships/hyperlink" Target="https://www.sec.gov/Archives/edgar/data/1144215/000119312525166406/d87918dex410.htm" TargetMode="External"/><Relationship Id="rId159" Type="http://schemas.openxmlformats.org/officeDocument/2006/relationships/hyperlink" Target="https://www.sec.gov/Archives/edgar/data/1144215/000114421522000073/ayi-20220531xex101.htm" TargetMode="External"/><Relationship Id="rId160" Type="http://schemas.openxmlformats.org/officeDocument/2006/relationships/hyperlink" Target="https://www.sec.gov/Archives/edgar/data/1144215/000119312524266224/d846074dex101.htm" TargetMode="External"/><Relationship Id="rId161" Type="http://schemas.openxmlformats.org/officeDocument/2006/relationships/hyperlink" Target="https://www.sec.gov/Archives/edgar/data/1144215/000114421525000059/ayi5312025-ex10a.htm" TargetMode="External"/><Relationship Id="rId162" Type="http://schemas.openxmlformats.org/officeDocument/2006/relationships/hyperlink" Target="https://www.sec.gov/Archives/edgar/data/1144215/000114421522000010/ayi-20211130xex10c.htm" TargetMode="External"/><Relationship Id="rId164" Type="http://schemas.openxmlformats.org/officeDocument/2006/relationships/hyperlink" Target="https://www.sec.gov/Archives/edgar/data/1144215/000114421522000097/ayi-20220831xex10iiia12.htm" TargetMode="External"/><Relationship Id="rId165" Type="http://schemas.openxmlformats.org/officeDocument/2006/relationships/hyperlink" Target="https://www.sec.gov/Archives/edgar/data/1144215/000095014401510028/g73259ex10-16.txt" TargetMode="External"/><Relationship Id="rId166" Type="http://schemas.openxmlformats.org/officeDocument/2006/relationships/hyperlink" Target="https://www.sec.gov/Archives/edgar/data/1144215/000119312507152172/dex10iiia5.htm" TargetMode="External"/><Relationship Id="rId167" Type="http://schemas.openxmlformats.org/officeDocument/2006/relationships/hyperlink" Target="https://www.sec.gov/Archives/edgar/data/1144215/000095014401510028/g73259ex10-18.txt" TargetMode="External"/><Relationship Id="rId168" Type="http://schemas.openxmlformats.org/officeDocument/2006/relationships/hyperlink" Target="https://www.sec.gov/Archives/edgar/data/1144215/000095014401510028/g73259ex10-19.txt" TargetMode="External"/><Relationship Id="rId169" Type="http://schemas.openxmlformats.org/officeDocument/2006/relationships/hyperlink" Target="https://www.sec.gov/Archives/edgar/data/1144215/000093176303000964/dex10iiia2.htm" TargetMode="External"/><Relationship Id="rId170" Type="http://schemas.openxmlformats.org/officeDocument/2006/relationships/hyperlink" Target="https://www.sec.gov/Archives/edgar/data/1144215/000095014401510028/g73259ex10-21.txt" TargetMode="External"/><Relationship Id="rId171" Type="http://schemas.openxmlformats.org/officeDocument/2006/relationships/hyperlink" Target="https://www.sec.gov/Archives/edgar/data/1144215/000114421519000072/ayi-20190531xex10c.htm" TargetMode="External"/><Relationship Id="rId172" Type="http://schemas.openxmlformats.org/officeDocument/2006/relationships/hyperlink" Target="https://www.sec.gov/Archives/edgar/data/0001144215/000114421521000008/ayi-20201130xex10a.htm" TargetMode="External"/><Relationship Id="rId173" Type="http://schemas.openxmlformats.org/officeDocument/2006/relationships/hyperlink" Target="https://www.sec.gov/Archives/edgar/data/1144215/000119312506091167/dex991.htm" TargetMode="External"/><Relationship Id="rId174" Type="http://schemas.openxmlformats.org/officeDocument/2006/relationships/hyperlink" Target="https://www.sec.gov/Archives/edgar/data/1144215/000114421520000010/ayi-20200109x8xkex101.htm" TargetMode="External"/><Relationship Id="rId175" Type="http://schemas.openxmlformats.org/officeDocument/2006/relationships/hyperlink" Target="https://www.sec.gov/Archives/edgar/data/1144215/000114421520000010/ayi-20200109x8xkex102.htm" TargetMode="External"/><Relationship Id="rId176" Type="http://schemas.openxmlformats.org/officeDocument/2006/relationships/hyperlink" Target="https://www.sec.gov/Archives/edgar/data/1144215/000114421520000010/ayi-20200109x8xkex103.htm" TargetMode="External"/><Relationship Id="rId177" Type="http://schemas.openxmlformats.org/officeDocument/2006/relationships/hyperlink" Target="https://www.sec.gov/Archives/edgar/data/1144215/000114421520000010/ayi-20200109x8xkex104.htm" TargetMode="External"/><Relationship Id="rId178" Type="http://schemas.openxmlformats.org/officeDocument/2006/relationships/hyperlink" Target="https://www.sec.gov/Archives/edgar/data/1144215/000114421523000090/ayi-20230831xex10iiia26.htm" TargetMode="External"/><Relationship Id="rId180" Type="http://schemas.openxmlformats.org/officeDocument/2006/relationships/hyperlink" Target="https://www.sec.gov/Archives/edgar/data/1144215/000114421520000010/ayi-20200109x8xkex105.htm" TargetMode="External"/><Relationship Id="rId181" Type="http://schemas.openxmlformats.org/officeDocument/2006/relationships/hyperlink" Target="https://www.sec.gov/Archives/edgar/data/1144215/000114421525000059/ayi5312025-ex10c.htm" TargetMode="External"/><Relationship Id="rId182" Type="http://schemas.openxmlformats.org/officeDocument/2006/relationships/hyperlink" Target="https://www.sec.gov/Archives/edgar/data/1144215/000119312505229173/dex101.htm" TargetMode="External"/><Relationship Id="rId183" Type="http://schemas.openxmlformats.org/officeDocument/2006/relationships/hyperlink" Target="https://www.sec.gov/Archives/edgar/data/1144215/000119312509217720/dex10iiia81.htm" TargetMode="External"/><Relationship Id="rId184" Type="http://schemas.openxmlformats.org/officeDocument/2006/relationships/hyperlink" Target="https://www.sec.gov/Archives/edgar/data/1144215/000119312510072493/dex10f.htm" TargetMode="External"/><Relationship Id="rId185" Type="http://schemas.openxmlformats.org/officeDocument/2006/relationships/hyperlink" Target="https://www.sec.gov/Archives/edgar/data/1144215/000114421514000037/ayi-20140228xex10iiia4.htm" TargetMode="External"/><Relationship Id="rId186" Type="http://schemas.openxmlformats.org/officeDocument/2006/relationships/hyperlink" Target="https://www.sec.gov/Archives/edgar/data/1144215/000114421514000108/ayi-20140831xex10iiia46.htm" TargetMode="External"/><Relationship Id="rId187" Type="http://schemas.openxmlformats.org/officeDocument/2006/relationships/hyperlink" Target="https://www.sec.gov/Archives/edgar/data/1144215/000114421515000120/ayi-2015831xex10iiia43.htm" TargetMode="External"/><Relationship Id="rId188" Type="http://schemas.openxmlformats.org/officeDocument/2006/relationships/hyperlink" Target="https://www.sec.gov/Archives/edgar/data/1144215/000114421516000287/ayi-2016831xex10iiia44.htm" TargetMode="External"/><Relationship Id="rId189" Type="http://schemas.openxmlformats.org/officeDocument/2006/relationships/hyperlink" Target="https://www.sec.gov/Archives/edgar/data/1144215/000114421517000106/ayi-20170831xex10iiia45.htm" TargetMode="External"/><Relationship Id="rId190" Type="http://schemas.openxmlformats.org/officeDocument/2006/relationships/hyperlink" Target="https://www.sec.gov/Archives/edgar/data/1144215/000114421519000025/ayi-20181130xex10a.htm" TargetMode="External"/><Relationship Id="rId191" Type="http://schemas.openxmlformats.org/officeDocument/2006/relationships/hyperlink" Target="https://www.sec.gov/Archives/edgar/data/1144215/000114421519000043/ayi-20190228xex10b.htm" TargetMode="External"/><Relationship Id="rId192" Type="http://schemas.openxmlformats.org/officeDocument/2006/relationships/hyperlink" Target="https://www.sec.gov/Archives/edgar/data/1144215/000114421519000114/ayi-20190831xex10iiia51.htm" TargetMode="External"/><Relationship Id="rId193" Type="http://schemas.openxmlformats.org/officeDocument/2006/relationships/hyperlink" Target="https://www.sec.gov/Archives/edgar/data/1144215/000114421519000114/ayi-20190831xex10iiia52.htm" TargetMode="External"/><Relationship Id="rId194" Type="http://schemas.openxmlformats.org/officeDocument/2006/relationships/hyperlink" Target="https://www.sec.gov/Archives/edgar/data/1144215/000114421519000114/ayi-20190831xex10iiia53.htm" TargetMode="External"/><Relationship Id="rId196" Type="http://schemas.openxmlformats.org/officeDocument/2006/relationships/hyperlink" Target="https://www.sec.gov/Archives/edgar/data/0001144215/000114421521000008/ayi-20201130xex10b.htm" TargetMode="External"/><Relationship Id="rId197" Type="http://schemas.openxmlformats.org/officeDocument/2006/relationships/hyperlink" Target="https://www.sec.gov/Archives/edgar/data/1144215/000114421524000085/ayi-20240831xex10iiia43.htm" TargetMode="External"/><Relationship Id="rId198" Type="http://schemas.openxmlformats.org/officeDocument/2006/relationships/hyperlink" Target="https://www.sec.gov/Archives/edgar/data/1144215/000114421519000114/ayi-20190831xex10iiia54.htm" TargetMode="External"/><Relationship Id="rId199" Type="http://schemas.openxmlformats.org/officeDocument/2006/relationships/hyperlink" Target="https://www.sec.gov/Archives/edgar/data/1144215/000114421519000114/ayi-20190831xex10iiia55.htm" TargetMode="External"/><Relationship Id="rId200" Type="http://schemas.openxmlformats.org/officeDocument/2006/relationships/hyperlink" Target="https://www.sec.gov/Archives/edgar/data/1144215/000114421520000125/ayi-20200831xex10iiia81.htm" TargetMode="External"/><Relationship Id="rId201" Type="http://schemas.openxmlformats.org/officeDocument/2006/relationships/hyperlink" Target="https://www.sec.gov/Archives/edgar/data/1144215/000114421520000125/ayi-20200831xex10iiia82.htm" TargetMode="External"/><Relationship Id="rId202" Type="http://schemas.openxmlformats.org/officeDocument/2006/relationships/hyperlink" Target="https://www.sec.gov/Archives/edgar/data/1144215/000114421520000125/ayi-20200831xex10iiia83.htm" TargetMode="External"/><Relationship Id="rId203" Type="http://schemas.openxmlformats.org/officeDocument/2006/relationships/hyperlink" Target="https://www.sec.gov/Archives/edgar/data/1144215/000114421520000125/ayi-20200831xex10iiia84.htm" TargetMode="External"/><Relationship Id="rId204" Type="http://schemas.openxmlformats.org/officeDocument/2006/relationships/hyperlink" Target="https://www.sec.gov/Archives/edgar/data/1144215/000114421520000125/ayi-20200831xex10iiia85.htm" TargetMode="External"/><Relationship Id="rId205" Type="http://schemas.openxmlformats.org/officeDocument/2006/relationships/hyperlink" Target="https://www.sec.gov/Archives/edgar/data/1144215/000114421520000125/ayi-20200831xex10iiia86.htm" TargetMode="External"/><Relationship Id="rId206" Type="http://schemas.openxmlformats.org/officeDocument/2006/relationships/hyperlink" Target="https://www.sec.gov/Archives/edgar/data/1144215/000114421521000097/ayi-20210831xex10iiia80.htm" TargetMode="External"/><Relationship Id="rId207" Type="http://schemas.openxmlformats.org/officeDocument/2006/relationships/hyperlink" Target="https://www.sec.gov/Archives/edgar/data/1144215/000114421520000125/ayi-20200831xex10iiia87.htm" TargetMode="External"/><Relationship Id="rId208" Type="http://schemas.openxmlformats.org/officeDocument/2006/relationships/hyperlink" Target="https://www.sec.gov/Archives/edgar/data/1144215/000114421520000125/ayi-20200831xex10iiia88.htm" TargetMode="External"/><Relationship Id="rId209" Type="http://schemas.openxmlformats.org/officeDocument/2006/relationships/hyperlink" Target="https://www.sec.gov/Archives/edgar/data/1144215/000114421521000097/ayi-20210831xex10iiia83.htm" TargetMode="External"/><Relationship Id="rId210" Type="http://schemas.openxmlformats.org/officeDocument/2006/relationships/hyperlink" Target="https://www.sec.gov/Archives/edgar/data/1144215/000119312510025834/dex101.htm" TargetMode="External"/><Relationship Id="rId212" Type="http://schemas.openxmlformats.org/officeDocument/2006/relationships/hyperlink" Target="https://www.sec.gov/Archives/edgar/data/1144215/000114421514000037/ayi-20140228xex10iiia1.htm" TargetMode="External"/><Relationship Id="rId213" Type="http://schemas.openxmlformats.org/officeDocument/2006/relationships/hyperlink" Target="https://www.sec.gov/Archives/edgar/data/1144215/000114421514000108/ayi-20140831xex10iiia66.htm" TargetMode="External"/><Relationship Id="rId214" Type="http://schemas.openxmlformats.org/officeDocument/2006/relationships/hyperlink" Target="https://www.sec.gov/Archives/edgar/data/1144215/000114421516000200/ayi-20160229xex10iiia1.htm" TargetMode="External"/><Relationship Id="rId215" Type="http://schemas.openxmlformats.org/officeDocument/2006/relationships/hyperlink" Target="https://www.sec.gov/Archives/edgar/data/1144215/000114421516000287/ayi-2016831xex10iiia70.htm" TargetMode="External"/><Relationship Id="rId216" Type="http://schemas.openxmlformats.org/officeDocument/2006/relationships/hyperlink" Target="https://www.sec.gov/Archives/edgar/data/1144215/000114421517000106/ayi-20170831xex10iiia72.htm" TargetMode="External"/><Relationship Id="rId217" Type="http://schemas.openxmlformats.org/officeDocument/2006/relationships/hyperlink" Target="https://www.sec.gov/Archives/edgar/data/1144215/000114421516000287/ayi-2016831xex10iiia72.htm" TargetMode="External"/><Relationship Id="rId218" Type="http://schemas.openxmlformats.org/officeDocument/2006/relationships/hyperlink" Target="https://www.sec.gov/Archives/edgar/data/1144215/000114421516000287/ayi-2016831xex10iiia73.htm" TargetMode="External"/><Relationship Id="rId219" Type="http://schemas.openxmlformats.org/officeDocument/2006/relationships/hyperlink" Target="https://www.sec.gov/Archives/edgar/data/1144215/000114421517000130/a2017proxydef14a.htm#sb719b3f2e0d14bb0948e9c46f7f66dcb" TargetMode="External"/><Relationship Id="rId220" Type="http://schemas.openxmlformats.org/officeDocument/2006/relationships/hyperlink" Target="https://www.sec.gov/Archives/edgar/data/1144215/000114421518000040/ayi-20180228xex10iiia1.htm" TargetMode="External"/><Relationship Id="rId221" Type="http://schemas.openxmlformats.org/officeDocument/2006/relationships/hyperlink" Target="https://www.sec.gov/Archives/edgar/data/1144215/000114421518000040/ayi-20180228xex10iiia3.htm" TargetMode="External"/><Relationship Id="rId222" Type="http://schemas.openxmlformats.org/officeDocument/2006/relationships/hyperlink" Target="https://www.sec.gov/Archives/edgar/data/1144215/000114421522000010/ayi-20211130xex10a.htm" TargetMode="External"/><Relationship Id="rId223" Type="http://schemas.openxmlformats.org/officeDocument/2006/relationships/hyperlink" Target="https://www.sec.gov/Archives/edgar/data/1144215/000114421522000010/ayi-20211130xex10b.htm" TargetMode="External"/><Relationship Id="rId224" Type="http://schemas.openxmlformats.org/officeDocument/2006/relationships/hyperlink" Target="https://www.sec.gov/Archives/edgar/data/1144215/000114421519000114/ayi-20190831xex10iiia93.htm" TargetMode="External"/><Relationship Id="rId225" Type="http://schemas.openxmlformats.org/officeDocument/2006/relationships/hyperlink" Target="https://www.sec.gov/Archives/edgar/data/0001144215/000114421521000008/ayi-20201130xex10c.htm" TargetMode="External"/><Relationship Id="rId226" Type="http://schemas.openxmlformats.org/officeDocument/2006/relationships/hyperlink" Target="https://www.sec.gov/Archives/edgar/data/1144215/000114421519000114/ayi-20190831xex10iiia94.htm" TargetMode="External"/><Relationship Id="rId228" Type="http://schemas.openxmlformats.org/officeDocument/2006/relationships/hyperlink" Target="https://www.sec.gov/Archives/edgar/data/0001144215/000114421521000008/ayi-20201130xex10d.htm" TargetMode="External"/><Relationship Id="rId229" Type="http://schemas.openxmlformats.org/officeDocument/2006/relationships/hyperlink" Target="https://www.sec.gov/Archives/edgar/data/1144215/000114421523000008/ayi-20221130xex101.htm" TargetMode="External"/><Relationship Id="rId230" Type="http://schemas.openxmlformats.org/officeDocument/2006/relationships/hyperlink" Target="https://www.sec.gov/Archives/edgar/data/1144215/000114421525000043/exhibit10a-acuityincnonxem.htm" TargetMode="External"/><Relationship Id="rId231" Type="http://schemas.openxmlformats.org/officeDocument/2006/relationships/hyperlink" Target="https://www.sec.gov/Archives/edgar/data/1144215/000114421523000053/ayi-20230228xex102amendeda.htm" TargetMode="External"/><Relationship Id="rId232" Type="http://schemas.openxmlformats.org/officeDocument/2006/relationships/hyperlink" Target="https://www.sec.gov/Archives/edgar/data/1144215/000114421523000090/ayi-20230831xex10iiia76.htm" TargetMode="External"/><Relationship Id="rId233" Type="http://schemas.openxmlformats.org/officeDocument/2006/relationships/hyperlink" Target="https://www.sec.gov/Archives/edgar/data/1144215/000114421523000090/ayi-20230831xex10iiia77.htm" TargetMode="External"/><Relationship Id="rId234" Type="http://schemas.openxmlformats.org/officeDocument/2006/relationships/hyperlink" Target="https://www.sec.gov/Archives/edgar/data/1144215/000114421523000090/ayi-20230831xex10iiia78.htm" TargetMode="External"/><Relationship Id="rId235" Type="http://schemas.openxmlformats.org/officeDocument/2006/relationships/hyperlink" Target="https://www.sec.gov/Archives/edgar/data/1144215/000114421525000059/ayi5312025-ex10e.htm" TargetMode="External"/><Relationship Id="rId236" Type="http://schemas.openxmlformats.org/officeDocument/2006/relationships/hyperlink" Target="https://www.sec.gov/Archives/edgar/data/1144215/000114421525000059/ayi5312025-ex10b.htm" TargetMode="External"/><Relationship Id="rId237" Type="http://schemas.openxmlformats.org/officeDocument/2006/relationships/hyperlink" Target="https://www.sec.gov/Archives/edgar/data/1144215/000114421525000059/ayi5312025-ex10d.htm" TargetMode="External"/><Relationship Id="rId238" Type="http://schemas.openxmlformats.org/officeDocument/2006/relationships/hyperlink" Target="https://www.sec.gov/Archives/edgar/data/1144215/000114421525000043/exhibit10c-acuityincamende.htm" TargetMode="External"/><Relationship Id="rId239" Type="http://schemas.openxmlformats.org/officeDocument/2006/relationships/hyperlink" Target="https://www.sec.gov/Archives/edgar/data/1144215/000114421525000043/exhibit10d-acuityincamende.htm" TargetMode="External"/><Relationship Id="rId240" Type="http://schemas.openxmlformats.org/officeDocument/2006/relationships/hyperlink" Target="https://www.sec.gov/Archives/edgar/data/1144215/000114421525000043/exhibit10e-acuityincamende.htm" TargetMode="External"/><Relationship Id="rId242" Type="http://schemas.openxmlformats.org/officeDocument/2006/relationships/hyperlink" Target="https://www.sec.gov/Archives/edgar/data/1144215/000114421525000043/ayi2282025-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2025-10-27T15:45:26Z</dcterms:created>
  <dcterms:modified xsi:type="dcterms:W3CDTF">2025-10-27T15:45:26Z</dcterms:modified>
</cp:coreProperties>
</file>