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ind w:left="3880"/>
        <w:spacing w:after="0"/>
        <w:rPr>
          <w:sz w:val="20"/>
          <w:szCs w:val="20"/>
          <w:color w:val="auto"/>
        </w:rPr>
      </w:pPr>
      <w:r>
        <w:rPr>
          <w:rFonts w:ascii="Arial" w:cs="Arial" w:eastAsia="Arial" w:hAnsi="Arial"/>
          <w:sz w:val="11"/>
          <w:szCs w:val="11"/>
          <w:color w:val="auto"/>
        </w:rPr>
        <w:t>__________________________________________________________</w:t>
      </w:r>
    </w:p>
    <w:p>
      <w:pPr>
        <w:jc w:val="center"/>
        <w:spacing w:after="0"/>
        <w:rPr>
          <w:sz w:val="20"/>
          <w:szCs w:val="20"/>
          <w:color w:val="auto"/>
        </w:rPr>
      </w:pPr>
      <w:r>
        <w:rPr>
          <w:rFonts w:ascii="Arial" w:cs="Arial" w:eastAsia="Arial" w:hAnsi="Arial"/>
          <w:sz w:val="22"/>
          <w:szCs w:val="22"/>
          <w:b w:val="1"/>
          <w:bCs w:val="1"/>
          <w:color w:val="auto"/>
        </w:rPr>
        <w:t>Form 10-K</w:t>
      </w:r>
    </w:p>
    <w:p>
      <w:pPr>
        <w:ind w:left="4060"/>
        <w:spacing w:after="0"/>
        <w:rPr>
          <w:sz w:val="20"/>
          <w:szCs w:val="20"/>
          <w:color w:val="auto"/>
        </w:rPr>
      </w:pPr>
      <w:r>
        <w:rPr>
          <w:rFonts w:ascii="Arial" w:cs="Arial" w:eastAsia="Arial" w:hAnsi="Arial"/>
          <w:sz w:val="11"/>
          <w:szCs w:val="11"/>
          <w:color w:val="auto"/>
        </w:rPr>
        <w:t>__________________________________________________________</w:t>
      </w:r>
    </w:p>
    <w:p>
      <w:pPr>
        <w:spacing w:after="0" w:line="146" w:lineRule="exact"/>
        <w:rPr>
          <w:sz w:val="24"/>
          <w:szCs w:val="24"/>
          <w:color w:val="auto"/>
        </w:rPr>
      </w:pPr>
    </w:p>
    <w:p>
      <w:pPr>
        <w:ind w:left="1060"/>
        <w:spacing w:after="0"/>
        <w:rPr>
          <w:sz w:val="20"/>
          <w:szCs w:val="20"/>
          <w:color w:val="auto"/>
        </w:rPr>
      </w:pPr>
      <w:r>
        <w:rPr>
          <w:rFonts w:ascii="Arial" w:cs="Arial" w:eastAsia="Arial" w:hAnsi="Arial"/>
          <w:sz w:val="14"/>
          <w:szCs w:val="14"/>
          <w:b w:val="1"/>
          <w:bCs w:val="1"/>
          <w:color w:val="auto"/>
        </w:rPr>
        <w:t>(Mark One)</w:t>
      </w:r>
    </w:p>
    <w:p>
      <w:pPr>
        <w:spacing w:after="0" w:line="55" w:lineRule="exact"/>
        <w:rPr>
          <w:sz w:val="24"/>
          <w:szCs w:val="24"/>
          <w:color w:val="auto"/>
        </w:rPr>
      </w:pPr>
    </w:p>
    <w:p>
      <w:pPr>
        <w:ind w:left="4180" w:right="1600" w:hanging="2815"/>
        <w:spacing w:after="0" w:line="345" w:lineRule="auto"/>
        <w:tabs>
          <w:tab w:leader="none" w:pos="2536"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August 31, 2020.</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2400" w:hanging="1029"/>
        <w:spacing w:after="0"/>
        <w:tabs>
          <w:tab w:leader="none" w:pos="24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transition period from to .</w:t>
      </w:r>
    </w:p>
    <w:p>
      <w:pPr>
        <w:spacing w:after="0" w:line="32" w:lineRule="exact"/>
        <w:rPr>
          <w:sz w:val="24"/>
          <w:szCs w:val="24"/>
          <w:color w:val="auto"/>
        </w:rPr>
      </w:pPr>
    </w:p>
    <w:p>
      <w:pPr>
        <w:ind w:left="3880"/>
        <w:spacing w:after="0"/>
        <w:rPr>
          <w:sz w:val="20"/>
          <w:szCs w:val="20"/>
          <w:color w:val="auto"/>
        </w:rPr>
      </w:pPr>
      <w:r>
        <w:rPr>
          <w:rFonts w:ascii="Arial" w:cs="Arial" w:eastAsia="Arial" w:hAnsi="Arial"/>
          <w:sz w:val="11"/>
          <w:szCs w:val="11"/>
          <w:color w:val="auto"/>
        </w:rPr>
        <w:t>__________________________________________________________</w:t>
      </w:r>
    </w:p>
    <w:p>
      <w:pPr>
        <w:jc w:val="center"/>
        <w:spacing w:after="0"/>
        <w:rPr>
          <w:sz w:val="20"/>
          <w:szCs w:val="20"/>
          <w:color w:val="auto"/>
        </w:rPr>
      </w:pPr>
      <w:r>
        <w:rPr>
          <w:rFonts w:ascii="Arial" w:cs="Arial" w:eastAsia="Arial" w:hAnsi="Arial"/>
          <w:sz w:val="29"/>
          <w:szCs w:val="29"/>
          <w:b w:val="1"/>
          <w:bCs w:val="1"/>
          <w:color w:val="auto"/>
        </w:rPr>
        <w:t>ACUITY BRANDS,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ind w:left="3880"/>
        <w:spacing w:after="0"/>
        <w:rPr>
          <w:sz w:val="20"/>
          <w:szCs w:val="20"/>
          <w:color w:val="auto"/>
        </w:rPr>
      </w:pPr>
      <w:r>
        <w:rPr>
          <w:rFonts w:ascii="Arial" w:cs="Arial" w:eastAsia="Arial" w:hAnsi="Arial"/>
          <w:sz w:val="11"/>
          <w:szCs w:val="11"/>
          <w:color w:val="auto"/>
        </w:rPr>
        <w:t>__________________________________________________________</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jc w:val="center"/>
              <w:spacing w:after="0"/>
              <w:rPr>
                <w:sz w:val="20"/>
                <w:szCs w:val="20"/>
                <w:color w:val="auto"/>
              </w:rPr>
            </w:pPr>
            <w:r>
              <w:rPr>
                <w:rFonts w:ascii="Arial" w:cs="Arial" w:eastAsia="Arial" w:hAnsi="Arial"/>
                <w:sz w:val="14"/>
                <w:szCs w:val="14"/>
                <w:b w:val="1"/>
                <w:bCs w:val="1"/>
                <w:color w:val="auto"/>
              </w:rPr>
              <w:t>Delaware</w:t>
            </w:r>
          </w:p>
        </w:tc>
        <w:tc>
          <w:tcPr>
            <w:tcW w:w="3140" w:type="dxa"/>
            <w:vAlign w:val="bottom"/>
            <w:gridSpan w:val="4"/>
          </w:tcPr>
          <w:p>
            <w:pPr>
              <w:jc w:val="right"/>
              <w:ind w:right="768"/>
              <w:spacing w:after="0"/>
              <w:rPr>
                <w:sz w:val="20"/>
                <w:szCs w:val="20"/>
                <w:color w:val="auto"/>
              </w:rPr>
            </w:pPr>
            <w:r>
              <w:rPr>
                <w:rFonts w:ascii="Arial" w:cs="Arial" w:eastAsia="Arial" w:hAnsi="Arial"/>
                <w:sz w:val="14"/>
                <w:szCs w:val="14"/>
                <w:b w:val="1"/>
                <w:bCs w:val="1"/>
                <w:color w:val="auto"/>
              </w:rPr>
              <w:t>001-16583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20" w:type="dxa"/>
            <w:vAlign w:val="bottom"/>
          </w:tcPr>
          <w:p>
            <w:pPr>
              <w:jc w:val="right"/>
              <w:ind w:right="1388"/>
              <w:spacing w:after="0"/>
              <w:rPr>
                <w:sz w:val="20"/>
                <w:szCs w:val="20"/>
                <w:color w:val="auto"/>
              </w:rPr>
            </w:pPr>
            <w:r>
              <w:rPr>
                <w:rFonts w:ascii="Arial" w:cs="Arial" w:eastAsia="Arial" w:hAnsi="Arial"/>
                <w:sz w:val="14"/>
                <w:szCs w:val="14"/>
                <w:b w:val="1"/>
                <w:bCs w:val="1"/>
                <w:color w:val="auto"/>
              </w:rPr>
              <w:t>58-2632672</w:t>
            </w:r>
          </w:p>
        </w:tc>
      </w:tr>
      <w:tr>
        <w:trPr>
          <w:trHeight w:val="66"/>
        </w:trPr>
        <w:tc>
          <w:tcPr>
            <w:tcW w:w="36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3220" w:type="dxa"/>
            <w:vAlign w:val="bottom"/>
            <w:tcBorders>
              <w:bottom w:val="single" w:sz="8" w:color="auto"/>
            </w:tcBorders>
          </w:tcPr>
          <w:p>
            <w:pPr>
              <w:spacing w:after="0"/>
              <w:rPr>
                <w:sz w:val="5"/>
                <w:szCs w:val="5"/>
                <w:color w:val="auto"/>
              </w:rPr>
            </w:pPr>
          </w:p>
        </w:tc>
      </w:tr>
      <w:tr>
        <w:trPr>
          <w:trHeight w:val="173"/>
        </w:trPr>
        <w:tc>
          <w:tcPr>
            <w:tcW w:w="3620" w:type="dxa"/>
            <w:vAlign w:val="bottom"/>
          </w:tcPr>
          <w:p>
            <w:pPr>
              <w:jc w:val="center"/>
              <w:spacing w:after="0"/>
              <w:rPr>
                <w:sz w:val="20"/>
                <w:szCs w:val="20"/>
                <w:color w:val="auto"/>
              </w:rPr>
            </w:pPr>
            <w:r>
              <w:rPr>
                <w:rFonts w:ascii="Arial" w:cs="Arial" w:eastAsia="Arial" w:hAnsi="Arial"/>
                <w:sz w:val="14"/>
                <w:szCs w:val="14"/>
                <w:i w:val="1"/>
                <w:iCs w:val="1"/>
                <w:color w:val="auto"/>
              </w:rPr>
              <w:t>(State or other jurisdiction of incorporation or</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gridSpan w:val="3"/>
          </w:tcPr>
          <w:p>
            <w:pPr>
              <w:jc w:val="center"/>
              <w:ind w:right="800"/>
              <w:spacing w:after="0"/>
              <w:rPr>
                <w:sz w:val="20"/>
                <w:szCs w:val="20"/>
                <w:color w:val="auto"/>
              </w:rPr>
            </w:pPr>
            <w:r>
              <w:rPr>
                <w:rFonts w:ascii="Arial" w:cs="Arial" w:eastAsia="Arial" w:hAnsi="Arial"/>
                <w:sz w:val="14"/>
                <w:szCs w:val="14"/>
                <w:i w:val="1"/>
                <w:iCs w:val="1"/>
                <w:color w:val="auto"/>
              </w:rPr>
              <w:t>(Commission File Number)</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20" w:type="dxa"/>
            <w:vAlign w:val="bottom"/>
          </w:tcPr>
          <w:p>
            <w:pPr>
              <w:ind w:left="120"/>
              <w:spacing w:after="0"/>
              <w:rPr>
                <w:sz w:val="20"/>
                <w:szCs w:val="20"/>
                <w:color w:val="auto"/>
              </w:rPr>
            </w:pPr>
            <w:r>
              <w:rPr>
                <w:rFonts w:ascii="Arial" w:cs="Arial" w:eastAsia="Arial" w:hAnsi="Arial"/>
                <w:sz w:val="14"/>
                <w:szCs w:val="14"/>
                <w:i w:val="1"/>
                <w:iCs w:val="1"/>
                <w:color w:val="auto"/>
              </w:rPr>
              <w:t>(I.R.S. Employer Identification Number)</w:t>
            </w:r>
          </w:p>
        </w:tc>
      </w:tr>
      <w:tr>
        <w:trPr>
          <w:trHeight w:val="186"/>
        </w:trPr>
        <w:tc>
          <w:tcPr>
            <w:tcW w:w="3620" w:type="dxa"/>
            <w:vAlign w:val="bottom"/>
          </w:tcPr>
          <w:p>
            <w:pPr>
              <w:jc w:val="center"/>
              <w:spacing w:after="0"/>
              <w:rPr>
                <w:sz w:val="20"/>
                <w:szCs w:val="20"/>
                <w:color w:val="auto"/>
              </w:rPr>
            </w:pPr>
            <w:r>
              <w:rPr>
                <w:rFonts w:ascii="Arial" w:cs="Arial" w:eastAsia="Arial" w:hAnsi="Arial"/>
                <w:sz w:val="14"/>
                <w:szCs w:val="14"/>
                <w:i w:val="1"/>
                <w:iCs w:val="1"/>
                <w:color w:val="auto"/>
              </w:rPr>
              <w:t>organization)</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139"/>
        </w:trPr>
        <w:tc>
          <w:tcPr>
            <w:tcW w:w="3620" w:type="dxa"/>
            <w:vAlign w:val="bottom"/>
          </w:tcPr>
          <w:p>
            <w:pPr>
              <w:spacing w:after="0"/>
              <w:rPr>
                <w:sz w:val="12"/>
                <w:szCs w:val="12"/>
                <w:color w:val="auto"/>
              </w:rPr>
            </w:pPr>
          </w:p>
        </w:tc>
        <w:tc>
          <w:tcPr>
            <w:tcW w:w="3820" w:type="dxa"/>
            <w:vAlign w:val="bottom"/>
            <w:gridSpan w:val="6"/>
          </w:tcPr>
          <w:p>
            <w:pPr>
              <w:jc w:val="center"/>
              <w:ind w:left="117"/>
              <w:spacing w:after="0"/>
              <w:rPr>
                <w:sz w:val="20"/>
                <w:szCs w:val="20"/>
                <w:color w:val="auto"/>
              </w:rPr>
            </w:pPr>
            <w:r>
              <w:rPr>
                <w:rFonts w:ascii="Arial" w:cs="Arial" w:eastAsia="Arial" w:hAnsi="Arial"/>
                <w:sz w:val="11"/>
                <w:szCs w:val="11"/>
                <w:color w:val="auto"/>
                <w:w w:val="98"/>
              </w:rPr>
              <w:t>__________________________________________________________</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215"/>
        </w:trPr>
        <w:tc>
          <w:tcPr>
            <w:tcW w:w="8020" w:type="dxa"/>
            <w:vAlign w:val="bottom"/>
            <w:gridSpan w:val="9"/>
          </w:tcPr>
          <w:p>
            <w:pPr>
              <w:jc w:val="center"/>
              <w:ind w:left="3148"/>
              <w:spacing w:after="0"/>
              <w:rPr>
                <w:sz w:val="20"/>
                <w:szCs w:val="20"/>
                <w:color w:val="auto"/>
              </w:rPr>
            </w:pPr>
            <w:r>
              <w:rPr>
                <w:rFonts w:ascii="Arial" w:cs="Arial" w:eastAsia="Arial" w:hAnsi="Arial"/>
                <w:sz w:val="14"/>
                <w:szCs w:val="14"/>
                <w:b w:val="1"/>
                <w:bCs w:val="1"/>
                <w:color w:val="auto"/>
              </w:rPr>
              <w:t>1170 Peachtree Street, N.E., Suite 2300, Atlanta, Georgia 30309-7676</w:t>
            </w:r>
          </w:p>
        </w:tc>
        <w:tc>
          <w:tcPr>
            <w:tcW w:w="3220" w:type="dxa"/>
            <w:vAlign w:val="bottom"/>
          </w:tcPr>
          <w:p>
            <w:pPr>
              <w:spacing w:after="0"/>
              <w:rPr>
                <w:sz w:val="18"/>
                <w:szCs w:val="18"/>
                <w:color w:val="auto"/>
              </w:rPr>
            </w:pPr>
          </w:p>
        </w:tc>
      </w:tr>
      <w:tr>
        <w:trPr>
          <w:trHeight w:val="186"/>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00" w:type="dxa"/>
            <w:vAlign w:val="bottom"/>
            <w:gridSpan w:val="5"/>
          </w:tcPr>
          <w:p>
            <w:pPr>
              <w:jc w:val="center"/>
              <w:ind w:left="8"/>
              <w:spacing w:after="0"/>
              <w:rPr>
                <w:sz w:val="20"/>
                <w:szCs w:val="20"/>
                <w:color w:val="auto"/>
              </w:rPr>
            </w:pPr>
            <w:r>
              <w:rPr>
                <w:rFonts w:ascii="Arial" w:cs="Arial" w:eastAsia="Arial" w:hAnsi="Arial"/>
                <w:sz w:val="14"/>
                <w:szCs w:val="14"/>
                <w:i w:val="1"/>
                <w:iCs w:val="1"/>
                <w:color w:val="auto"/>
              </w:rPr>
              <w:t>(Address of principal executive offices)</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05"/>
        </w:trPr>
        <w:tc>
          <w:tcPr>
            <w:tcW w:w="3620" w:type="dxa"/>
            <w:vAlign w:val="bottom"/>
          </w:tcPr>
          <w:p>
            <w:pPr>
              <w:spacing w:after="0"/>
              <w:rPr>
                <w:sz w:val="17"/>
                <w:szCs w:val="17"/>
                <w:color w:val="auto"/>
              </w:rPr>
            </w:pPr>
          </w:p>
        </w:tc>
        <w:tc>
          <w:tcPr>
            <w:tcW w:w="3140" w:type="dxa"/>
            <w:vAlign w:val="bottom"/>
            <w:gridSpan w:val="4"/>
          </w:tcPr>
          <w:p>
            <w:pPr>
              <w:jc w:val="center"/>
              <w:ind w:left="817"/>
              <w:spacing w:after="0"/>
              <w:rPr>
                <w:sz w:val="20"/>
                <w:szCs w:val="20"/>
                <w:color w:val="auto"/>
              </w:rPr>
            </w:pPr>
            <w:r>
              <w:rPr>
                <w:rFonts w:ascii="Arial" w:cs="Arial" w:eastAsia="Arial" w:hAnsi="Arial"/>
                <w:sz w:val="14"/>
                <w:szCs w:val="14"/>
                <w:b w:val="1"/>
                <w:bCs w:val="1"/>
                <w:color w:val="auto"/>
              </w:rPr>
              <w:t>(404) 853-1400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168"/>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gridSpan w:val="5"/>
          </w:tcPr>
          <w:p>
            <w:pPr>
              <w:jc w:val="center"/>
              <w:ind w:left="8"/>
              <w:spacing w:after="0"/>
              <w:rPr>
                <w:sz w:val="20"/>
                <w:szCs w:val="20"/>
                <w:color w:val="auto"/>
              </w:rPr>
            </w:pPr>
            <w:r>
              <w:rPr>
                <w:rFonts w:ascii="Arial" w:cs="Arial" w:eastAsia="Arial" w:hAnsi="Arial"/>
                <w:sz w:val="14"/>
                <w:szCs w:val="14"/>
                <w:i w:val="1"/>
                <w:iCs w:val="1"/>
                <w:color w:val="auto"/>
              </w:rPr>
              <w:t>(Registrant’s telephone number, including area code)</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130"/>
        </w:trPr>
        <w:tc>
          <w:tcPr>
            <w:tcW w:w="3620" w:type="dxa"/>
            <w:vAlign w:val="bottom"/>
          </w:tcPr>
          <w:p>
            <w:pPr>
              <w:spacing w:after="0"/>
              <w:rPr>
                <w:sz w:val="11"/>
                <w:szCs w:val="11"/>
                <w:color w:val="auto"/>
              </w:rPr>
            </w:pPr>
          </w:p>
        </w:tc>
        <w:tc>
          <w:tcPr>
            <w:tcW w:w="3820" w:type="dxa"/>
            <w:vAlign w:val="bottom"/>
            <w:gridSpan w:val="6"/>
          </w:tcPr>
          <w:p>
            <w:pPr>
              <w:jc w:val="center"/>
              <w:ind w:left="117"/>
              <w:spacing w:after="0"/>
              <w:rPr>
                <w:sz w:val="20"/>
                <w:szCs w:val="20"/>
                <w:color w:val="auto"/>
              </w:rPr>
            </w:pPr>
            <w:r>
              <w:rPr>
                <w:rFonts w:ascii="Arial" w:cs="Arial" w:eastAsia="Arial" w:hAnsi="Arial"/>
                <w:sz w:val="11"/>
                <w:szCs w:val="11"/>
                <w:color w:val="auto"/>
                <w:w w:val="98"/>
              </w:rPr>
              <w:t>__________________________________________________________</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239"/>
        </w:trPr>
        <w:tc>
          <w:tcPr>
            <w:tcW w:w="3620" w:type="dxa"/>
            <w:vAlign w:val="bottom"/>
          </w:tcPr>
          <w:p>
            <w:pPr>
              <w:spacing w:after="0"/>
              <w:rPr>
                <w:sz w:val="20"/>
                <w:szCs w:val="20"/>
                <w:color w:val="auto"/>
              </w:rPr>
            </w:pPr>
          </w:p>
        </w:tc>
        <w:tc>
          <w:tcPr>
            <w:tcW w:w="440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3220" w:type="dxa"/>
            <w:vAlign w:val="bottom"/>
          </w:tcPr>
          <w:p>
            <w:pPr>
              <w:spacing w:after="0"/>
              <w:rPr>
                <w:sz w:val="20"/>
                <w:szCs w:val="20"/>
                <w:color w:val="auto"/>
              </w:rPr>
            </w:pPr>
          </w:p>
        </w:tc>
      </w:tr>
      <w:tr>
        <w:trPr>
          <w:trHeight w:val="384"/>
        </w:trPr>
        <w:tc>
          <w:tcPr>
            <w:tcW w:w="3620" w:type="dxa"/>
            <w:vAlign w:val="bottom"/>
            <w:tcBorders>
              <w:bottom w:val="single" w:sz="8" w:color="auto"/>
            </w:tcBorders>
          </w:tcPr>
          <w:p>
            <w:pPr>
              <w:jc w:val="center"/>
              <w:ind w:left="708"/>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3"/>
          </w:tcPr>
          <w:p>
            <w:pPr>
              <w:jc w:val="center"/>
              <w:ind w:right="48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44"/>
        </w:trPr>
        <w:tc>
          <w:tcPr>
            <w:tcW w:w="3620" w:type="dxa"/>
            <w:vAlign w:val="bottom"/>
          </w:tcPr>
          <w:p>
            <w:pPr>
              <w:jc w:val="center"/>
              <w:ind w:left="708"/>
              <w:spacing w:after="0"/>
              <w:rPr>
                <w:sz w:val="20"/>
                <w:szCs w:val="20"/>
                <w:color w:val="auto"/>
              </w:rPr>
            </w:pPr>
            <w:r>
              <w:rPr>
                <w:rFonts w:ascii="Arial" w:cs="Arial" w:eastAsia="Arial" w:hAnsi="Arial"/>
                <w:sz w:val="14"/>
                <w:szCs w:val="14"/>
                <w:color w:val="auto"/>
              </w:rPr>
              <w:t>Common stock, $0.01 par value per share</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20" w:type="dxa"/>
            <w:vAlign w:val="bottom"/>
            <w:gridSpan w:val="3"/>
          </w:tcPr>
          <w:p>
            <w:pPr>
              <w:jc w:val="center"/>
              <w:ind w:right="700"/>
              <w:spacing w:after="0"/>
              <w:rPr>
                <w:sz w:val="20"/>
                <w:szCs w:val="20"/>
                <w:color w:val="auto"/>
              </w:rPr>
            </w:pPr>
            <w:r>
              <w:rPr>
                <w:rFonts w:ascii="Arial" w:cs="Arial" w:eastAsia="Arial" w:hAnsi="Arial"/>
                <w:sz w:val="14"/>
                <w:szCs w:val="14"/>
                <w:color w:val="auto"/>
                <w:w w:val="97"/>
              </w:rPr>
              <w:t>AYI</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20" w:type="dxa"/>
            <w:vAlign w:val="bottom"/>
          </w:tcPr>
          <w:p>
            <w:pPr>
              <w:jc w:val="center"/>
              <w:ind w:right="1088"/>
              <w:spacing w:after="0"/>
              <w:rPr>
                <w:sz w:val="20"/>
                <w:szCs w:val="20"/>
                <w:color w:val="auto"/>
              </w:rPr>
            </w:pPr>
            <w:r>
              <w:rPr>
                <w:rFonts w:ascii="Arial" w:cs="Arial" w:eastAsia="Arial" w:hAnsi="Arial"/>
                <w:sz w:val="14"/>
                <w:szCs w:val="14"/>
                <w:color w:val="auto"/>
              </w:rPr>
              <w:t>New York Stock Exchange</w:t>
            </w:r>
          </w:p>
        </w:tc>
      </w:tr>
      <w:tr>
        <w:trPr>
          <w:trHeight w:val="238"/>
        </w:trPr>
        <w:tc>
          <w:tcPr>
            <w:tcW w:w="8020" w:type="dxa"/>
            <w:vAlign w:val="bottom"/>
            <w:gridSpan w:val="9"/>
          </w:tcPr>
          <w:p>
            <w:pPr>
              <w:jc w:val="center"/>
              <w:ind w:left="3148"/>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c>
          <w:tcPr>
            <w:tcW w:w="3220" w:type="dxa"/>
            <w:vAlign w:val="bottom"/>
          </w:tcPr>
          <w:p>
            <w:pPr>
              <w:spacing w:after="0"/>
              <w:rPr>
                <w:sz w:val="20"/>
                <w:szCs w:val="20"/>
                <w:color w:val="auto"/>
              </w:rPr>
            </w:pPr>
          </w:p>
        </w:tc>
      </w:tr>
      <w:tr>
        <w:trPr>
          <w:trHeight w:val="130"/>
        </w:trPr>
        <w:tc>
          <w:tcPr>
            <w:tcW w:w="3620" w:type="dxa"/>
            <w:vAlign w:val="bottom"/>
          </w:tcPr>
          <w:p>
            <w:pPr>
              <w:spacing w:after="0"/>
              <w:rPr>
                <w:sz w:val="11"/>
                <w:szCs w:val="11"/>
                <w:color w:val="auto"/>
              </w:rPr>
            </w:pPr>
          </w:p>
        </w:tc>
        <w:tc>
          <w:tcPr>
            <w:tcW w:w="3820" w:type="dxa"/>
            <w:vAlign w:val="bottom"/>
            <w:gridSpan w:val="6"/>
          </w:tcPr>
          <w:p>
            <w:pPr>
              <w:jc w:val="center"/>
              <w:ind w:left="117"/>
              <w:spacing w:after="0"/>
              <w:rPr>
                <w:sz w:val="20"/>
                <w:szCs w:val="20"/>
                <w:color w:val="auto"/>
              </w:rPr>
            </w:pPr>
            <w:r>
              <w:rPr>
                <w:rFonts w:ascii="Arial" w:cs="Arial" w:eastAsia="Arial" w:hAnsi="Arial"/>
                <w:sz w:val="11"/>
                <w:szCs w:val="11"/>
                <w:color w:val="auto"/>
                <w:w w:val="98"/>
              </w:rPr>
              <w:t>__________________________________________________________</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242"/>
        </w:trPr>
        <w:tc>
          <w:tcPr>
            <w:tcW w:w="8020" w:type="dxa"/>
            <w:vAlign w:val="bottom"/>
            <w:gridSpan w:val="9"/>
          </w:tcPr>
          <w:p>
            <w:pPr>
              <w:spacing w:after="0" w:line="161" w:lineRule="exact"/>
              <w:rPr>
                <w:sz w:val="20"/>
                <w:szCs w:val="20"/>
                <w:color w:val="auto"/>
              </w:rPr>
            </w:pPr>
            <w:r>
              <w:rPr>
                <w:rFonts w:ascii="Arial" w:cs="Arial" w:eastAsia="Arial" w:hAnsi="Arial"/>
                <w:sz w:val="14"/>
                <w:szCs w:val="14"/>
                <w:color w:val="auto"/>
              </w:rPr>
              <w:t xml:space="preserve">Indicate by checkmark if the registrant is a well-known seasoned issuer, as defined in Rule 405 of the Securities Act. Yes </w:t>
            </w:r>
            <w:r>
              <w:rPr>
                <w:rFonts w:ascii="MS PGothic" w:cs="MS PGothic" w:eastAsia="MS PGothic" w:hAnsi="MS PGothic"/>
                <w:sz w:val="14"/>
                <w:szCs w:val="14"/>
                <w:color w:val="auto"/>
              </w:rPr>
              <w:t>☑</w:t>
            </w:r>
          </w:p>
        </w:tc>
        <w:tc>
          <w:tcPr>
            <w:tcW w:w="3220" w:type="dxa"/>
            <w:vAlign w:val="bottom"/>
          </w:tcPr>
          <w:p>
            <w:pPr>
              <w:ind w:left="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30"/>
        </w:trPr>
        <w:tc>
          <w:tcPr>
            <w:tcW w:w="8020" w:type="dxa"/>
            <w:vAlign w:val="bottom"/>
            <w:gridSpan w:val="9"/>
          </w:tcPr>
          <w:p>
            <w:pPr>
              <w:spacing w:after="0" w:line="161" w:lineRule="exact"/>
              <w:rPr>
                <w:sz w:val="20"/>
                <w:szCs w:val="20"/>
                <w:color w:val="auto"/>
              </w:rPr>
            </w:pPr>
            <w:r>
              <w:rPr>
                <w:rFonts w:ascii="Arial" w:cs="Arial" w:eastAsia="Arial" w:hAnsi="Arial"/>
                <w:sz w:val="14"/>
                <w:szCs w:val="14"/>
                <w:color w:val="auto"/>
              </w:rPr>
              <w:t xml:space="preserve">Indicate by checkmark if the registrant is not required to file reports pursuant to Section 13 or Section 15(d) of the Act. Yes </w:t>
            </w:r>
            <w:r>
              <w:rPr>
                <w:rFonts w:ascii="MS PGothic" w:cs="MS PGothic" w:eastAsia="MS PGothic" w:hAnsi="MS PGothic"/>
                <w:sz w:val="14"/>
                <w:szCs w:val="14"/>
                <w:color w:val="auto"/>
              </w:rPr>
              <w:t>☐</w:t>
            </w:r>
          </w:p>
        </w:tc>
        <w:tc>
          <w:tcPr>
            <w:tcW w:w="322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4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tabs>
          <w:tab w:leader="none" w:pos="1200" w:val="left"/>
        </w:tabs>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ectPr>
          <w:pgSz w:w="11900" w:h="16838" w:orient="portrait"/>
          <w:cols w:equalWidth="0" w:num="1">
            <w:col w:w="11240"/>
          </w:cols>
          <w:pgMar w:left="320" w:top="368" w:right="339" w:bottom="1440" w:gutter="0" w:footer="0" w:header="0"/>
        </w:sectPr>
      </w:pPr>
    </w:p>
    <w:p>
      <w:pPr>
        <w:spacing w:after="0" w:line="69"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color w:val="auto"/>
        </w:rPr>
        <w:t>Rule 405 of Regulation S-T</w:t>
      </w:r>
    </w:p>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1" w:lineRule="exact"/>
        <w:rPr>
          <w:sz w:val="24"/>
          <w:szCs w:val="24"/>
          <w:color w:val="auto"/>
        </w:rPr>
      </w:pPr>
    </w:p>
    <w:p>
      <w:pPr>
        <w:sectPr>
          <w:pgSz w:w="11900" w:h="16838" w:orient="portrait"/>
          <w:cols w:equalWidth="0" w:num="2">
            <w:col w:w="9320" w:space="60"/>
            <w:col w:w="1860"/>
          </w:cols>
          <w:pgMar w:left="320" w:top="368" w:right="339" w:bottom="1440" w:gutter="0" w:footer="0" w:header="0"/>
          <w:type w:val="continuous"/>
        </w:sectPr>
      </w:pPr>
    </w:p>
    <w:p>
      <w:pPr>
        <w:ind w:right="2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68" w:right="339" w:bottom="1440" w:gutter="0" w:footer="0" w:header="0"/>
          <w:type w:val="continuous"/>
        </w:sectPr>
      </w:pPr>
    </w:p>
    <w:p>
      <w:pPr>
        <w:spacing w:after="0" w:line="153"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ectPr>
          <w:pgSz w:w="11900" w:h="16838" w:orient="portrait"/>
          <w:cols w:equalWidth="0" w:num="6">
            <w:col w:w="2420" w:space="720"/>
            <w:col w:w="120" w:space="240"/>
            <w:col w:w="2260" w:space="720"/>
            <w:col w:w="140" w:space="200"/>
            <w:col w:w="2260" w:space="720"/>
            <w:col w:w="1440"/>
          </w:cols>
          <w:pgMar w:left="320" w:top="368" w:right="339" w:bottom="1440" w:gutter="0" w:footer="0" w:header="0"/>
          <w:type w:val="continuous"/>
        </w:sectPr>
      </w:pPr>
    </w:p>
    <w:p>
      <w:pPr>
        <w:spacing w:after="0" w:line="51" w:lineRule="exact"/>
        <w:rPr>
          <w:sz w:val="24"/>
          <w:szCs w:val="24"/>
          <w:color w:val="auto"/>
        </w:rPr>
      </w:pPr>
    </w:p>
    <w:p>
      <w:pPr>
        <w:ind w:left="4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53" w:lineRule="exact"/>
        <w:rPr>
          <w:sz w:val="24"/>
          <w:szCs w:val="24"/>
          <w:color w:val="auto"/>
        </w:rPr>
      </w:pPr>
    </w:p>
    <w:p>
      <w:pPr>
        <w:sectPr>
          <w:pgSz w:w="11900" w:h="16838" w:orient="portrait"/>
          <w:cols w:equalWidth="0" w:num="4">
            <w:col w:w="2420" w:space="720"/>
            <w:col w:w="120" w:space="240"/>
            <w:col w:w="2260" w:space="720"/>
            <w:col w:w="4760"/>
          </w:cols>
          <w:pgMar w:left="320" w:top="368" w:right="339" w:bottom="1440" w:gutter="0" w:footer="0" w:header="0"/>
          <w:type w:val="continuous"/>
        </w:sectPr>
      </w:pPr>
    </w:p>
    <w:p>
      <w:pPr>
        <w:ind w:right="3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1" w:lineRule="exact"/>
        <w:rPr>
          <w:sz w:val="24"/>
          <w:szCs w:val="24"/>
          <w:color w:val="auto"/>
        </w:rPr>
      </w:pPr>
    </w:p>
    <w:p>
      <w:pPr>
        <w:ind w:right="42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61" w:lineRule="exact"/>
        <w:tabs>
          <w:tab w:leader="none" w:pos="71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6" w:lineRule="exact"/>
        <w:rPr>
          <w:sz w:val="24"/>
          <w:szCs w:val="24"/>
          <w:color w:val="auto"/>
        </w:rPr>
      </w:pPr>
    </w:p>
    <w:p>
      <w:pPr>
        <w:ind w:right="20"/>
        <w:spacing w:after="0" w:line="258" w:lineRule="auto"/>
        <w:rPr>
          <w:sz w:val="20"/>
          <w:szCs w:val="20"/>
          <w:color w:val="auto"/>
        </w:rPr>
      </w:pPr>
      <w:r>
        <w:rPr>
          <w:rFonts w:ascii="Arial" w:cs="Arial" w:eastAsia="Arial" w:hAnsi="Arial"/>
          <w:sz w:val="14"/>
          <w:szCs w:val="14"/>
          <w:color w:val="auto"/>
        </w:rPr>
        <w:t>Based on the closing price of the Registrant’s common stock of $102.86 as quoted on the New York Stock Exchange on February 29, 2020, the aggregate market value of the voting stock held by nonaffiliates of the registrant was $3.57 billion.</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registrant’s common stock, $0.01 par value, was 37,421,813 shares as of October 20, 2020.</w:t>
      </w:r>
    </w:p>
    <w:p>
      <w:pPr>
        <w:ind w:left="3880"/>
        <w:spacing w:after="0"/>
        <w:rPr>
          <w:sz w:val="20"/>
          <w:szCs w:val="20"/>
          <w:color w:val="auto"/>
        </w:rPr>
      </w:pPr>
      <w:r>
        <w:rPr>
          <w:rFonts w:ascii="Arial" w:cs="Arial" w:eastAsia="Arial" w:hAnsi="Arial"/>
          <w:sz w:val="11"/>
          <w:szCs w:val="11"/>
          <w:color w:val="auto"/>
        </w:rPr>
        <w:t>__________________________________________________________</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520" w:type="dxa"/>
            <w:vAlign w:val="bottom"/>
            <w:gridSpan w:val="2"/>
          </w:tcPr>
          <w:p>
            <w:pPr>
              <w:jc w:val="center"/>
              <w:ind w:right="2000"/>
              <w:spacing w:after="0"/>
              <w:rPr>
                <w:sz w:val="20"/>
                <w:szCs w:val="20"/>
                <w:color w:val="auto"/>
              </w:rPr>
            </w:pPr>
            <w:r>
              <w:rPr>
                <w:rFonts w:ascii="Arial" w:cs="Arial" w:eastAsia="Arial" w:hAnsi="Arial"/>
                <w:sz w:val="14"/>
                <w:szCs w:val="14"/>
                <w:b w:val="1"/>
                <w:bCs w:val="1"/>
                <w:color w:val="auto"/>
              </w:rPr>
              <w:t>Location in Form 10-K</w:t>
            </w:r>
          </w:p>
        </w:tc>
        <w:tc>
          <w:tcPr>
            <w:tcW w:w="580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rPr>
              <w:t>Incorporated Document</w:t>
            </w:r>
          </w:p>
        </w:tc>
      </w:tr>
      <w:tr>
        <w:trPr>
          <w:trHeight w:val="20"/>
        </w:trPr>
        <w:tc>
          <w:tcPr>
            <w:tcW w:w="19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25"/>
        </w:trPr>
        <w:tc>
          <w:tcPr>
            <w:tcW w:w="5440" w:type="dxa"/>
            <w:vAlign w:val="bottom"/>
            <w:gridSpan w:val="3"/>
          </w:tcPr>
          <w:p>
            <w:pPr>
              <w:jc w:val="center"/>
              <w:ind w:right="80"/>
              <w:spacing w:after="0"/>
              <w:rPr>
                <w:sz w:val="20"/>
                <w:szCs w:val="20"/>
                <w:color w:val="auto"/>
              </w:rPr>
            </w:pPr>
            <w:r>
              <w:rPr>
                <w:rFonts w:ascii="Arial" w:cs="Arial" w:eastAsia="Arial" w:hAnsi="Arial"/>
                <w:sz w:val="14"/>
                <w:szCs w:val="14"/>
                <w:color w:val="auto"/>
              </w:rPr>
              <w:t>Part II, Item 5; Part III, Items 10, 11, 12, 13, and 14</w:t>
            </w:r>
          </w:p>
        </w:tc>
        <w:tc>
          <w:tcPr>
            <w:tcW w:w="5800" w:type="dxa"/>
            <w:vAlign w:val="bottom"/>
            <w:gridSpan w:val="3"/>
          </w:tcPr>
          <w:p>
            <w:pPr>
              <w:jc w:val="center"/>
              <w:ind w:left="68"/>
              <w:spacing w:after="0"/>
              <w:rPr>
                <w:sz w:val="20"/>
                <w:szCs w:val="20"/>
                <w:color w:val="auto"/>
              </w:rPr>
            </w:pPr>
            <w:r>
              <w:rPr>
                <w:rFonts w:ascii="Arial" w:cs="Arial" w:eastAsia="Arial" w:hAnsi="Arial"/>
                <w:sz w:val="14"/>
                <w:szCs w:val="14"/>
                <w:color w:val="auto"/>
              </w:rPr>
              <w:t>Proxy Statement for 2020 Annual Meeting of Stockholders</w:t>
            </w:r>
          </w:p>
        </w:tc>
      </w:tr>
      <w:tr>
        <w:trPr>
          <w:trHeight w:val="363"/>
        </w:trPr>
        <w:tc>
          <w:tcPr>
            <w:tcW w:w="19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135"/>
        </w:trPr>
        <w:tc>
          <w:tcPr>
            <w:tcW w:w="19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r>
    </w:tbl>
    <w:p>
      <w:pPr>
        <w:sectPr>
          <w:pgSz w:w="11900" w:h="16838" w:orient="portrait"/>
          <w:cols w:equalWidth="0" w:num="1">
            <w:col w:w="11240"/>
          </w:cols>
          <w:pgMar w:left="320" w:top="368" w:right="3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0" w:type="dxa"/>
            <w:vAlign w:val="bottom"/>
          </w:tcPr>
          <w:p>
            <w:pPr>
              <w:spacing w:after="0"/>
              <w:rPr>
                <w:sz w:val="20"/>
                <w:szCs w:val="20"/>
                <w:color w:val="auto"/>
              </w:rPr>
            </w:pPr>
          </w:p>
        </w:tc>
        <w:tc>
          <w:tcPr>
            <w:tcW w:w="9900" w:type="dxa"/>
            <w:vAlign w:val="bottom"/>
          </w:tcPr>
          <w:p>
            <w:pPr>
              <w:jc w:val="center"/>
              <w:ind w:right="147"/>
              <w:spacing w:after="0"/>
              <w:rPr>
                <w:sz w:val="20"/>
                <w:szCs w:val="20"/>
                <w:color w:val="auto"/>
              </w:rPr>
            </w:pPr>
            <w:r>
              <w:rPr>
                <w:rFonts w:ascii="Arial" w:cs="Arial" w:eastAsia="Arial" w:hAnsi="Arial"/>
                <w:sz w:val="18"/>
                <w:szCs w:val="18"/>
                <w:b w:val="1"/>
                <w:bCs w:val="1"/>
                <w:color w:val="auto"/>
              </w:rPr>
              <w:t>ACUITY BRANDS, INC.</w:t>
            </w:r>
          </w:p>
        </w:tc>
        <w:tc>
          <w:tcPr>
            <w:tcW w:w="560" w:type="dxa"/>
            <w:vAlign w:val="bottom"/>
          </w:tcPr>
          <w:p>
            <w:pPr>
              <w:spacing w:after="0"/>
              <w:rPr>
                <w:sz w:val="20"/>
                <w:szCs w:val="20"/>
                <w:color w:val="auto"/>
              </w:rPr>
            </w:pPr>
          </w:p>
        </w:tc>
      </w:tr>
      <w:tr>
        <w:trPr>
          <w:trHeight w:val="338"/>
        </w:trPr>
        <w:tc>
          <w:tcPr>
            <w:tcW w:w="740" w:type="dxa"/>
            <w:vAlign w:val="bottom"/>
          </w:tcPr>
          <w:p>
            <w:pPr>
              <w:spacing w:after="0"/>
              <w:rPr>
                <w:sz w:val="24"/>
                <w:szCs w:val="24"/>
                <w:color w:val="auto"/>
              </w:rPr>
            </w:pPr>
          </w:p>
        </w:tc>
        <w:tc>
          <w:tcPr>
            <w:tcW w:w="9900" w:type="dxa"/>
            <w:vAlign w:val="bottom"/>
          </w:tcPr>
          <w:p>
            <w:pPr>
              <w:jc w:val="center"/>
              <w:ind w:right="127"/>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4"/>
                <w:szCs w:val="24"/>
                <w:color w:val="auto"/>
              </w:rPr>
            </w:pPr>
          </w:p>
        </w:tc>
      </w:tr>
      <w:tr>
        <w:trPr>
          <w:trHeight w:val="560"/>
        </w:trPr>
        <w:tc>
          <w:tcPr>
            <w:tcW w:w="74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Page</w:t>
            </w:r>
          </w:p>
        </w:tc>
      </w:tr>
      <w:tr>
        <w:trPr>
          <w:trHeight w:val="191"/>
        </w:trPr>
        <w:tc>
          <w:tcPr>
            <w:tcW w:w="740" w:type="dxa"/>
            <w:vAlign w:val="bottom"/>
          </w:tcPr>
          <w:p>
            <w:pPr>
              <w:spacing w:after="0"/>
              <w:rPr>
                <w:sz w:val="16"/>
                <w:szCs w:val="16"/>
                <w:color w:val="auto"/>
              </w:rPr>
            </w:pPr>
          </w:p>
        </w:tc>
        <w:tc>
          <w:tcPr>
            <w:tcW w:w="9900" w:type="dxa"/>
            <w:vAlign w:val="bottom"/>
          </w:tcPr>
          <w:p>
            <w:pPr>
              <w:jc w:val="center"/>
              <w:ind w:right="147"/>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u w:val="single" w:color="auto"/>
                  <w:color w:val="0000EE"/>
                </w:rPr>
                <w:t>Part</w:t>
              </w:r>
              <w:r>
                <w:rPr>
                  <w:rFonts w:ascii="Arial" w:cs="Arial" w:eastAsia="Arial" w:hAnsi="Arial"/>
                  <w:sz w:val="14"/>
                  <w:szCs w:val="14"/>
                  <w:b w:val="1"/>
                  <w:bCs w:val="1"/>
                  <w:color w:val="0000EE"/>
                </w:rPr>
                <w:t xml:space="preserve"> I</w:t>
              </w:r>
            </w:hyperlink>
          </w:p>
        </w:tc>
        <w:tc>
          <w:tcPr>
            <w:tcW w:w="560" w:type="dxa"/>
            <w:vAlign w:val="bottom"/>
          </w:tcPr>
          <w:p>
            <w:pPr>
              <w:spacing w:after="0"/>
              <w:rPr>
                <w:sz w:val="16"/>
                <w:szCs w:val="16"/>
                <w:color w:val="auto"/>
              </w:rPr>
            </w:pPr>
          </w:p>
        </w:tc>
      </w:tr>
      <w:tr>
        <w:trPr>
          <w:trHeight w:val="216"/>
        </w:trPr>
        <w:tc>
          <w:tcPr>
            <w:tcW w:w="740" w:type="dxa"/>
            <w:vAlign w:val="bottom"/>
          </w:tcPr>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Item 1.</w:t>
              </w:r>
            </w:hyperlink>
          </w:p>
        </w:tc>
        <w:tc>
          <w:tcPr>
            <w:tcW w:w="9900" w:type="dxa"/>
            <w:vAlign w:val="bottom"/>
          </w:tcPr>
          <w:p>
            <w:pPr>
              <w:ind w:left="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Business</w:t>
              </w:r>
            </w:hyperlink>
          </w:p>
        </w:tc>
        <w:tc>
          <w:tcPr>
            <w:tcW w:w="560" w:type="dxa"/>
            <w:vAlign w:val="bottom"/>
          </w:tcPr>
          <w:p>
            <w:pPr>
              <w:jc w:val="right"/>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1</w:t>
              </w:r>
            </w:hyperlink>
          </w:p>
        </w:tc>
      </w:tr>
      <w:tr>
        <w:trPr>
          <w:trHeight w:val="216"/>
        </w:trPr>
        <w:tc>
          <w:tcPr>
            <w:tcW w:w="740" w:type="dxa"/>
            <w:vAlign w:val="bottom"/>
          </w:tcPr>
          <w:p>
            <w:pPr>
              <w:spacing w:after="0"/>
              <w:rPr>
                <w:rFonts w:ascii="Arial" w:cs="Arial" w:eastAsia="Arial" w:hAnsi="Arial"/>
                <w:sz w:val="14"/>
                <w:szCs w:val="14"/>
                <w:color w:val="0000EE"/>
              </w:rPr>
            </w:pPr>
            <w:hyperlink w:anchor="page9">
              <w:r>
                <w:rPr>
                  <w:rFonts w:ascii="Arial" w:cs="Arial" w:eastAsia="Arial" w:hAnsi="Arial"/>
                  <w:sz w:val="14"/>
                  <w:szCs w:val="14"/>
                  <w:u w:val="single" w:color="auto"/>
                  <w:color w:val="0000EE"/>
                </w:rPr>
                <w:t>Item 1a</w:t>
              </w:r>
              <w:r>
                <w:rPr>
                  <w:rFonts w:ascii="Arial" w:cs="Arial" w:eastAsia="Arial" w:hAnsi="Arial"/>
                  <w:sz w:val="14"/>
                  <w:szCs w:val="14"/>
                  <w:color w:val="0000EE"/>
                </w:rPr>
                <w:t>.</w:t>
              </w:r>
            </w:hyperlink>
          </w:p>
        </w:tc>
        <w:tc>
          <w:tcPr>
            <w:tcW w:w="9900" w:type="dxa"/>
            <w:vAlign w:val="bottom"/>
          </w:tcPr>
          <w:p>
            <w:pPr>
              <w:ind w:left="60"/>
              <w:spacing w:after="0"/>
              <w:rPr>
                <w:rFonts w:ascii="Arial" w:cs="Arial" w:eastAsia="Arial" w:hAnsi="Arial"/>
                <w:sz w:val="14"/>
                <w:szCs w:val="14"/>
                <w:u w:val="single" w:color="auto"/>
                <w:color w:val="0000EE"/>
              </w:rPr>
            </w:pPr>
            <w:hyperlink w:anchor="page9">
              <w:r>
                <w:rPr>
                  <w:rFonts w:ascii="Arial" w:cs="Arial" w:eastAsia="Arial" w:hAnsi="Arial"/>
                  <w:sz w:val="14"/>
                  <w:szCs w:val="14"/>
                  <w:u w:val="single" w:color="auto"/>
                  <w:color w:val="0000EE"/>
                </w:rPr>
                <w:t>Risk Factors</w:t>
              </w:r>
            </w:hyperlink>
          </w:p>
        </w:tc>
        <w:tc>
          <w:tcPr>
            <w:tcW w:w="560" w:type="dxa"/>
            <w:vAlign w:val="bottom"/>
          </w:tcPr>
          <w:p>
            <w:pPr>
              <w:jc w:val="right"/>
              <w:spacing w:after="0"/>
              <w:rPr>
                <w:rFonts w:ascii="Arial" w:cs="Arial" w:eastAsia="Arial" w:hAnsi="Arial"/>
                <w:sz w:val="14"/>
                <w:szCs w:val="14"/>
                <w:u w:val="single" w:color="auto"/>
                <w:color w:val="0000EE"/>
              </w:rPr>
            </w:pPr>
            <w:hyperlink w:anchor="page9">
              <w:r>
                <w:rPr>
                  <w:rFonts w:ascii="Arial" w:cs="Arial" w:eastAsia="Arial" w:hAnsi="Arial"/>
                  <w:sz w:val="14"/>
                  <w:szCs w:val="14"/>
                  <w:u w:val="single" w:color="auto"/>
                  <w:color w:val="0000EE"/>
                </w:rPr>
                <w:t>7</w:t>
              </w:r>
            </w:hyperlink>
          </w:p>
        </w:tc>
      </w:tr>
      <w:tr>
        <w:trPr>
          <w:trHeight w:val="216"/>
        </w:trPr>
        <w:tc>
          <w:tcPr>
            <w:tcW w:w="740" w:type="dxa"/>
            <w:vAlign w:val="bottom"/>
          </w:tcPr>
          <w:p>
            <w:pPr>
              <w:spacing w:after="0"/>
              <w:rPr>
                <w:rFonts w:ascii="Arial" w:cs="Arial" w:eastAsia="Arial" w:hAnsi="Arial"/>
                <w:sz w:val="14"/>
                <w:szCs w:val="14"/>
                <w:color w:val="0000EE"/>
              </w:rPr>
            </w:pPr>
            <w:hyperlink w:anchor="page16">
              <w:r>
                <w:rPr>
                  <w:rFonts w:ascii="Arial" w:cs="Arial" w:eastAsia="Arial" w:hAnsi="Arial"/>
                  <w:sz w:val="14"/>
                  <w:szCs w:val="14"/>
                  <w:u w:val="single" w:color="auto"/>
                  <w:color w:val="0000EE"/>
                </w:rPr>
                <w:t>Item 1b</w:t>
              </w:r>
              <w:r>
                <w:rPr>
                  <w:rFonts w:ascii="Arial" w:cs="Arial" w:eastAsia="Arial" w:hAnsi="Arial"/>
                  <w:sz w:val="14"/>
                  <w:szCs w:val="14"/>
                  <w:color w:val="0000EE"/>
                </w:rPr>
                <w:t>.</w:t>
              </w:r>
            </w:hyperlink>
          </w:p>
        </w:tc>
        <w:tc>
          <w:tcPr>
            <w:tcW w:w="9900" w:type="dxa"/>
            <w:vAlign w:val="bottom"/>
          </w:tcPr>
          <w:p>
            <w:pPr>
              <w:ind w:left="60"/>
              <w:spacing w:after="0"/>
              <w:rPr>
                <w:rFonts w:ascii="Arial" w:cs="Arial" w:eastAsia="Arial" w:hAnsi="Arial"/>
                <w:sz w:val="14"/>
                <w:szCs w:val="14"/>
                <w:u w:val="single" w:color="auto"/>
                <w:color w:val="0000EE"/>
              </w:rPr>
            </w:pPr>
            <w:hyperlink w:anchor="page16">
              <w:r>
                <w:rPr>
                  <w:rFonts w:ascii="Arial" w:cs="Arial" w:eastAsia="Arial" w:hAnsi="Arial"/>
                  <w:sz w:val="14"/>
                  <w:szCs w:val="14"/>
                  <w:u w:val="single" w:color="auto"/>
                  <w:color w:val="0000EE"/>
                </w:rPr>
                <w:t>Unresolved Staff Comments</w:t>
              </w:r>
            </w:hyperlink>
          </w:p>
        </w:tc>
        <w:tc>
          <w:tcPr>
            <w:tcW w:w="560" w:type="dxa"/>
            <w:vAlign w:val="bottom"/>
          </w:tcPr>
          <w:p>
            <w:pPr>
              <w:jc w:val="right"/>
              <w:spacing w:after="0"/>
              <w:rPr>
                <w:rFonts w:ascii="Arial" w:cs="Arial" w:eastAsia="Arial" w:hAnsi="Arial"/>
                <w:sz w:val="14"/>
                <w:szCs w:val="14"/>
                <w:u w:val="single" w:color="auto"/>
                <w:color w:val="0000EE"/>
              </w:rPr>
            </w:pPr>
            <w:hyperlink w:anchor="page16">
              <w:r>
                <w:rPr>
                  <w:rFonts w:ascii="Arial" w:cs="Arial" w:eastAsia="Arial" w:hAnsi="Arial"/>
                  <w:sz w:val="14"/>
                  <w:szCs w:val="14"/>
                  <w:u w:val="single" w:color="auto"/>
                  <w:color w:val="0000EE"/>
                </w:rPr>
                <w:t>14</w:t>
              </w:r>
            </w:hyperlink>
          </w:p>
        </w:tc>
      </w:tr>
      <w:tr>
        <w:trPr>
          <w:trHeight w:val="216"/>
        </w:trPr>
        <w:tc>
          <w:tcPr>
            <w:tcW w:w="740" w:type="dxa"/>
            <w:vAlign w:val="bottom"/>
          </w:tcPr>
          <w:p>
            <w:pPr>
              <w:spacing w:after="0"/>
              <w:rPr>
                <w:rFonts w:ascii="Arial" w:cs="Arial" w:eastAsia="Arial" w:hAnsi="Arial"/>
                <w:sz w:val="14"/>
                <w:szCs w:val="14"/>
                <w:u w:val="single" w:color="auto"/>
                <w:color w:val="0000EE"/>
              </w:rPr>
            </w:pPr>
            <w:hyperlink w:anchor="page17">
              <w:r>
                <w:rPr>
                  <w:rFonts w:ascii="Arial" w:cs="Arial" w:eastAsia="Arial" w:hAnsi="Arial"/>
                  <w:sz w:val="14"/>
                  <w:szCs w:val="14"/>
                  <w:u w:val="single" w:color="auto"/>
                  <w:color w:val="0000EE"/>
                </w:rPr>
                <w:t>Item 2.</w:t>
              </w:r>
            </w:hyperlink>
          </w:p>
        </w:tc>
        <w:tc>
          <w:tcPr>
            <w:tcW w:w="9900" w:type="dxa"/>
            <w:vAlign w:val="bottom"/>
          </w:tcPr>
          <w:p>
            <w:pPr>
              <w:ind w:left="60"/>
              <w:spacing w:after="0"/>
              <w:rPr>
                <w:rFonts w:ascii="Arial" w:cs="Arial" w:eastAsia="Arial" w:hAnsi="Arial"/>
                <w:sz w:val="14"/>
                <w:szCs w:val="14"/>
                <w:u w:val="single" w:color="auto"/>
                <w:color w:val="0000EE"/>
              </w:rPr>
            </w:pPr>
            <w:hyperlink w:anchor="page17">
              <w:r>
                <w:rPr>
                  <w:rFonts w:ascii="Arial" w:cs="Arial" w:eastAsia="Arial" w:hAnsi="Arial"/>
                  <w:sz w:val="14"/>
                  <w:szCs w:val="14"/>
                  <w:u w:val="single" w:color="auto"/>
                  <w:color w:val="0000EE"/>
                </w:rPr>
                <w:t>Properties</w:t>
              </w:r>
            </w:hyperlink>
          </w:p>
        </w:tc>
        <w:tc>
          <w:tcPr>
            <w:tcW w:w="560" w:type="dxa"/>
            <w:vAlign w:val="bottom"/>
          </w:tcPr>
          <w:p>
            <w:pPr>
              <w:jc w:val="right"/>
              <w:spacing w:after="0"/>
              <w:rPr>
                <w:rFonts w:ascii="Arial" w:cs="Arial" w:eastAsia="Arial" w:hAnsi="Arial"/>
                <w:sz w:val="14"/>
                <w:szCs w:val="14"/>
                <w:u w:val="single" w:color="auto"/>
                <w:color w:val="0000EE"/>
              </w:rPr>
            </w:pPr>
            <w:hyperlink w:anchor="page17">
              <w:r>
                <w:rPr>
                  <w:rFonts w:ascii="Arial" w:cs="Arial" w:eastAsia="Arial" w:hAnsi="Arial"/>
                  <w:sz w:val="14"/>
                  <w:szCs w:val="14"/>
                  <w:u w:val="single" w:color="auto"/>
                  <w:color w:val="0000EE"/>
                </w:rPr>
                <w:t>15</w:t>
              </w:r>
            </w:hyperlink>
          </w:p>
        </w:tc>
      </w:tr>
      <w:tr>
        <w:trPr>
          <w:trHeight w:val="216"/>
        </w:trPr>
        <w:tc>
          <w:tcPr>
            <w:tcW w:w="740" w:type="dxa"/>
            <w:vAlign w:val="bottom"/>
          </w:tcPr>
          <w:p>
            <w:pPr>
              <w:spacing w:after="0"/>
              <w:rPr>
                <w:rFonts w:ascii="Arial" w:cs="Arial" w:eastAsia="Arial" w:hAnsi="Arial"/>
                <w:sz w:val="14"/>
                <w:szCs w:val="14"/>
                <w:u w:val="single" w:color="auto"/>
                <w:color w:val="0000EE"/>
              </w:rPr>
            </w:pPr>
            <w:hyperlink w:anchor="page17">
              <w:r>
                <w:rPr>
                  <w:rFonts w:ascii="Arial" w:cs="Arial" w:eastAsia="Arial" w:hAnsi="Arial"/>
                  <w:sz w:val="14"/>
                  <w:szCs w:val="14"/>
                  <w:u w:val="single" w:color="auto"/>
                  <w:color w:val="0000EE"/>
                </w:rPr>
                <w:t>Item 3.</w:t>
              </w:r>
            </w:hyperlink>
          </w:p>
        </w:tc>
        <w:tc>
          <w:tcPr>
            <w:tcW w:w="9900" w:type="dxa"/>
            <w:vAlign w:val="bottom"/>
          </w:tcPr>
          <w:p>
            <w:pPr>
              <w:ind w:left="60"/>
              <w:spacing w:after="0"/>
              <w:rPr>
                <w:rFonts w:ascii="Arial" w:cs="Arial" w:eastAsia="Arial" w:hAnsi="Arial"/>
                <w:sz w:val="14"/>
                <w:szCs w:val="14"/>
                <w:u w:val="single" w:color="auto"/>
                <w:color w:val="0000EE"/>
              </w:rPr>
            </w:pPr>
            <w:hyperlink w:anchor="page17">
              <w:r>
                <w:rPr>
                  <w:rFonts w:ascii="Arial" w:cs="Arial" w:eastAsia="Arial" w:hAnsi="Arial"/>
                  <w:sz w:val="14"/>
                  <w:szCs w:val="14"/>
                  <w:u w:val="single" w:color="auto"/>
                  <w:color w:val="0000EE"/>
                </w:rPr>
                <w:t>Legal Proceedings</w:t>
              </w:r>
            </w:hyperlink>
          </w:p>
        </w:tc>
        <w:tc>
          <w:tcPr>
            <w:tcW w:w="560" w:type="dxa"/>
            <w:vAlign w:val="bottom"/>
          </w:tcPr>
          <w:p>
            <w:pPr>
              <w:jc w:val="right"/>
              <w:spacing w:after="0"/>
              <w:rPr>
                <w:rFonts w:ascii="Arial" w:cs="Arial" w:eastAsia="Arial" w:hAnsi="Arial"/>
                <w:sz w:val="14"/>
                <w:szCs w:val="14"/>
                <w:u w:val="single" w:color="auto"/>
                <w:color w:val="0000EE"/>
              </w:rPr>
            </w:pPr>
            <w:hyperlink w:anchor="page17">
              <w:r>
                <w:rPr>
                  <w:rFonts w:ascii="Arial" w:cs="Arial" w:eastAsia="Arial" w:hAnsi="Arial"/>
                  <w:sz w:val="14"/>
                  <w:szCs w:val="14"/>
                  <w:u w:val="single" w:color="auto"/>
                  <w:color w:val="0000EE"/>
                </w:rPr>
                <w:t>15</w:t>
              </w:r>
            </w:hyperlink>
          </w:p>
        </w:tc>
      </w:tr>
      <w:tr>
        <w:trPr>
          <w:trHeight w:val="216"/>
        </w:trPr>
        <w:tc>
          <w:tcPr>
            <w:tcW w:w="740" w:type="dxa"/>
            <w:vAlign w:val="bottom"/>
          </w:tcPr>
          <w:p>
            <w:pPr>
              <w:spacing w:after="0"/>
              <w:rPr>
                <w:rFonts w:ascii="Arial" w:cs="Arial" w:eastAsia="Arial" w:hAnsi="Arial"/>
                <w:sz w:val="14"/>
                <w:szCs w:val="14"/>
                <w:u w:val="single" w:color="auto"/>
                <w:color w:val="0000EE"/>
              </w:rPr>
            </w:pPr>
            <w:hyperlink w:anchor="page18">
              <w:r>
                <w:rPr>
                  <w:rFonts w:ascii="Arial" w:cs="Arial" w:eastAsia="Arial" w:hAnsi="Arial"/>
                  <w:sz w:val="14"/>
                  <w:szCs w:val="14"/>
                  <w:u w:val="single" w:color="auto"/>
                  <w:color w:val="0000EE"/>
                </w:rPr>
                <w:t>Item 4.</w:t>
              </w:r>
            </w:hyperlink>
          </w:p>
        </w:tc>
        <w:tc>
          <w:tcPr>
            <w:tcW w:w="9900" w:type="dxa"/>
            <w:vAlign w:val="bottom"/>
          </w:tcPr>
          <w:p>
            <w:pPr>
              <w:ind w:left="60"/>
              <w:spacing w:after="0"/>
              <w:rPr>
                <w:rFonts w:ascii="Arial" w:cs="Arial" w:eastAsia="Arial" w:hAnsi="Arial"/>
                <w:sz w:val="14"/>
                <w:szCs w:val="14"/>
                <w:u w:val="single" w:color="auto"/>
                <w:color w:val="0000EE"/>
              </w:rPr>
            </w:pPr>
            <w:hyperlink w:anchor="page18">
              <w:r>
                <w:rPr>
                  <w:rFonts w:ascii="Arial" w:cs="Arial" w:eastAsia="Arial" w:hAnsi="Arial"/>
                  <w:sz w:val="14"/>
                  <w:szCs w:val="14"/>
                  <w:u w:val="single" w:color="auto"/>
                  <w:color w:val="0000EE"/>
                </w:rPr>
                <w:t>Mine Safety Disclosures</w:t>
              </w:r>
            </w:hyperlink>
          </w:p>
        </w:tc>
        <w:tc>
          <w:tcPr>
            <w:tcW w:w="560" w:type="dxa"/>
            <w:vAlign w:val="bottom"/>
          </w:tcPr>
          <w:p>
            <w:pPr>
              <w:jc w:val="right"/>
              <w:spacing w:after="0"/>
              <w:rPr>
                <w:rFonts w:ascii="Arial" w:cs="Arial" w:eastAsia="Arial" w:hAnsi="Arial"/>
                <w:sz w:val="14"/>
                <w:szCs w:val="14"/>
                <w:u w:val="single" w:color="auto"/>
                <w:color w:val="0000EE"/>
              </w:rPr>
            </w:pPr>
            <w:hyperlink w:anchor="page18">
              <w:r>
                <w:rPr>
                  <w:rFonts w:ascii="Arial" w:cs="Arial" w:eastAsia="Arial" w:hAnsi="Arial"/>
                  <w:sz w:val="14"/>
                  <w:szCs w:val="14"/>
                  <w:u w:val="single" w:color="auto"/>
                  <w:color w:val="0000EE"/>
                </w:rPr>
                <w:t>16</w:t>
              </w:r>
            </w:hyperlink>
          </w:p>
        </w:tc>
      </w:tr>
      <w:tr>
        <w:trPr>
          <w:trHeight w:val="432"/>
        </w:trPr>
        <w:tc>
          <w:tcPr>
            <w:tcW w:w="740" w:type="dxa"/>
            <w:vAlign w:val="bottom"/>
          </w:tcPr>
          <w:p>
            <w:pPr>
              <w:spacing w:after="0"/>
              <w:rPr>
                <w:sz w:val="24"/>
                <w:szCs w:val="24"/>
                <w:color w:val="auto"/>
              </w:rPr>
            </w:pPr>
          </w:p>
        </w:tc>
        <w:tc>
          <w:tcPr>
            <w:tcW w:w="9900" w:type="dxa"/>
            <w:vAlign w:val="bottom"/>
          </w:tcPr>
          <w:p>
            <w:pPr>
              <w:jc w:val="center"/>
              <w:ind w:right="147"/>
              <w:spacing w:after="0"/>
              <w:rPr>
                <w:rFonts w:ascii="Arial" w:cs="Arial" w:eastAsia="Arial" w:hAnsi="Arial"/>
                <w:sz w:val="14"/>
                <w:szCs w:val="14"/>
                <w:b w:val="1"/>
                <w:bCs w:val="1"/>
                <w:u w:val="single" w:color="auto"/>
                <w:color w:val="0000EE"/>
              </w:rPr>
            </w:pPr>
            <w:hyperlink w:anchor="page19">
              <w:r>
                <w:rPr>
                  <w:rFonts w:ascii="Arial" w:cs="Arial" w:eastAsia="Arial" w:hAnsi="Arial"/>
                  <w:sz w:val="14"/>
                  <w:szCs w:val="14"/>
                  <w:b w:val="1"/>
                  <w:bCs w:val="1"/>
                  <w:u w:val="single" w:color="auto"/>
                  <w:color w:val="0000EE"/>
                </w:rPr>
                <w:t>Part II</w:t>
              </w:r>
            </w:hyperlink>
          </w:p>
        </w:tc>
        <w:tc>
          <w:tcPr>
            <w:tcW w:w="560" w:type="dxa"/>
            <w:vAlign w:val="bottom"/>
          </w:tcPr>
          <w:p>
            <w:pPr>
              <w:spacing w:after="0"/>
              <w:rPr>
                <w:sz w:val="24"/>
                <w:szCs w:val="24"/>
                <w:color w:val="auto"/>
              </w:rPr>
            </w:pPr>
          </w:p>
        </w:tc>
      </w:tr>
      <w:tr>
        <w:trPr>
          <w:trHeight w:val="216"/>
        </w:trPr>
        <w:tc>
          <w:tcPr>
            <w:tcW w:w="740" w:type="dxa"/>
            <w:vAlign w:val="bottom"/>
          </w:tcPr>
          <w:p>
            <w:pPr>
              <w:spacing w:after="0"/>
              <w:rPr>
                <w:rFonts w:ascii="Arial" w:cs="Arial" w:eastAsia="Arial" w:hAnsi="Arial"/>
                <w:sz w:val="14"/>
                <w:szCs w:val="14"/>
                <w:u w:val="single" w:color="auto"/>
                <w:color w:val="0000EE"/>
              </w:rPr>
            </w:pPr>
            <w:hyperlink w:anchor="page19">
              <w:r>
                <w:rPr>
                  <w:rFonts w:ascii="Arial" w:cs="Arial" w:eastAsia="Arial" w:hAnsi="Arial"/>
                  <w:sz w:val="14"/>
                  <w:szCs w:val="14"/>
                  <w:u w:val="single" w:color="auto"/>
                  <w:color w:val="0000EE"/>
                </w:rPr>
                <w:t>Item 5.</w:t>
              </w:r>
            </w:hyperlink>
          </w:p>
        </w:tc>
        <w:tc>
          <w:tcPr>
            <w:tcW w:w="9900" w:type="dxa"/>
            <w:vAlign w:val="bottom"/>
          </w:tcPr>
          <w:p>
            <w:pPr>
              <w:ind w:left="60"/>
              <w:spacing w:after="0"/>
              <w:rPr>
                <w:rFonts w:ascii="Arial" w:cs="Arial" w:eastAsia="Arial" w:hAnsi="Arial"/>
                <w:sz w:val="14"/>
                <w:szCs w:val="14"/>
                <w:u w:val="single" w:color="auto"/>
                <w:color w:val="0000EE"/>
              </w:rPr>
            </w:pPr>
            <w:hyperlink w:anchor="page19">
              <w:r>
                <w:rPr>
                  <w:rFonts w:ascii="Arial" w:cs="Arial" w:eastAsia="Arial" w:hAnsi="Arial"/>
                  <w:sz w:val="14"/>
                  <w:szCs w:val="14"/>
                  <w:u w:val="single" w:color="auto"/>
                  <w:color w:val="0000EE"/>
                </w:rPr>
                <w:t>Market for Registrant’s Common Equity, Related Stockholder Matters, and Issuer Purchases of Equity Securities</w:t>
              </w:r>
            </w:hyperlink>
          </w:p>
        </w:tc>
        <w:tc>
          <w:tcPr>
            <w:tcW w:w="560" w:type="dxa"/>
            <w:vAlign w:val="bottom"/>
          </w:tcPr>
          <w:p>
            <w:pPr>
              <w:jc w:val="right"/>
              <w:spacing w:after="0"/>
              <w:rPr>
                <w:rFonts w:ascii="Arial" w:cs="Arial" w:eastAsia="Arial" w:hAnsi="Arial"/>
                <w:sz w:val="14"/>
                <w:szCs w:val="14"/>
                <w:u w:val="single" w:color="auto"/>
                <w:color w:val="0000EE"/>
              </w:rPr>
            </w:pPr>
            <w:hyperlink w:anchor="page19">
              <w:r>
                <w:rPr>
                  <w:rFonts w:ascii="Arial" w:cs="Arial" w:eastAsia="Arial" w:hAnsi="Arial"/>
                  <w:sz w:val="14"/>
                  <w:szCs w:val="14"/>
                  <w:u w:val="single" w:color="auto"/>
                  <w:color w:val="0000EE"/>
                </w:rPr>
                <w:t>17</w:t>
              </w:r>
            </w:hyperlink>
          </w:p>
        </w:tc>
      </w:tr>
      <w:tr>
        <w:trPr>
          <w:trHeight w:val="216"/>
        </w:trPr>
        <w:tc>
          <w:tcPr>
            <w:tcW w:w="740" w:type="dxa"/>
            <w:vAlign w:val="bottom"/>
          </w:tcPr>
          <w:p>
            <w:pPr>
              <w:spacing w:after="0"/>
              <w:rPr>
                <w:rFonts w:ascii="Arial" w:cs="Arial" w:eastAsia="Arial" w:hAnsi="Arial"/>
                <w:sz w:val="14"/>
                <w:szCs w:val="14"/>
                <w:u w:val="single" w:color="auto"/>
                <w:color w:val="0000EE"/>
              </w:rPr>
            </w:pPr>
            <w:hyperlink w:anchor="page21">
              <w:r>
                <w:rPr>
                  <w:rFonts w:ascii="Arial" w:cs="Arial" w:eastAsia="Arial" w:hAnsi="Arial"/>
                  <w:sz w:val="14"/>
                  <w:szCs w:val="14"/>
                  <w:u w:val="single" w:color="auto"/>
                  <w:color w:val="0000EE"/>
                </w:rPr>
                <w:t>Item 6.</w:t>
              </w:r>
            </w:hyperlink>
          </w:p>
        </w:tc>
        <w:tc>
          <w:tcPr>
            <w:tcW w:w="9900" w:type="dxa"/>
            <w:vAlign w:val="bottom"/>
          </w:tcPr>
          <w:p>
            <w:pPr>
              <w:ind w:left="60"/>
              <w:spacing w:after="0"/>
              <w:rPr>
                <w:rFonts w:ascii="Arial" w:cs="Arial" w:eastAsia="Arial" w:hAnsi="Arial"/>
                <w:sz w:val="14"/>
                <w:szCs w:val="14"/>
                <w:u w:val="single" w:color="auto"/>
                <w:color w:val="0000EE"/>
              </w:rPr>
            </w:pPr>
            <w:hyperlink w:anchor="page21">
              <w:r>
                <w:rPr>
                  <w:rFonts w:ascii="Arial" w:cs="Arial" w:eastAsia="Arial" w:hAnsi="Arial"/>
                  <w:sz w:val="14"/>
                  <w:szCs w:val="14"/>
                  <w:u w:val="single" w:color="auto"/>
                  <w:color w:val="0000EE"/>
                </w:rPr>
                <w:t>Selected Financial Data</w:t>
              </w:r>
            </w:hyperlink>
          </w:p>
        </w:tc>
        <w:tc>
          <w:tcPr>
            <w:tcW w:w="560" w:type="dxa"/>
            <w:vAlign w:val="bottom"/>
          </w:tcPr>
          <w:p>
            <w:pPr>
              <w:jc w:val="right"/>
              <w:spacing w:after="0"/>
              <w:rPr>
                <w:rFonts w:ascii="Arial" w:cs="Arial" w:eastAsia="Arial" w:hAnsi="Arial"/>
                <w:sz w:val="14"/>
                <w:szCs w:val="14"/>
                <w:u w:val="single" w:color="auto"/>
                <w:color w:val="0000EE"/>
              </w:rPr>
            </w:pPr>
            <w:hyperlink w:anchor="page21">
              <w:r>
                <w:rPr>
                  <w:rFonts w:ascii="Arial" w:cs="Arial" w:eastAsia="Arial" w:hAnsi="Arial"/>
                  <w:sz w:val="14"/>
                  <w:szCs w:val="14"/>
                  <w:u w:val="single" w:color="auto"/>
                  <w:color w:val="0000EE"/>
                </w:rPr>
                <w:t>19</w:t>
              </w:r>
            </w:hyperlink>
          </w:p>
        </w:tc>
      </w:tr>
      <w:tr>
        <w:trPr>
          <w:trHeight w:val="216"/>
        </w:trPr>
        <w:tc>
          <w:tcPr>
            <w:tcW w:w="740" w:type="dxa"/>
            <w:vAlign w:val="bottom"/>
          </w:tcPr>
          <w:p>
            <w:pPr>
              <w:spacing w:after="0"/>
              <w:rPr>
                <w:rFonts w:ascii="Arial" w:cs="Arial" w:eastAsia="Arial" w:hAnsi="Arial"/>
                <w:sz w:val="14"/>
                <w:szCs w:val="14"/>
                <w:u w:val="single" w:color="auto"/>
                <w:color w:val="0000EE"/>
              </w:rPr>
            </w:pPr>
            <w:hyperlink w:anchor="page22">
              <w:r>
                <w:rPr>
                  <w:rFonts w:ascii="Arial" w:cs="Arial" w:eastAsia="Arial" w:hAnsi="Arial"/>
                  <w:sz w:val="14"/>
                  <w:szCs w:val="14"/>
                  <w:u w:val="single" w:color="auto"/>
                  <w:color w:val="0000EE"/>
                </w:rPr>
                <w:t>Item 7.</w:t>
              </w:r>
            </w:hyperlink>
          </w:p>
        </w:tc>
        <w:tc>
          <w:tcPr>
            <w:tcW w:w="9900" w:type="dxa"/>
            <w:vAlign w:val="bottom"/>
          </w:tcPr>
          <w:p>
            <w:pPr>
              <w:ind w:left="60"/>
              <w:spacing w:after="0"/>
              <w:rPr>
                <w:rFonts w:ascii="Arial" w:cs="Arial" w:eastAsia="Arial" w:hAnsi="Arial"/>
                <w:sz w:val="14"/>
                <w:szCs w:val="14"/>
                <w:u w:val="single" w:color="auto"/>
                <w:color w:val="0000EE"/>
              </w:rPr>
            </w:pPr>
            <w:hyperlink w:anchor="page22">
              <w:r>
                <w:rPr>
                  <w:rFonts w:ascii="Arial" w:cs="Arial" w:eastAsia="Arial" w:hAnsi="Arial"/>
                  <w:sz w:val="14"/>
                  <w:szCs w:val="14"/>
                  <w:u w:val="single" w:color="auto"/>
                  <w:color w:val="0000EE"/>
                </w:rPr>
                <w:t>Management’s Discussion and Analysis of Financial Condition and Results of Operations</w:t>
              </w:r>
            </w:hyperlink>
          </w:p>
        </w:tc>
        <w:tc>
          <w:tcPr>
            <w:tcW w:w="560" w:type="dxa"/>
            <w:vAlign w:val="bottom"/>
          </w:tcPr>
          <w:p>
            <w:pPr>
              <w:jc w:val="right"/>
              <w:spacing w:after="0"/>
              <w:rPr>
                <w:rFonts w:ascii="Arial" w:cs="Arial" w:eastAsia="Arial" w:hAnsi="Arial"/>
                <w:sz w:val="14"/>
                <w:szCs w:val="14"/>
                <w:u w:val="single" w:color="auto"/>
                <w:color w:val="0000EE"/>
              </w:rPr>
            </w:pPr>
            <w:hyperlink w:anchor="page22">
              <w:r>
                <w:rPr>
                  <w:rFonts w:ascii="Arial" w:cs="Arial" w:eastAsia="Arial" w:hAnsi="Arial"/>
                  <w:sz w:val="14"/>
                  <w:szCs w:val="14"/>
                  <w:u w:val="single" w:color="auto"/>
                  <w:color w:val="0000EE"/>
                </w:rPr>
                <w:t>20</w:t>
              </w:r>
            </w:hyperlink>
          </w:p>
        </w:tc>
      </w:tr>
      <w:tr>
        <w:trPr>
          <w:trHeight w:val="216"/>
        </w:trPr>
        <w:tc>
          <w:tcPr>
            <w:tcW w:w="740" w:type="dxa"/>
            <w:vAlign w:val="bottom"/>
          </w:tcPr>
          <w:p>
            <w:pPr>
              <w:spacing w:after="0"/>
              <w:rPr>
                <w:rFonts w:ascii="Arial" w:cs="Arial" w:eastAsia="Arial" w:hAnsi="Arial"/>
                <w:sz w:val="14"/>
                <w:szCs w:val="14"/>
                <w:color w:val="0000EE"/>
              </w:rPr>
            </w:pPr>
            <w:hyperlink w:anchor="page34">
              <w:r>
                <w:rPr>
                  <w:rFonts w:ascii="Arial" w:cs="Arial" w:eastAsia="Arial" w:hAnsi="Arial"/>
                  <w:sz w:val="14"/>
                  <w:szCs w:val="14"/>
                  <w:u w:val="single" w:color="auto"/>
                  <w:color w:val="0000EE"/>
                </w:rPr>
                <w:t>Item 7a</w:t>
              </w:r>
              <w:r>
                <w:rPr>
                  <w:rFonts w:ascii="Arial" w:cs="Arial" w:eastAsia="Arial" w:hAnsi="Arial"/>
                  <w:sz w:val="14"/>
                  <w:szCs w:val="14"/>
                  <w:color w:val="0000EE"/>
                </w:rPr>
                <w:t>.</w:t>
              </w:r>
            </w:hyperlink>
          </w:p>
        </w:tc>
        <w:tc>
          <w:tcPr>
            <w:tcW w:w="9900" w:type="dxa"/>
            <w:vAlign w:val="bottom"/>
          </w:tcPr>
          <w:p>
            <w:pPr>
              <w:ind w:left="60"/>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Quantitative and Qualitative Disclosures About Market Risk</w:t>
              </w:r>
            </w:hyperlink>
          </w:p>
        </w:tc>
        <w:tc>
          <w:tcPr>
            <w:tcW w:w="560" w:type="dxa"/>
            <w:vAlign w:val="bottom"/>
          </w:tcPr>
          <w:p>
            <w:pPr>
              <w:jc w:val="right"/>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32</w:t>
              </w:r>
            </w:hyperlink>
          </w:p>
        </w:tc>
      </w:tr>
      <w:tr>
        <w:trPr>
          <w:trHeight w:val="216"/>
        </w:trPr>
        <w:tc>
          <w:tcPr>
            <w:tcW w:w="740" w:type="dxa"/>
            <w:vAlign w:val="bottom"/>
          </w:tcPr>
          <w:p>
            <w:pPr>
              <w:spacing w:after="0"/>
              <w:rPr>
                <w:rFonts w:ascii="Arial" w:cs="Arial" w:eastAsia="Arial" w:hAnsi="Arial"/>
                <w:sz w:val="14"/>
                <w:szCs w:val="14"/>
                <w:u w:val="single" w:color="auto"/>
                <w:color w:val="0000EE"/>
              </w:rPr>
            </w:pPr>
            <w:hyperlink w:anchor="page36">
              <w:r>
                <w:rPr>
                  <w:rFonts w:ascii="Arial" w:cs="Arial" w:eastAsia="Arial" w:hAnsi="Arial"/>
                  <w:sz w:val="14"/>
                  <w:szCs w:val="14"/>
                  <w:u w:val="single" w:color="auto"/>
                  <w:color w:val="0000EE"/>
                </w:rPr>
                <w:t>Item 8.</w:t>
              </w:r>
            </w:hyperlink>
          </w:p>
        </w:tc>
        <w:tc>
          <w:tcPr>
            <w:tcW w:w="9900" w:type="dxa"/>
            <w:vAlign w:val="bottom"/>
          </w:tcPr>
          <w:p>
            <w:pPr>
              <w:ind w:left="60"/>
              <w:spacing w:after="0"/>
              <w:rPr>
                <w:rFonts w:ascii="Arial" w:cs="Arial" w:eastAsia="Arial" w:hAnsi="Arial"/>
                <w:sz w:val="14"/>
                <w:szCs w:val="14"/>
                <w:u w:val="single" w:color="auto"/>
                <w:color w:val="0000EE"/>
              </w:rPr>
            </w:pPr>
            <w:hyperlink w:anchor="page36">
              <w:r>
                <w:rPr>
                  <w:rFonts w:ascii="Arial" w:cs="Arial" w:eastAsia="Arial" w:hAnsi="Arial"/>
                  <w:sz w:val="14"/>
                  <w:szCs w:val="14"/>
                  <w:u w:val="single" w:color="auto"/>
                  <w:color w:val="0000EE"/>
                </w:rPr>
                <w:t>Financial Statements and Supplementary Data</w:t>
              </w:r>
            </w:hyperlink>
          </w:p>
        </w:tc>
        <w:tc>
          <w:tcPr>
            <w:tcW w:w="560" w:type="dxa"/>
            <w:vAlign w:val="bottom"/>
          </w:tcPr>
          <w:p>
            <w:pPr>
              <w:jc w:val="right"/>
              <w:spacing w:after="0"/>
              <w:rPr>
                <w:rFonts w:ascii="Arial" w:cs="Arial" w:eastAsia="Arial" w:hAnsi="Arial"/>
                <w:sz w:val="14"/>
                <w:szCs w:val="14"/>
                <w:u w:val="single" w:color="auto"/>
                <w:color w:val="0000EE"/>
              </w:rPr>
            </w:pPr>
            <w:hyperlink w:anchor="page36">
              <w:r>
                <w:rPr>
                  <w:rFonts w:ascii="Arial" w:cs="Arial" w:eastAsia="Arial" w:hAnsi="Arial"/>
                  <w:sz w:val="14"/>
                  <w:szCs w:val="14"/>
                  <w:u w:val="single" w:color="auto"/>
                  <w:color w:val="0000EE"/>
                </w:rPr>
                <w:t>34</w:t>
              </w:r>
            </w:hyperlink>
          </w:p>
        </w:tc>
      </w:tr>
      <w:tr>
        <w:trPr>
          <w:trHeight w:val="216"/>
        </w:trPr>
        <w:tc>
          <w:tcPr>
            <w:tcW w:w="740" w:type="dxa"/>
            <w:vAlign w:val="bottom"/>
          </w:tcPr>
          <w:p>
            <w:pPr>
              <w:spacing w:after="0"/>
              <w:rPr>
                <w:rFonts w:ascii="Arial" w:cs="Arial" w:eastAsia="Arial" w:hAnsi="Arial"/>
                <w:sz w:val="14"/>
                <w:szCs w:val="14"/>
                <w:u w:val="single" w:color="auto"/>
                <w:color w:val="0000EE"/>
              </w:rPr>
            </w:pPr>
            <w:hyperlink w:anchor="page81">
              <w:r>
                <w:rPr>
                  <w:rFonts w:ascii="Arial" w:cs="Arial" w:eastAsia="Arial" w:hAnsi="Arial"/>
                  <w:sz w:val="14"/>
                  <w:szCs w:val="14"/>
                  <w:u w:val="single" w:color="auto"/>
                  <w:color w:val="0000EE"/>
                </w:rPr>
                <w:t>Item 9.</w:t>
              </w:r>
            </w:hyperlink>
          </w:p>
        </w:tc>
        <w:tc>
          <w:tcPr>
            <w:tcW w:w="9900" w:type="dxa"/>
            <w:vAlign w:val="bottom"/>
          </w:tcPr>
          <w:p>
            <w:pPr>
              <w:ind w:left="60"/>
              <w:spacing w:after="0"/>
              <w:rPr>
                <w:rFonts w:ascii="Arial" w:cs="Arial" w:eastAsia="Arial" w:hAnsi="Arial"/>
                <w:sz w:val="14"/>
                <w:szCs w:val="14"/>
                <w:u w:val="single" w:color="auto"/>
                <w:color w:val="0000EE"/>
              </w:rPr>
            </w:pPr>
            <w:hyperlink w:anchor="page81">
              <w:r>
                <w:rPr>
                  <w:rFonts w:ascii="Arial" w:cs="Arial" w:eastAsia="Arial" w:hAnsi="Arial"/>
                  <w:sz w:val="14"/>
                  <w:szCs w:val="14"/>
                  <w:u w:val="single" w:color="auto"/>
                  <w:color w:val="0000EE"/>
                </w:rPr>
                <w:t>Changes in and Disagreements with Accountants on Accounting and Financial Disclosure</w:t>
              </w:r>
            </w:hyperlink>
          </w:p>
        </w:tc>
        <w:tc>
          <w:tcPr>
            <w:tcW w:w="560" w:type="dxa"/>
            <w:vAlign w:val="bottom"/>
          </w:tcPr>
          <w:p>
            <w:pPr>
              <w:jc w:val="right"/>
              <w:spacing w:after="0"/>
              <w:rPr>
                <w:rFonts w:ascii="Arial" w:cs="Arial" w:eastAsia="Arial" w:hAnsi="Arial"/>
                <w:sz w:val="14"/>
                <w:szCs w:val="14"/>
                <w:u w:val="single" w:color="auto"/>
                <w:color w:val="0000EE"/>
              </w:rPr>
            </w:pPr>
            <w:hyperlink w:anchor="page81">
              <w:r>
                <w:rPr>
                  <w:rFonts w:ascii="Arial" w:cs="Arial" w:eastAsia="Arial" w:hAnsi="Arial"/>
                  <w:sz w:val="14"/>
                  <w:szCs w:val="14"/>
                  <w:u w:val="single" w:color="auto"/>
                  <w:color w:val="0000EE"/>
                </w:rPr>
                <w:t>79</w:t>
              </w:r>
            </w:hyperlink>
          </w:p>
        </w:tc>
      </w:tr>
      <w:tr>
        <w:trPr>
          <w:trHeight w:val="216"/>
        </w:trPr>
        <w:tc>
          <w:tcPr>
            <w:tcW w:w="740" w:type="dxa"/>
            <w:vAlign w:val="bottom"/>
          </w:tcPr>
          <w:p>
            <w:pPr>
              <w:spacing w:after="0"/>
              <w:rPr>
                <w:rFonts w:ascii="Arial" w:cs="Arial" w:eastAsia="Arial" w:hAnsi="Arial"/>
                <w:sz w:val="14"/>
                <w:szCs w:val="14"/>
                <w:color w:val="0000EE"/>
              </w:rPr>
            </w:pPr>
            <w:hyperlink w:anchor="page81">
              <w:r>
                <w:rPr>
                  <w:rFonts w:ascii="Arial" w:cs="Arial" w:eastAsia="Arial" w:hAnsi="Arial"/>
                  <w:sz w:val="14"/>
                  <w:szCs w:val="14"/>
                  <w:u w:val="single" w:color="auto"/>
                  <w:color w:val="0000EE"/>
                </w:rPr>
                <w:t>Item 9a</w:t>
              </w:r>
              <w:r>
                <w:rPr>
                  <w:rFonts w:ascii="Arial" w:cs="Arial" w:eastAsia="Arial" w:hAnsi="Arial"/>
                  <w:sz w:val="14"/>
                  <w:szCs w:val="14"/>
                  <w:color w:val="0000EE"/>
                </w:rPr>
                <w:t>.</w:t>
              </w:r>
            </w:hyperlink>
          </w:p>
        </w:tc>
        <w:tc>
          <w:tcPr>
            <w:tcW w:w="9900" w:type="dxa"/>
            <w:vAlign w:val="bottom"/>
          </w:tcPr>
          <w:p>
            <w:pPr>
              <w:ind w:left="60"/>
              <w:spacing w:after="0"/>
              <w:rPr>
                <w:rFonts w:ascii="Arial" w:cs="Arial" w:eastAsia="Arial" w:hAnsi="Arial"/>
                <w:sz w:val="14"/>
                <w:szCs w:val="14"/>
                <w:u w:val="single" w:color="auto"/>
                <w:color w:val="0000EE"/>
              </w:rPr>
            </w:pPr>
            <w:hyperlink w:anchor="page81">
              <w:r>
                <w:rPr>
                  <w:rFonts w:ascii="Arial" w:cs="Arial" w:eastAsia="Arial" w:hAnsi="Arial"/>
                  <w:sz w:val="14"/>
                  <w:szCs w:val="14"/>
                  <w:u w:val="single" w:color="auto"/>
                  <w:color w:val="0000EE"/>
                </w:rPr>
                <w:t>Controls and Procedures</w:t>
              </w:r>
            </w:hyperlink>
          </w:p>
        </w:tc>
        <w:tc>
          <w:tcPr>
            <w:tcW w:w="560" w:type="dxa"/>
            <w:vAlign w:val="bottom"/>
          </w:tcPr>
          <w:p>
            <w:pPr>
              <w:jc w:val="right"/>
              <w:spacing w:after="0"/>
              <w:rPr>
                <w:rFonts w:ascii="Arial" w:cs="Arial" w:eastAsia="Arial" w:hAnsi="Arial"/>
                <w:sz w:val="14"/>
                <w:szCs w:val="14"/>
                <w:u w:val="single" w:color="auto"/>
                <w:color w:val="0000EE"/>
              </w:rPr>
            </w:pPr>
            <w:hyperlink w:anchor="page81">
              <w:r>
                <w:rPr>
                  <w:rFonts w:ascii="Arial" w:cs="Arial" w:eastAsia="Arial" w:hAnsi="Arial"/>
                  <w:sz w:val="14"/>
                  <w:szCs w:val="14"/>
                  <w:u w:val="single" w:color="auto"/>
                  <w:color w:val="0000EE"/>
                </w:rPr>
                <w:t>79</w:t>
              </w:r>
            </w:hyperlink>
          </w:p>
        </w:tc>
      </w:tr>
      <w:tr>
        <w:trPr>
          <w:trHeight w:val="216"/>
        </w:trPr>
        <w:tc>
          <w:tcPr>
            <w:tcW w:w="740" w:type="dxa"/>
            <w:vAlign w:val="bottom"/>
          </w:tcPr>
          <w:p>
            <w:pPr>
              <w:spacing w:after="0"/>
              <w:rPr>
                <w:rFonts w:ascii="Arial" w:cs="Arial" w:eastAsia="Arial" w:hAnsi="Arial"/>
                <w:sz w:val="14"/>
                <w:szCs w:val="14"/>
                <w:color w:val="0000EE"/>
              </w:rPr>
            </w:pPr>
            <w:hyperlink w:anchor="page82">
              <w:r>
                <w:rPr>
                  <w:rFonts w:ascii="Arial" w:cs="Arial" w:eastAsia="Arial" w:hAnsi="Arial"/>
                  <w:sz w:val="14"/>
                  <w:szCs w:val="14"/>
                  <w:u w:val="single" w:color="auto"/>
                  <w:color w:val="0000EE"/>
                </w:rPr>
                <w:t>Item 9b</w:t>
              </w:r>
              <w:r>
                <w:rPr>
                  <w:rFonts w:ascii="Arial" w:cs="Arial" w:eastAsia="Arial" w:hAnsi="Arial"/>
                  <w:sz w:val="14"/>
                  <w:szCs w:val="14"/>
                  <w:color w:val="0000EE"/>
                </w:rPr>
                <w:t>.</w:t>
              </w:r>
            </w:hyperlink>
          </w:p>
        </w:tc>
        <w:tc>
          <w:tcPr>
            <w:tcW w:w="9900" w:type="dxa"/>
            <w:vAlign w:val="bottom"/>
          </w:tcPr>
          <w:p>
            <w:pPr>
              <w:ind w:left="60"/>
              <w:spacing w:after="0"/>
              <w:rPr>
                <w:rFonts w:ascii="Arial" w:cs="Arial" w:eastAsia="Arial" w:hAnsi="Arial"/>
                <w:sz w:val="14"/>
                <w:szCs w:val="14"/>
                <w:u w:val="single" w:color="auto"/>
                <w:color w:val="0000EE"/>
              </w:rPr>
            </w:pPr>
            <w:hyperlink w:anchor="page82">
              <w:r>
                <w:rPr>
                  <w:rFonts w:ascii="Arial" w:cs="Arial" w:eastAsia="Arial" w:hAnsi="Arial"/>
                  <w:sz w:val="14"/>
                  <w:szCs w:val="14"/>
                  <w:u w:val="single" w:color="auto"/>
                  <w:color w:val="0000EE"/>
                </w:rPr>
                <w:t>Other Information</w:t>
              </w:r>
            </w:hyperlink>
          </w:p>
        </w:tc>
        <w:tc>
          <w:tcPr>
            <w:tcW w:w="560" w:type="dxa"/>
            <w:vAlign w:val="bottom"/>
          </w:tcPr>
          <w:p>
            <w:pPr>
              <w:jc w:val="right"/>
              <w:spacing w:after="0"/>
              <w:rPr>
                <w:rFonts w:ascii="Arial" w:cs="Arial" w:eastAsia="Arial" w:hAnsi="Arial"/>
                <w:sz w:val="14"/>
                <w:szCs w:val="14"/>
                <w:u w:val="single" w:color="auto"/>
                <w:color w:val="0000EE"/>
              </w:rPr>
            </w:pPr>
            <w:hyperlink w:anchor="page82">
              <w:r>
                <w:rPr>
                  <w:rFonts w:ascii="Arial" w:cs="Arial" w:eastAsia="Arial" w:hAnsi="Arial"/>
                  <w:sz w:val="14"/>
                  <w:szCs w:val="14"/>
                  <w:u w:val="single" w:color="auto"/>
                  <w:color w:val="0000EE"/>
                </w:rPr>
                <w:t>80</w:t>
              </w:r>
            </w:hyperlink>
          </w:p>
        </w:tc>
      </w:tr>
      <w:tr>
        <w:trPr>
          <w:trHeight w:val="432"/>
        </w:trPr>
        <w:tc>
          <w:tcPr>
            <w:tcW w:w="740" w:type="dxa"/>
            <w:vAlign w:val="bottom"/>
          </w:tcPr>
          <w:p>
            <w:pPr>
              <w:spacing w:after="0"/>
              <w:rPr>
                <w:sz w:val="24"/>
                <w:szCs w:val="24"/>
                <w:color w:val="auto"/>
              </w:rPr>
            </w:pPr>
          </w:p>
        </w:tc>
        <w:tc>
          <w:tcPr>
            <w:tcW w:w="9900" w:type="dxa"/>
            <w:vAlign w:val="bottom"/>
          </w:tcPr>
          <w:p>
            <w:pPr>
              <w:jc w:val="center"/>
              <w:ind w:right="147"/>
              <w:spacing w:after="0"/>
              <w:rPr>
                <w:rFonts w:ascii="Arial" w:cs="Arial" w:eastAsia="Arial" w:hAnsi="Arial"/>
                <w:sz w:val="14"/>
                <w:szCs w:val="14"/>
                <w:b w:val="1"/>
                <w:bCs w:val="1"/>
                <w:u w:val="single" w:color="auto"/>
                <w:color w:val="0000EE"/>
              </w:rPr>
            </w:pPr>
            <w:hyperlink w:anchor="page83">
              <w:r>
                <w:rPr>
                  <w:rFonts w:ascii="Arial" w:cs="Arial" w:eastAsia="Arial" w:hAnsi="Arial"/>
                  <w:sz w:val="14"/>
                  <w:szCs w:val="14"/>
                  <w:b w:val="1"/>
                  <w:bCs w:val="1"/>
                  <w:u w:val="single" w:color="auto"/>
                  <w:color w:val="0000EE"/>
                </w:rPr>
                <w:t>Part III</w:t>
              </w:r>
            </w:hyperlink>
          </w:p>
        </w:tc>
        <w:tc>
          <w:tcPr>
            <w:tcW w:w="560" w:type="dxa"/>
            <w:vAlign w:val="bottom"/>
          </w:tcPr>
          <w:p>
            <w:pPr>
              <w:spacing w:after="0"/>
              <w:rPr>
                <w:sz w:val="24"/>
                <w:szCs w:val="24"/>
                <w:color w:val="auto"/>
              </w:rPr>
            </w:pPr>
          </w:p>
        </w:tc>
      </w:tr>
      <w:tr>
        <w:trPr>
          <w:trHeight w:val="216"/>
        </w:trPr>
        <w:tc>
          <w:tcPr>
            <w:tcW w:w="740" w:type="dxa"/>
            <w:vAlign w:val="bottom"/>
          </w:tcPr>
          <w:p>
            <w:pPr>
              <w:spacing w:after="0"/>
              <w:rPr>
                <w:rFonts w:ascii="Arial" w:cs="Arial" w:eastAsia="Arial" w:hAnsi="Arial"/>
                <w:sz w:val="14"/>
                <w:szCs w:val="14"/>
                <w:color w:val="0000EE"/>
              </w:rPr>
            </w:pPr>
            <w:hyperlink w:anchor="page83">
              <w:r>
                <w:rPr>
                  <w:rFonts w:ascii="Arial" w:cs="Arial" w:eastAsia="Arial" w:hAnsi="Arial"/>
                  <w:sz w:val="14"/>
                  <w:szCs w:val="14"/>
                  <w:u w:val="single" w:color="auto"/>
                  <w:color w:val="0000EE"/>
                </w:rPr>
                <w:t>Item 10</w:t>
              </w:r>
              <w:r>
                <w:rPr>
                  <w:rFonts w:ascii="Arial" w:cs="Arial" w:eastAsia="Arial" w:hAnsi="Arial"/>
                  <w:sz w:val="14"/>
                  <w:szCs w:val="14"/>
                  <w:color w:val="0000EE"/>
                </w:rPr>
                <w:t>.</w:t>
              </w:r>
            </w:hyperlink>
          </w:p>
        </w:tc>
        <w:tc>
          <w:tcPr>
            <w:tcW w:w="9900" w:type="dxa"/>
            <w:vAlign w:val="bottom"/>
          </w:tcPr>
          <w:p>
            <w:pPr>
              <w:ind w:left="60"/>
              <w:spacing w:after="0"/>
              <w:rPr>
                <w:rFonts w:ascii="Arial" w:cs="Arial" w:eastAsia="Arial" w:hAnsi="Arial"/>
                <w:sz w:val="14"/>
                <w:szCs w:val="14"/>
                <w:u w:val="single" w:color="auto"/>
                <w:color w:val="0000EE"/>
              </w:rPr>
            </w:pPr>
            <w:hyperlink w:anchor="page83">
              <w:r>
                <w:rPr>
                  <w:rFonts w:ascii="Arial" w:cs="Arial" w:eastAsia="Arial" w:hAnsi="Arial"/>
                  <w:sz w:val="14"/>
                  <w:szCs w:val="14"/>
                  <w:u w:val="single" w:color="auto"/>
                  <w:color w:val="0000EE"/>
                </w:rPr>
                <w:t>Directors, Executive Officers and Corporate Governance</w:t>
              </w:r>
            </w:hyperlink>
          </w:p>
        </w:tc>
        <w:tc>
          <w:tcPr>
            <w:tcW w:w="560" w:type="dxa"/>
            <w:vAlign w:val="bottom"/>
          </w:tcPr>
          <w:p>
            <w:pPr>
              <w:jc w:val="right"/>
              <w:spacing w:after="0"/>
              <w:rPr>
                <w:rFonts w:ascii="Arial" w:cs="Arial" w:eastAsia="Arial" w:hAnsi="Arial"/>
                <w:sz w:val="14"/>
                <w:szCs w:val="14"/>
                <w:u w:val="single" w:color="auto"/>
                <w:color w:val="0000EE"/>
              </w:rPr>
            </w:pPr>
            <w:hyperlink w:anchor="page83">
              <w:r>
                <w:rPr>
                  <w:rFonts w:ascii="Arial" w:cs="Arial" w:eastAsia="Arial" w:hAnsi="Arial"/>
                  <w:sz w:val="14"/>
                  <w:szCs w:val="14"/>
                  <w:u w:val="single" w:color="auto"/>
                  <w:color w:val="0000EE"/>
                </w:rPr>
                <w:t>81</w:t>
              </w:r>
            </w:hyperlink>
          </w:p>
        </w:tc>
      </w:tr>
      <w:tr>
        <w:trPr>
          <w:trHeight w:val="216"/>
        </w:trPr>
        <w:tc>
          <w:tcPr>
            <w:tcW w:w="740" w:type="dxa"/>
            <w:vAlign w:val="bottom"/>
          </w:tcPr>
          <w:p>
            <w:pPr>
              <w:spacing w:after="0"/>
              <w:rPr>
                <w:rFonts w:ascii="Arial" w:cs="Arial" w:eastAsia="Arial" w:hAnsi="Arial"/>
                <w:sz w:val="14"/>
                <w:szCs w:val="14"/>
                <w:color w:val="0000EE"/>
              </w:rPr>
            </w:pPr>
            <w:hyperlink w:anchor="page83">
              <w:r>
                <w:rPr>
                  <w:rFonts w:ascii="Arial" w:cs="Arial" w:eastAsia="Arial" w:hAnsi="Arial"/>
                  <w:sz w:val="14"/>
                  <w:szCs w:val="14"/>
                  <w:u w:val="single" w:color="auto"/>
                  <w:color w:val="0000EE"/>
                </w:rPr>
                <w:t>Item 11</w:t>
              </w:r>
              <w:r>
                <w:rPr>
                  <w:rFonts w:ascii="Arial" w:cs="Arial" w:eastAsia="Arial" w:hAnsi="Arial"/>
                  <w:sz w:val="14"/>
                  <w:szCs w:val="14"/>
                  <w:color w:val="0000EE"/>
                </w:rPr>
                <w:t>.</w:t>
              </w:r>
            </w:hyperlink>
          </w:p>
        </w:tc>
        <w:tc>
          <w:tcPr>
            <w:tcW w:w="9900" w:type="dxa"/>
            <w:vAlign w:val="bottom"/>
          </w:tcPr>
          <w:p>
            <w:pPr>
              <w:ind w:left="60"/>
              <w:spacing w:after="0"/>
              <w:rPr>
                <w:rFonts w:ascii="Arial" w:cs="Arial" w:eastAsia="Arial" w:hAnsi="Arial"/>
                <w:sz w:val="14"/>
                <w:szCs w:val="14"/>
                <w:u w:val="single" w:color="auto"/>
                <w:color w:val="0000EE"/>
              </w:rPr>
            </w:pPr>
            <w:hyperlink w:anchor="page83">
              <w:r>
                <w:rPr>
                  <w:rFonts w:ascii="Arial" w:cs="Arial" w:eastAsia="Arial" w:hAnsi="Arial"/>
                  <w:sz w:val="14"/>
                  <w:szCs w:val="14"/>
                  <w:u w:val="single" w:color="auto"/>
                  <w:color w:val="0000EE"/>
                </w:rPr>
                <w:t>Executive Compensation</w:t>
              </w:r>
            </w:hyperlink>
          </w:p>
        </w:tc>
        <w:tc>
          <w:tcPr>
            <w:tcW w:w="560" w:type="dxa"/>
            <w:vAlign w:val="bottom"/>
          </w:tcPr>
          <w:p>
            <w:pPr>
              <w:jc w:val="right"/>
              <w:spacing w:after="0"/>
              <w:rPr>
                <w:rFonts w:ascii="Arial" w:cs="Arial" w:eastAsia="Arial" w:hAnsi="Arial"/>
                <w:sz w:val="14"/>
                <w:szCs w:val="14"/>
                <w:u w:val="single" w:color="auto"/>
                <w:color w:val="0000EE"/>
              </w:rPr>
            </w:pPr>
            <w:hyperlink w:anchor="page83">
              <w:r>
                <w:rPr>
                  <w:rFonts w:ascii="Arial" w:cs="Arial" w:eastAsia="Arial" w:hAnsi="Arial"/>
                  <w:sz w:val="14"/>
                  <w:szCs w:val="14"/>
                  <w:u w:val="single" w:color="auto"/>
                  <w:color w:val="0000EE"/>
                </w:rPr>
                <w:t>81</w:t>
              </w:r>
            </w:hyperlink>
          </w:p>
        </w:tc>
      </w:tr>
      <w:tr>
        <w:trPr>
          <w:trHeight w:val="216"/>
        </w:trPr>
        <w:tc>
          <w:tcPr>
            <w:tcW w:w="740" w:type="dxa"/>
            <w:vAlign w:val="bottom"/>
          </w:tcPr>
          <w:p>
            <w:pPr>
              <w:spacing w:after="0"/>
              <w:rPr>
                <w:rFonts w:ascii="Arial" w:cs="Arial" w:eastAsia="Arial" w:hAnsi="Arial"/>
                <w:sz w:val="14"/>
                <w:szCs w:val="14"/>
                <w:color w:val="0000EE"/>
              </w:rPr>
            </w:pPr>
            <w:hyperlink w:anchor="page83">
              <w:r>
                <w:rPr>
                  <w:rFonts w:ascii="Arial" w:cs="Arial" w:eastAsia="Arial" w:hAnsi="Arial"/>
                  <w:sz w:val="14"/>
                  <w:szCs w:val="14"/>
                  <w:u w:val="single" w:color="auto"/>
                  <w:color w:val="0000EE"/>
                </w:rPr>
                <w:t>Item 12</w:t>
              </w:r>
              <w:r>
                <w:rPr>
                  <w:rFonts w:ascii="Arial" w:cs="Arial" w:eastAsia="Arial" w:hAnsi="Arial"/>
                  <w:sz w:val="14"/>
                  <w:szCs w:val="14"/>
                  <w:color w:val="0000EE"/>
                </w:rPr>
                <w:t>.</w:t>
              </w:r>
            </w:hyperlink>
          </w:p>
        </w:tc>
        <w:tc>
          <w:tcPr>
            <w:tcW w:w="9900" w:type="dxa"/>
            <w:vAlign w:val="bottom"/>
          </w:tcPr>
          <w:p>
            <w:pPr>
              <w:ind w:left="60"/>
              <w:spacing w:after="0"/>
              <w:rPr>
                <w:rFonts w:ascii="Arial" w:cs="Arial" w:eastAsia="Arial" w:hAnsi="Arial"/>
                <w:sz w:val="14"/>
                <w:szCs w:val="14"/>
                <w:u w:val="single" w:color="auto"/>
                <w:color w:val="0000EE"/>
              </w:rPr>
            </w:pPr>
            <w:hyperlink w:anchor="page83">
              <w:r>
                <w:rPr>
                  <w:rFonts w:ascii="Arial" w:cs="Arial" w:eastAsia="Arial" w:hAnsi="Arial"/>
                  <w:sz w:val="14"/>
                  <w:szCs w:val="14"/>
                  <w:u w:val="single" w:color="auto"/>
                  <w:color w:val="0000EE"/>
                </w:rPr>
                <w:t>Security Ownership of Certain Beneficial Owners and Management and Related Stockholder Matters</w:t>
              </w:r>
            </w:hyperlink>
          </w:p>
        </w:tc>
        <w:tc>
          <w:tcPr>
            <w:tcW w:w="560" w:type="dxa"/>
            <w:vAlign w:val="bottom"/>
          </w:tcPr>
          <w:p>
            <w:pPr>
              <w:jc w:val="right"/>
              <w:spacing w:after="0"/>
              <w:rPr>
                <w:rFonts w:ascii="Arial" w:cs="Arial" w:eastAsia="Arial" w:hAnsi="Arial"/>
                <w:sz w:val="14"/>
                <w:szCs w:val="14"/>
                <w:u w:val="single" w:color="auto"/>
                <w:color w:val="0000EE"/>
              </w:rPr>
            </w:pPr>
            <w:hyperlink w:anchor="page83">
              <w:r>
                <w:rPr>
                  <w:rFonts w:ascii="Arial" w:cs="Arial" w:eastAsia="Arial" w:hAnsi="Arial"/>
                  <w:sz w:val="14"/>
                  <w:szCs w:val="14"/>
                  <w:u w:val="single" w:color="auto"/>
                  <w:color w:val="0000EE"/>
                </w:rPr>
                <w:t>81</w:t>
              </w:r>
            </w:hyperlink>
          </w:p>
        </w:tc>
      </w:tr>
      <w:tr>
        <w:trPr>
          <w:trHeight w:val="216"/>
        </w:trPr>
        <w:tc>
          <w:tcPr>
            <w:tcW w:w="740" w:type="dxa"/>
            <w:vAlign w:val="bottom"/>
          </w:tcPr>
          <w:p>
            <w:pPr>
              <w:spacing w:after="0"/>
              <w:rPr>
                <w:rFonts w:ascii="Arial" w:cs="Arial" w:eastAsia="Arial" w:hAnsi="Arial"/>
                <w:sz w:val="14"/>
                <w:szCs w:val="14"/>
                <w:color w:val="0000EE"/>
              </w:rPr>
            </w:pPr>
            <w:hyperlink w:anchor="page83">
              <w:r>
                <w:rPr>
                  <w:rFonts w:ascii="Arial" w:cs="Arial" w:eastAsia="Arial" w:hAnsi="Arial"/>
                  <w:sz w:val="14"/>
                  <w:szCs w:val="14"/>
                  <w:u w:val="single" w:color="auto"/>
                  <w:color w:val="0000EE"/>
                </w:rPr>
                <w:t>Item 13</w:t>
              </w:r>
              <w:r>
                <w:rPr>
                  <w:rFonts w:ascii="Arial" w:cs="Arial" w:eastAsia="Arial" w:hAnsi="Arial"/>
                  <w:sz w:val="14"/>
                  <w:szCs w:val="14"/>
                  <w:color w:val="0000EE"/>
                </w:rPr>
                <w:t>.</w:t>
              </w:r>
            </w:hyperlink>
          </w:p>
        </w:tc>
        <w:tc>
          <w:tcPr>
            <w:tcW w:w="9900" w:type="dxa"/>
            <w:vAlign w:val="bottom"/>
          </w:tcPr>
          <w:p>
            <w:pPr>
              <w:ind w:left="60"/>
              <w:spacing w:after="0"/>
              <w:rPr>
                <w:rFonts w:ascii="Arial" w:cs="Arial" w:eastAsia="Arial" w:hAnsi="Arial"/>
                <w:sz w:val="14"/>
                <w:szCs w:val="14"/>
                <w:u w:val="single" w:color="auto"/>
                <w:color w:val="0000EE"/>
              </w:rPr>
            </w:pPr>
            <w:hyperlink w:anchor="page83">
              <w:r>
                <w:rPr>
                  <w:rFonts w:ascii="Arial" w:cs="Arial" w:eastAsia="Arial" w:hAnsi="Arial"/>
                  <w:sz w:val="14"/>
                  <w:szCs w:val="14"/>
                  <w:u w:val="single" w:color="auto"/>
                  <w:color w:val="0000EE"/>
                </w:rPr>
                <w:t>Certain Relationships and Related Transactions, and Director Independence</w:t>
              </w:r>
            </w:hyperlink>
          </w:p>
        </w:tc>
        <w:tc>
          <w:tcPr>
            <w:tcW w:w="560" w:type="dxa"/>
            <w:vAlign w:val="bottom"/>
          </w:tcPr>
          <w:p>
            <w:pPr>
              <w:jc w:val="right"/>
              <w:spacing w:after="0"/>
              <w:rPr>
                <w:rFonts w:ascii="Arial" w:cs="Arial" w:eastAsia="Arial" w:hAnsi="Arial"/>
                <w:sz w:val="14"/>
                <w:szCs w:val="14"/>
                <w:u w:val="single" w:color="auto"/>
                <w:color w:val="0000EE"/>
              </w:rPr>
            </w:pPr>
            <w:hyperlink w:anchor="page83">
              <w:r>
                <w:rPr>
                  <w:rFonts w:ascii="Arial" w:cs="Arial" w:eastAsia="Arial" w:hAnsi="Arial"/>
                  <w:sz w:val="14"/>
                  <w:szCs w:val="14"/>
                  <w:u w:val="single" w:color="auto"/>
                  <w:color w:val="0000EE"/>
                </w:rPr>
                <w:t>81</w:t>
              </w:r>
            </w:hyperlink>
          </w:p>
        </w:tc>
      </w:tr>
      <w:tr>
        <w:trPr>
          <w:trHeight w:val="216"/>
        </w:trPr>
        <w:tc>
          <w:tcPr>
            <w:tcW w:w="740" w:type="dxa"/>
            <w:vAlign w:val="bottom"/>
          </w:tcPr>
          <w:p>
            <w:pPr>
              <w:spacing w:after="0"/>
              <w:rPr>
                <w:rFonts w:ascii="Arial" w:cs="Arial" w:eastAsia="Arial" w:hAnsi="Arial"/>
                <w:sz w:val="14"/>
                <w:szCs w:val="14"/>
                <w:color w:val="0000EE"/>
              </w:rPr>
            </w:pPr>
            <w:hyperlink w:anchor="page83">
              <w:r>
                <w:rPr>
                  <w:rFonts w:ascii="Arial" w:cs="Arial" w:eastAsia="Arial" w:hAnsi="Arial"/>
                  <w:sz w:val="14"/>
                  <w:szCs w:val="14"/>
                  <w:u w:val="single" w:color="auto"/>
                  <w:color w:val="0000EE"/>
                </w:rPr>
                <w:t>Item 14</w:t>
              </w:r>
              <w:r>
                <w:rPr>
                  <w:rFonts w:ascii="Arial" w:cs="Arial" w:eastAsia="Arial" w:hAnsi="Arial"/>
                  <w:sz w:val="14"/>
                  <w:szCs w:val="14"/>
                  <w:color w:val="0000EE"/>
                </w:rPr>
                <w:t>.</w:t>
              </w:r>
            </w:hyperlink>
          </w:p>
        </w:tc>
        <w:tc>
          <w:tcPr>
            <w:tcW w:w="9900" w:type="dxa"/>
            <w:vAlign w:val="bottom"/>
          </w:tcPr>
          <w:p>
            <w:pPr>
              <w:ind w:left="60"/>
              <w:spacing w:after="0"/>
              <w:rPr>
                <w:rFonts w:ascii="Arial" w:cs="Arial" w:eastAsia="Arial" w:hAnsi="Arial"/>
                <w:sz w:val="14"/>
                <w:szCs w:val="14"/>
                <w:u w:val="single" w:color="auto"/>
                <w:color w:val="0000EE"/>
              </w:rPr>
            </w:pPr>
            <w:hyperlink w:anchor="page83">
              <w:r>
                <w:rPr>
                  <w:rFonts w:ascii="Arial" w:cs="Arial" w:eastAsia="Arial" w:hAnsi="Arial"/>
                  <w:sz w:val="14"/>
                  <w:szCs w:val="14"/>
                  <w:u w:val="single" w:color="auto"/>
                  <w:color w:val="0000EE"/>
                </w:rPr>
                <w:t>Principal Accountant Fees and Services</w:t>
              </w:r>
            </w:hyperlink>
          </w:p>
        </w:tc>
        <w:tc>
          <w:tcPr>
            <w:tcW w:w="560" w:type="dxa"/>
            <w:vAlign w:val="bottom"/>
          </w:tcPr>
          <w:p>
            <w:pPr>
              <w:jc w:val="right"/>
              <w:spacing w:after="0"/>
              <w:rPr>
                <w:rFonts w:ascii="Arial" w:cs="Arial" w:eastAsia="Arial" w:hAnsi="Arial"/>
                <w:sz w:val="14"/>
                <w:szCs w:val="14"/>
                <w:u w:val="single" w:color="auto"/>
                <w:color w:val="0000EE"/>
              </w:rPr>
            </w:pPr>
            <w:hyperlink w:anchor="page83">
              <w:r>
                <w:rPr>
                  <w:rFonts w:ascii="Arial" w:cs="Arial" w:eastAsia="Arial" w:hAnsi="Arial"/>
                  <w:sz w:val="14"/>
                  <w:szCs w:val="14"/>
                  <w:u w:val="single" w:color="auto"/>
                  <w:color w:val="0000EE"/>
                </w:rPr>
                <w:t>81</w:t>
              </w:r>
            </w:hyperlink>
          </w:p>
        </w:tc>
      </w:tr>
      <w:tr>
        <w:trPr>
          <w:trHeight w:val="432"/>
        </w:trPr>
        <w:tc>
          <w:tcPr>
            <w:tcW w:w="740" w:type="dxa"/>
            <w:vAlign w:val="bottom"/>
          </w:tcPr>
          <w:p>
            <w:pPr>
              <w:spacing w:after="0"/>
              <w:rPr>
                <w:sz w:val="24"/>
                <w:szCs w:val="24"/>
                <w:color w:val="auto"/>
              </w:rPr>
            </w:pPr>
          </w:p>
        </w:tc>
        <w:tc>
          <w:tcPr>
            <w:tcW w:w="9900" w:type="dxa"/>
            <w:vAlign w:val="bottom"/>
          </w:tcPr>
          <w:p>
            <w:pPr>
              <w:jc w:val="center"/>
              <w:ind w:right="127"/>
              <w:spacing w:after="0"/>
              <w:rPr>
                <w:rFonts w:ascii="Arial" w:cs="Arial" w:eastAsia="Arial" w:hAnsi="Arial"/>
                <w:sz w:val="14"/>
                <w:szCs w:val="14"/>
                <w:b w:val="1"/>
                <w:bCs w:val="1"/>
                <w:u w:val="single" w:color="auto"/>
                <w:color w:val="0000EE"/>
              </w:rPr>
            </w:pPr>
            <w:hyperlink w:anchor="page84">
              <w:r>
                <w:rPr>
                  <w:rFonts w:ascii="Arial" w:cs="Arial" w:eastAsia="Arial" w:hAnsi="Arial"/>
                  <w:sz w:val="14"/>
                  <w:szCs w:val="14"/>
                  <w:b w:val="1"/>
                  <w:bCs w:val="1"/>
                  <w:u w:val="single" w:color="auto"/>
                  <w:color w:val="0000EE"/>
                </w:rPr>
                <w:t>Part IV</w:t>
              </w:r>
            </w:hyperlink>
          </w:p>
        </w:tc>
        <w:tc>
          <w:tcPr>
            <w:tcW w:w="560" w:type="dxa"/>
            <w:vAlign w:val="bottom"/>
          </w:tcPr>
          <w:p>
            <w:pPr>
              <w:spacing w:after="0"/>
              <w:rPr>
                <w:sz w:val="24"/>
                <w:szCs w:val="24"/>
                <w:color w:val="auto"/>
              </w:rPr>
            </w:pPr>
          </w:p>
        </w:tc>
      </w:tr>
      <w:tr>
        <w:trPr>
          <w:trHeight w:val="216"/>
        </w:trPr>
        <w:tc>
          <w:tcPr>
            <w:tcW w:w="740" w:type="dxa"/>
            <w:vAlign w:val="bottom"/>
          </w:tcPr>
          <w:p>
            <w:pPr>
              <w:spacing w:after="0"/>
              <w:rPr>
                <w:rFonts w:ascii="Arial" w:cs="Arial" w:eastAsia="Arial" w:hAnsi="Arial"/>
                <w:sz w:val="14"/>
                <w:szCs w:val="14"/>
                <w:color w:val="0000EE"/>
              </w:rPr>
            </w:pPr>
            <w:hyperlink w:anchor="page84">
              <w:r>
                <w:rPr>
                  <w:rFonts w:ascii="Arial" w:cs="Arial" w:eastAsia="Arial" w:hAnsi="Arial"/>
                  <w:sz w:val="14"/>
                  <w:szCs w:val="14"/>
                  <w:u w:val="single" w:color="auto"/>
                  <w:color w:val="0000EE"/>
                </w:rPr>
                <w:t>Item 15</w:t>
              </w:r>
              <w:r>
                <w:rPr>
                  <w:rFonts w:ascii="Arial" w:cs="Arial" w:eastAsia="Arial" w:hAnsi="Arial"/>
                  <w:sz w:val="14"/>
                  <w:szCs w:val="14"/>
                  <w:color w:val="0000EE"/>
                </w:rPr>
                <w:t>.</w:t>
              </w:r>
            </w:hyperlink>
          </w:p>
        </w:tc>
        <w:tc>
          <w:tcPr>
            <w:tcW w:w="9900" w:type="dxa"/>
            <w:vAlign w:val="bottom"/>
          </w:tcPr>
          <w:p>
            <w:pPr>
              <w:ind w:left="60"/>
              <w:spacing w:after="0"/>
              <w:rPr>
                <w:rFonts w:ascii="Arial" w:cs="Arial" w:eastAsia="Arial" w:hAnsi="Arial"/>
                <w:sz w:val="14"/>
                <w:szCs w:val="14"/>
                <w:u w:val="single" w:color="auto"/>
                <w:color w:val="0000EE"/>
              </w:rPr>
            </w:pPr>
            <w:hyperlink w:anchor="page84">
              <w:r>
                <w:rPr>
                  <w:rFonts w:ascii="Arial" w:cs="Arial" w:eastAsia="Arial" w:hAnsi="Arial"/>
                  <w:sz w:val="14"/>
                  <w:szCs w:val="14"/>
                  <w:u w:val="single" w:color="auto"/>
                  <w:color w:val="0000EE"/>
                </w:rPr>
                <w:t>Exhibits and Financial Statement Schedules</w:t>
              </w:r>
            </w:hyperlink>
          </w:p>
        </w:tc>
        <w:tc>
          <w:tcPr>
            <w:tcW w:w="560" w:type="dxa"/>
            <w:vAlign w:val="bottom"/>
          </w:tcPr>
          <w:p>
            <w:pPr>
              <w:jc w:val="right"/>
              <w:spacing w:after="0"/>
              <w:rPr>
                <w:rFonts w:ascii="Arial" w:cs="Arial" w:eastAsia="Arial" w:hAnsi="Arial"/>
                <w:sz w:val="14"/>
                <w:szCs w:val="14"/>
                <w:u w:val="single" w:color="auto"/>
                <w:color w:val="0000EE"/>
              </w:rPr>
            </w:pPr>
            <w:hyperlink w:anchor="page84">
              <w:r>
                <w:rPr>
                  <w:rFonts w:ascii="Arial" w:cs="Arial" w:eastAsia="Arial" w:hAnsi="Arial"/>
                  <w:sz w:val="14"/>
                  <w:szCs w:val="14"/>
                  <w:u w:val="single" w:color="auto"/>
                  <w:color w:val="0000EE"/>
                </w:rPr>
                <w:t>82</w:t>
              </w:r>
            </w:hyperlink>
          </w:p>
        </w:tc>
      </w:tr>
      <w:tr>
        <w:trPr>
          <w:trHeight w:val="216"/>
        </w:trPr>
        <w:tc>
          <w:tcPr>
            <w:tcW w:w="740" w:type="dxa"/>
            <w:vAlign w:val="bottom"/>
          </w:tcPr>
          <w:p>
            <w:pPr>
              <w:spacing w:after="0"/>
              <w:rPr>
                <w:rFonts w:ascii="Arial" w:cs="Arial" w:eastAsia="Arial" w:hAnsi="Arial"/>
                <w:sz w:val="14"/>
                <w:szCs w:val="14"/>
                <w:color w:val="0000EE"/>
              </w:rPr>
            </w:pPr>
            <w:hyperlink w:anchor="page93">
              <w:r>
                <w:rPr>
                  <w:rFonts w:ascii="Arial" w:cs="Arial" w:eastAsia="Arial" w:hAnsi="Arial"/>
                  <w:sz w:val="14"/>
                  <w:szCs w:val="14"/>
                  <w:u w:val="single" w:color="auto"/>
                  <w:color w:val="0000EE"/>
                </w:rPr>
                <w:t>Item 16</w:t>
              </w:r>
              <w:r>
                <w:rPr>
                  <w:rFonts w:ascii="Arial" w:cs="Arial" w:eastAsia="Arial" w:hAnsi="Arial"/>
                  <w:sz w:val="14"/>
                  <w:szCs w:val="14"/>
                  <w:color w:val="0000EE"/>
                </w:rPr>
                <w:t>.</w:t>
              </w:r>
            </w:hyperlink>
          </w:p>
        </w:tc>
        <w:tc>
          <w:tcPr>
            <w:tcW w:w="9900" w:type="dxa"/>
            <w:vAlign w:val="bottom"/>
          </w:tcPr>
          <w:p>
            <w:pPr>
              <w:ind w:left="60"/>
              <w:spacing w:after="0"/>
              <w:rPr>
                <w:rFonts w:ascii="Arial" w:cs="Arial" w:eastAsia="Arial" w:hAnsi="Arial"/>
                <w:sz w:val="14"/>
                <w:szCs w:val="14"/>
                <w:u w:val="single" w:color="auto"/>
                <w:color w:val="0000EE"/>
              </w:rPr>
            </w:pPr>
            <w:hyperlink w:anchor="page93">
              <w:r>
                <w:rPr>
                  <w:rFonts w:ascii="Arial" w:cs="Arial" w:eastAsia="Arial" w:hAnsi="Arial"/>
                  <w:sz w:val="14"/>
                  <w:szCs w:val="14"/>
                  <w:u w:val="single" w:color="auto"/>
                  <w:color w:val="0000EE"/>
                </w:rPr>
                <w:t>Form 10-K Summary</w:t>
              </w:r>
            </w:hyperlink>
          </w:p>
        </w:tc>
        <w:tc>
          <w:tcPr>
            <w:tcW w:w="560" w:type="dxa"/>
            <w:vAlign w:val="bottom"/>
          </w:tcPr>
          <w:p>
            <w:pPr>
              <w:jc w:val="right"/>
              <w:spacing w:after="0"/>
              <w:rPr>
                <w:rFonts w:ascii="Arial" w:cs="Arial" w:eastAsia="Arial" w:hAnsi="Arial"/>
                <w:sz w:val="14"/>
                <w:szCs w:val="14"/>
                <w:u w:val="single" w:color="auto"/>
                <w:color w:val="0000EE"/>
              </w:rPr>
            </w:pPr>
            <w:hyperlink w:anchor="page93">
              <w:r>
                <w:rPr>
                  <w:rFonts w:ascii="Arial" w:cs="Arial" w:eastAsia="Arial" w:hAnsi="Arial"/>
                  <w:sz w:val="14"/>
                  <w:szCs w:val="14"/>
                  <w:u w:val="single" w:color="auto"/>
                  <w:color w:val="0000EE"/>
                </w:rPr>
                <w:t>91</w:t>
              </w:r>
            </w:hyperlink>
          </w:p>
        </w:tc>
      </w:tr>
      <w:tr>
        <w:trPr>
          <w:trHeight w:val="486"/>
        </w:trPr>
        <w:tc>
          <w:tcPr>
            <w:tcW w:w="740" w:type="dxa"/>
            <w:vAlign w:val="bottom"/>
          </w:tcPr>
          <w:p>
            <w:pPr>
              <w:spacing w:after="0"/>
              <w:rPr>
                <w:rFonts w:ascii="Arial" w:cs="Arial" w:eastAsia="Arial" w:hAnsi="Arial"/>
                <w:sz w:val="14"/>
                <w:szCs w:val="14"/>
                <w:u w:val="single" w:color="auto"/>
                <w:color w:val="0000EE"/>
              </w:rPr>
            </w:pPr>
            <w:hyperlink w:anchor="page94">
              <w:r>
                <w:rPr>
                  <w:rFonts w:ascii="Arial" w:cs="Arial" w:eastAsia="Arial" w:hAnsi="Arial"/>
                  <w:sz w:val="14"/>
                  <w:szCs w:val="14"/>
                  <w:u w:val="single" w:color="auto"/>
                  <w:color w:val="0000EE"/>
                </w:rPr>
                <w:t>Signatures</w:t>
              </w:r>
            </w:hyperlink>
          </w:p>
        </w:tc>
        <w:tc>
          <w:tcPr>
            <w:tcW w:w="9900" w:type="dxa"/>
            <w:vAlign w:val="bottom"/>
          </w:tcPr>
          <w:p>
            <w:pPr>
              <w:spacing w:after="0"/>
              <w:rPr>
                <w:sz w:val="24"/>
                <w:szCs w:val="24"/>
                <w:color w:val="auto"/>
              </w:rPr>
            </w:pPr>
          </w:p>
        </w:tc>
        <w:tc>
          <w:tcPr>
            <w:tcW w:w="560" w:type="dxa"/>
            <w:vAlign w:val="bottom"/>
          </w:tcPr>
          <w:p>
            <w:pPr>
              <w:jc w:val="right"/>
              <w:spacing w:after="0"/>
              <w:rPr>
                <w:rFonts w:ascii="Arial" w:cs="Arial" w:eastAsia="Arial" w:hAnsi="Arial"/>
                <w:sz w:val="14"/>
                <w:szCs w:val="14"/>
                <w:u w:val="single" w:color="auto"/>
                <w:color w:val="0000EE"/>
              </w:rPr>
            </w:pPr>
            <w:hyperlink w:anchor="page94">
              <w:r>
                <w:rPr>
                  <w:rFonts w:ascii="Arial" w:cs="Arial" w:eastAsia="Arial" w:hAnsi="Arial"/>
                  <w:sz w:val="14"/>
                  <w:szCs w:val="14"/>
                  <w:u w:val="single" w:color="auto"/>
                  <w:color w:val="0000EE"/>
                </w:rPr>
                <w:t>92</w:t>
              </w:r>
            </w:hyperlink>
          </w:p>
        </w:tc>
      </w:tr>
      <w:tr>
        <w:trPr>
          <w:trHeight w:val="540"/>
        </w:trPr>
        <w:tc>
          <w:tcPr>
            <w:tcW w:w="10640" w:type="dxa"/>
            <w:vAlign w:val="bottom"/>
            <w:gridSpan w:val="2"/>
          </w:tcPr>
          <w:p>
            <w:pPr>
              <w:spacing w:after="0"/>
              <w:rPr>
                <w:rFonts w:ascii="Arial" w:cs="Arial" w:eastAsia="Arial" w:hAnsi="Arial"/>
                <w:sz w:val="14"/>
                <w:szCs w:val="14"/>
                <w:u w:val="single" w:color="auto"/>
                <w:color w:val="0000EE"/>
              </w:rPr>
            </w:pPr>
            <w:hyperlink w:anchor="page95">
              <w:r>
                <w:rPr>
                  <w:rFonts w:ascii="Arial" w:cs="Arial" w:eastAsia="Arial" w:hAnsi="Arial"/>
                  <w:sz w:val="14"/>
                  <w:szCs w:val="14"/>
                  <w:u w:val="single" w:color="auto"/>
                  <w:color w:val="0000EE"/>
                </w:rPr>
                <w:t>Schedule II - Valuation and Qualifying Accounts</w:t>
              </w:r>
            </w:hyperlink>
          </w:p>
        </w:tc>
        <w:tc>
          <w:tcPr>
            <w:tcW w:w="560" w:type="dxa"/>
            <w:vAlign w:val="bottom"/>
          </w:tcPr>
          <w:p>
            <w:pPr>
              <w:jc w:val="right"/>
              <w:spacing w:after="0"/>
              <w:rPr>
                <w:rFonts w:ascii="Arial" w:cs="Arial" w:eastAsia="Arial" w:hAnsi="Arial"/>
                <w:sz w:val="14"/>
                <w:szCs w:val="14"/>
                <w:u w:val="single" w:color="auto"/>
                <w:color w:val="0000EE"/>
              </w:rPr>
            </w:pPr>
            <w:hyperlink w:anchor="page95">
              <w:r>
                <w:rPr>
                  <w:rFonts w:ascii="Arial" w:cs="Arial" w:eastAsia="Arial" w:hAnsi="Arial"/>
                  <w:sz w:val="14"/>
                  <w:szCs w:val="14"/>
                  <w:u w:val="single" w:color="auto"/>
                  <w:color w:val="0000EE"/>
                </w:rPr>
                <w:t>93</w:t>
              </w:r>
            </w:hyperlink>
          </w:p>
        </w:tc>
      </w:tr>
    </w:tbl>
    <w:p>
      <w:pPr>
        <w:sectPr>
          <w:pgSz w:w="11900" w:h="16838" w:orient="portrait"/>
          <w:cols w:equalWidth="0" w:num="1">
            <w:col w:w="11200"/>
          </w:cols>
          <w:pgMar w:left="360" w:top="886"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6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Acuity Brands, Inc. (“Acuity Brands”) is the parent company of Acuity Brands Lighting, Inc. (“ABL”) and other wholly-owned subsidiaries (Acuity Brands, ABL, and such other subsidiaries are collectively referred to herein as “we,” “our,” “us,” “the Company,” or similar references) and was incorporated in 2001 under the laws of the State of Delaware. We are a market-leading industrial technology company that designs, manufactures, and brings to market products and services for commercial, institutional, industrial, infrastructure, and residential applications throughout North America and select international markets. Our products include building management systems, lighting, lighting controls, and location aware applications. We have one reportable segment serving the North American lighting market and select international markets. We achieve growth through the development of innovative new products and services. Through the Acuity Business System, we achieve customer-focused efficiencies that allow us to increase market share and deliver superior returns. We look to aggressively deploy capital to grow the business and to enter attractive new verticals.</w:t>
      </w:r>
    </w:p>
    <w:p>
      <w:pPr>
        <w:spacing w:after="0" w:line="11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Lighting and building technology solutions vary significantly in terms of functionality and performance and are selected based on a customer's specification, including the aesthetic desires and performance requirements for a given application. Our lighting and building technology solutions are marketed under numerous brand names, including but not limited to Lithonia Lighting</w:t>
      </w:r>
      <w:r>
        <w:rPr>
          <w:rFonts w:ascii="Arial" w:cs="Arial" w:eastAsia="Arial" w:hAnsi="Arial"/>
          <w:sz w:val="21"/>
          <w:szCs w:val="21"/>
          <w:color w:val="auto"/>
          <w:vertAlign w:val="superscript"/>
        </w:rPr>
        <w:t>®</w:t>
      </w:r>
      <w:r>
        <w:rPr>
          <w:rFonts w:ascii="Arial" w:cs="Arial" w:eastAsia="Arial" w:hAnsi="Arial"/>
          <w:sz w:val="18"/>
          <w:szCs w:val="18"/>
          <w:color w:val="auto"/>
        </w:rPr>
        <w:t>, Holophane</w:t>
      </w:r>
      <w:r>
        <w:rPr>
          <w:rFonts w:ascii="Arial" w:cs="Arial" w:eastAsia="Arial" w:hAnsi="Arial"/>
          <w:sz w:val="21"/>
          <w:szCs w:val="21"/>
          <w:color w:val="auto"/>
          <w:vertAlign w:val="superscript"/>
        </w:rPr>
        <w:t>®</w:t>
      </w:r>
      <w:r>
        <w:rPr>
          <w:rFonts w:ascii="Arial" w:cs="Arial" w:eastAsia="Arial" w:hAnsi="Arial"/>
          <w:sz w:val="18"/>
          <w:szCs w:val="18"/>
          <w:color w:val="auto"/>
        </w:rPr>
        <w:t>, Peerless</w:t>
      </w:r>
      <w:r>
        <w:rPr>
          <w:rFonts w:ascii="Arial" w:cs="Arial" w:eastAsia="Arial" w:hAnsi="Arial"/>
          <w:sz w:val="21"/>
          <w:szCs w:val="21"/>
          <w:color w:val="auto"/>
          <w:vertAlign w:val="superscript"/>
        </w:rPr>
        <w:t>®</w:t>
      </w:r>
      <w:r>
        <w:rPr>
          <w:rFonts w:ascii="Arial" w:cs="Arial" w:eastAsia="Arial" w:hAnsi="Arial"/>
          <w:sz w:val="18"/>
          <w:szCs w:val="18"/>
          <w:color w:val="auto"/>
        </w:rPr>
        <w:t>, Gotham</w:t>
      </w:r>
      <w:r>
        <w:rPr>
          <w:rFonts w:ascii="Arial" w:cs="Arial" w:eastAsia="Arial" w:hAnsi="Arial"/>
          <w:sz w:val="21"/>
          <w:szCs w:val="21"/>
          <w:color w:val="auto"/>
          <w:vertAlign w:val="superscript"/>
        </w:rPr>
        <w:t>®</w:t>
      </w:r>
      <w:r>
        <w:rPr>
          <w:rFonts w:ascii="Arial" w:cs="Arial" w:eastAsia="Arial" w:hAnsi="Arial"/>
          <w:sz w:val="18"/>
          <w:szCs w:val="18"/>
          <w:color w:val="auto"/>
        </w:rPr>
        <w:t>, Mark Architectural Lighting™, Winona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Lighting, Juno</w:t>
      </w:r>
      <w:r>
        <w:rPr>
          <w:rFonts w:ascii="Arial" w:cs="Arial" w:eastAsia="Arial" w:hAnsi="Arial"/>
          <w:sz w:val="21"/>
          <w:szCs w:val="21"/>
          <w:color w:val="auto"/>
          <w:vertAlign w:val="superscript"/>
        </w:rPr>
        <w:t>®</w:t>
      </w:r>
      <w:r>
        <w:rPr>
          <w:rFonts w:ascii="Arial" w:cs="Arial" w:eastAsia="Arial" w:hAnsi="Arial"/>
          <w:sz w:val="18"/>
          <w:szCs w:val="18"/>
          <w:color w:val="auto"/>
        </w:rPr>
        <w:t>, Indy™, Aculux™, Healthcare Lighting</w:t>
      </w:r>
      <w:r>
        <w:rPr>
          <w:rFonts w:ascii="Arial" w:cs="Arial" w:eastAsia="Arial" w:hAnsi="Arial"/>
          <w:sz w:val="21"/>
          <w:szCs w:val="21"/>
          <w:color w:val="auto"/>
          <w:vertAlign w:val="superscript"/>
        </w:rPr>
        <w:t>®</w:t>
      </w:r>
      <w:r>
        <w:rPr>
          <w:rFonts w:ascii="Arial" w:cs="Arial" w:eastAsia="Arial" w:hAnsi="Arial"/>
          <w:sz w:val="18"/>
          <w:szCs w:val="18"/>
          <w:color w:val="auto"/>
        </w:rPr>
        <w:t>, Hydrel</w:t>
      </w:r>
      <w:r>
        <w:rPr>
          <w:rFonts w:ascii="Arial" w:cs="Arial" w:eastAsia="Arial" w:hAnsi="Arial"/>
          <w:sz w:val="21"/>
          <w:szCs w:val="21"/>
          <w:color w:val="auto"/>
          <w:vertAlign w:val="superscript"/>
        </w:rPr>
        <w:t>®</w:t>
      </w:r>
      <w:r>
        <w:rPr>
          <w:rFonts w:ascii="Arial" w:cs="Arial" w:eastAsia="Arial" w:hAnsi="Arial"/>
          <w:sz w:val="18"/>
          <w:szCs w:val="18"/>
          <w:color w:val="auto"/>
        </w:rPr>
        <w:t>, American Electric Lighting</w:t>
      </w:r>
      <w:r>
        <w:rPr>
          <w:rFonts w:ascii="Arial" w:cs="Arial" w:eastAsia="Arial" w:hAnsi="Arial"/>
          <w:sz w:val="21"/>
          <w:szCs w:val="21"/>
          <w:color w:val="auto"/>
          <w:vertAlign w:val="superscript"/>
        </w:rPr>
        <w:t>®</w:t>
      </w:r>
      <w:r>
        <w:rPr>
          <w:rFonts w:ascii="Arial" w:cs="Arial" w:eastAsia="Arial" w:hAnsi="Arial"/>
          <w:sz w:val="18"/>
          <w:szCs w:val="18"/>
          <w:color w:val="auto"/>
        </w:rPr>
        <w:t>, Sunoptics</w:t>
      </w:r>
      <w:r>
        <w:rPr>
          <w:rFonts w:ascii="Arial" w:cs="Arial" w:eastAsia="Arial" w:hAnsi="Arial"/>
          <w:sz w:val="21"/>
          <w:szCs w:val="21"/>
          <w:color w:val="auto"/>
          <w:vertAlign w:val="superscript"/>
        </w:rPr>
        <w:t>®</w:t>
      </w:r>
      <w:r>
        <w:rPr>
          <w:rFonts w:ascii="Arial" w:cs="Arial" w:eastAsia="Arial" w:hAnsi="Arial"/>
          <w:sz w:val="18"/>
          <w:szCs w:val="18"/>
          <w:color w:val="auto"/>
        </w:rPr>
        <w:t>, eldoLED</w:t>
      </w:r>
      <w:r>
        <w:rPr>
          <w:rFonts w:ascii="Arial" w:cs="Arial" w:eastAsia="Arial" w:hAnsi="Arial"/>
          <w:sz w:val="21"/>
          <w:szCs w:val="21"/>
          <w:color w:val="auto"/>
          <w:vertAlign w:val="superscript"/>
        </w:rPr>
        <w:t>®</w:t>
      </w:r>
      <w:r>
        <w:rPr>
          <w:rFonts w:ascii="Arial" w:cs="Arial" w:eastAsia="Arial" w:hAnsi="Arial"/>
          <w:sz w:val="18"/>
          <w:szCs w:val="18"/>
          <w:color w:val="auto"/>
        </w:rPr>
        <w:t>, Distech Controls</w:t>
      </w:r>
      <w:r>
        <w:rPr>
          <w:rFonts w:ascii="Arial" w:cs="Arial" w:eastAsia="Arial" w:hAnsi="Arial"/>
          <w:sz w:val="21"/>
          <w:szCs w:val="21"/>
          <w:color w:val="auto"/>
          <w:vertAlign w:val="superscript"/>
        </w:rPr>
        <w:t>®</w:t>
      </w:r>
      <w:r>
        <w:rPr>
          <w:rFonts w:ascii="Arial" w:cs="Arial" w:eastAsia="Arial" w:hAnsi="Arial"/>
          <w:sz w:val="18"/>
          <w:szCs w:val="18"/>
          <w:color w:val="auto"/>
        </w:rPr>
        <w:t>, nLight</w:t>
      </w:r>
      <w:r>
        <w:rPr>
          <w:rFonts w:ascii="Arial" w:cs="Arial" w:eastAsia="Arial" w:hAnsi="Arial"/>
          <w:sz w:val="21"/>
          <w:szCs w:val="21"/>
          <w:color w:val="auto"/>
          <w:vertAlign w:val="superscript"/>
        </w:rPr>
        <w:t>®</w:t>
      </w:r>
      <w:r>
        <w:rPr>
          <w:rFonts w:ascii="Arial" w:cs="Arial" w:eastAsia="Arial" w:hAnsi="Arial"/>
          <w:sz w:val="18"/>
          <w:szCs w:val="18"/>
          <w:color w:val="auto"/>
        </w:rPr>
        <w:t>, Sensor Switch</w:t>
      </w:r>
      <w:r>
        <w:rPr>
          <w:rFonts w:ascii="Arial" w:cs="Arial" w:eastAsia="Arial" w:hAnsi="Arial"/>
          <w:sz w:val="21"/>
          <w:szCs w:val="21"/>
          <w:color w:val="auto"/>
          <w:vertAlign w:val="superscript"/>
        </w:rPr>
        <w:t>®</w:t>
      </w:r>
      <w:r>
        <w:rPr>
          <w:rFonts w:ascii="Arial" w:cs="Arial" w:eastAsia="Arial" w:hAnsi="Arial"/>
          <w:sz w:val="18"/>
          <w:szCs w:val="18"/>
          <w:color w:val="auto"/>
        </w:rPr>
        <w:t>, IOTA</w:t>
      </w:r>
      <w:r>
        <w:rPr>
          <w:rFonts w:ascii="Arial" w:cs="Arial" w:eastAsia="Arial" w:hAnsi="Arial"/>
          <w:sz w:val="21"/>
          <w:szCs w:val="21"/>
          <w:color w:val="auto"/>
          <w:vertAlign w:val="superscript"/>
        </w:rPr>
        <w:t>®</w:t>
      </w:r>
      <w:r>
        <w:rPr>
          <w:rFonts w:ascii="Arial" w:cs="Arial" w:eastAsia="Arial" w:hAnsi="Arial"/>
          <w:sz w:val="18"/>
          <w:szCs w:val="18"/>
          <w:color w:val="auto"/>
        </w:rPr>
        <w:t>, A-light™, Cyclone™, Eureka</w:t>
      </w:r>
      <w:r>
        <w:rPr>
          <w:rFonts w:ascii="Arial" w:cs="Arial" w:eastAsia="Arial" w:hAnsi="Arial"/>
          <w:sz w:val="21"/>
          <w:szCs w:val="21"/>
          <w:color w:val="auto"/>
          <w:vertAlign w:val="superscript"/>
        </w:rPr>
        <w:t>®</w:t>
      </w:r>
      <w:r>
        <w:rPr>
          <w:rFonts w:ascii="Arial" w:cs="Arial" w:eastAsia="Arial" w:hAnsi="Arial"/>
          <w:sz w:val="18"/>
          <w:szCs w:val="18"/>
          <w:color w:val="auto"/>
        </w:rPr>
        <w:t>, Luminaire LED™, Luminis</w:t>
      </w:r>
      <w:r>
        <w:rPr>
          <w:rFonts w:ascii="Arial" w:cs="Arial" w:eastAsia="Arial" w:hAnsi="Arial"/>
          <w:sz w:val="21"/>
          <w:szCs w:val="21"/>
          <w:color w:val="auto"/>
          <w:vertAlign w:val="superscript"/>
        </w:rPr>
        <w:t>®</w:t>
      </w:r>
      <w:r>
        <w:rPr>
          <w:rFonts w:ascii="Arial" w:cs="Arial" w:eastAsia="Arial" w:hAnsi="Arial"/>
          <w:sz w:val="18"/>
          <w:szCs w:val="18"/>
          <w:color w:val="auto"/>
        </w:rPr>
        <w:t>, Dark to Light</w:t>
      </w:r>
      <w:r>
        <w:rPr>
          <w:rFonts w:ascii="Arial" w:cs="Arial" w:eastAsia="Arial" w:hAnsi="Arial"/>
          <w:sz w:val="21"/>
          <w:szCs w:val="21"/>
          <w:color w:val="auto"/>
          <w:vertAlign w:val="superscript"/>
        </w:rPr>
        <w:t>®</w:t>
      </w:r>
      <w:r>
        <w:rPr>
          <w:rFonts w:ascii="Arial" w:cs="Arial" w:eastAsia="Arial" w:hAnsi="Arial"/>
          <w:sz w:val="18"/>
          <w:szCs w:val="18"/>
          <w:color w:val="auto"/>
        </w:rPr>
        <w:t>, RELOC</w:t>
      </w:r>
      <w:r>
        <w:rPr>
          <w:rFonts w:ascii="Arial" w:cs="Arial" w:eastAsia="Arial" w:hAnsi="Arial"/>
          <w:sz w:val="21"/>
          <w:szCs w:val="21"/>
          <w:color w:val="auto"/>
          <w:vertAlign w:val="superscript"/>
        </w:rPr>
        <w:t>®</w:t>
      </w:r>
      <w:r>
        <w:rPr>
          <w:rFonts w:ascii="Arial" w:cs="Arial" w:eastAsia="Arial" w:hAnsi="Arial"/>
          <w:sz w:val="18"/>
          <w:szCs w:val="18"/>
          <w:color w:val="auto"/>
        </w:rPr>
        <w:t xml:space="preserve"> Wiring Solutions, DGLogik™, and Atrius™. As of August 31, 2020, we manufacture products in 16 facilities in North America and two facilities in Europe and employ approximately 11,500 associates.</w:t>
      </w:r>
    </w:p>
    <w:p>
      <w:pPr>
        <w:spacing w:after="0" w:line="1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Principal customers include electrical distributors, retail home improvement centers, electric utilities, national accounts, system integrators, digital retailers, lighting showrooms, and energy service companies located in North America and select international markets serving new construction, renovation and retrofit, and maintenance and repair applications. Our lighting and building technology solutions are sold primarily through independent sales agents who cover specific geographic areas and market channels, by internal sales representatives, through consumer retail channels, and directly to large corporate accounts. Products are delivered directly from our manufacturing facilities or through a network of distribution centers, regional warehouses, and commercial warehouses using both common carriers and a company-managed truck fleet. To serve international customers, the sales forces utilize a variety of distribution methods to meet specific individual customer or country requirements. In fiscal 2020, sales originated in North America and the United States accounted for approximately 98% and 88% of net sales, respectively. See the </w:t>
      </w:r>
      <w:r>
        <w:rPr>
          <w:rFonts w:ascii="Arial" w:cs="Arial" w:eastAsia="Arial" w:hAnsi="Arial"/>
          <w:sz w:val="18"/>
          <w:szCs w:val="18"/>
          <w:i w:val="1"/>
          <w:iCs w:val="1"/>
          <w:color w:val="auto"/>
        </w:rPr>
        <w:t>Supplemental Disaggregated Information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for more information concerning our domestic and international net sales.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Based on industry sources and government information, we estimate that in fiscal 2020 the size of the North American lighting and building technology solutions market we serve (also referred to herein as “addressable market”) was over $20 billion. We estimate that the addressable market declined in the upper single digits as compared with fiscal 2019. The decline in the market is primarily due to the impact on demand associated with the COVID-19 pandemic. The addressable market includes non-portable luminaires as defined by the National Electrical Manufacturers Association; poles for outdoor lighting; emergency lighting fixtures and lighting equipment; daylighting; lighting controls; heating, ventilation, and air conditioning (“HVAC”) controls; and building technology controls, software, and systems. This market estimate is based on a combination of external industry data and internal estimates and excludes portable and vehicular lighting fixtures and certain related lighting components, such as non-integrated lighting ballasts and lamps.</w:t>
      </w:r>
    </w:p>
    <w:p>
      <w:pPr>
        <w:spacing w:after="0" w:line="1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operate in a highly competitive industry that is affected by a number of general business and economic factors, such as, but not limited to, gross domestic product growth, employment levels, credit availability, interest rates, building costs, construction-related labor availability, building occupancy rates, imports and trade, energy costs, and commodity costs, including tariffs. Our market is based on non-residential and residential construction, both new as well as renovation and retrofit activity, which may be impacted by these general economic factors. Precise segmentation of the market by new construction and renovation activity is not available though internal estimates based on third party data estimate the size of the markets to be about the same. Non-residential construction spending on commercial, institutional, industrial, and infrastructure projects has a material impact on the demand for our lighting and building technology solutions. Demand for our residential lighting products is highly dependent on economic drivers, such as consumer spending and discretionary income, along with housing construction and home improvement spending.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260"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market is influenced by: the development of new lighting technologies, including solid-state lighting, electronic drivers, embedded lighting controls, and more effective optical designs and lamps; federal, state, and local requirements for updated energy codes; incentives by federal, state, and local municipal authorities, as well as utility companies, for using more energy-efficient lighting and building technology solutions; and design strategies and technologies addressing sustainability and facilitating intelligent buildings. We are a leading provider of integrated lighting and building technology solutions based on these technologies and utilize internally developed, licensed, or acquired intellectual property. Solid-state lighting and digital building technology systems can be converged allowing for an optimal local operating system to increase efficiency and reduce costs while also delivering productivity benefits. We expect that the industry’s addressable market is likely to expand due to the benefits and value creation provided by our intelligent building platform services and location-aware and asset tracking applications. New entrants continue to develop capabilities and solutions that are both complementary as well as competitive to those of traditional industry participants.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Solutions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offer a broad portfolio of indoor and outdoor lighting and building technology solutions for commercial, institutional, industrial, infrastructure, and residential applications. Our lighting and building technology solutions are designed to enhance the occupant experience, improve the quality of the visual environment, and provide seamless operational energy efficiency and cost reductions.</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portfolio of lighting solutions includes lighting products utilizing light emitting diode (“LED”), fluorescent, incandescent, high intensity discharge, halogen, and metal halide light sources to illuminate an extensive number of applications as well as standalone and embedded lighting control solutions from simple to sophisticated, wired and wireless. Lighting and controls products and solutions include the following: recessed, surface, and suspended lighting; downlighting; decorative lighting; emergency and exit lighting; track lighting; daylighting; special-use lighting; street and roadway lighting; parking garage lighting; tunnel lighting; underwater lighting; area pedestrian, flood, and decorative site lighting; landscape lighting; occupancy sensors; photocontrols; relay panels; architectural dimming panels; and integrated lighting controls systems.</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building technology solutions include products and solutions for controlling HVAC, lighting, shades, and access control that deliver end to end optimization of those building systems. We also offer Atrius™, our intelligent building platform that enhances the occupant experience, improves building system management, and automates labor intensive tasks while delivering operational energy efficiency and cost reductions. Though a connected and converged building system architecture, our local operating system and building sensory network powers a host of applications, allowing clients to upgrade over time and seamlessly deploy new capability through application installations instead of costly hardware upgrades.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sell products to original equipment manufacturers (“OEMs”) that include LED drivers, power supplies, modular wiring, sensors, glass, and inverters. In addition, we provide services across applications that primarily relate to monitoring and controlling lighting and building technology systems through network technologies and the commissioning of control systems.</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Sales of lighting and building technology solutions, excluding services, accounted for approximately 99% of our total consolidated net sales in fiscal 2020, 2019, and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sell lighting and building technology solutions to customers in the North American market utilizing numerous sales forces, including internal direct salespeople and independent sales agencies, based on the channel and geography served. We also operate separate European sales forces, including independent international sales agencies and system integrators, and an international sales group coordinating export sales outside of North America and Europe.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market our portfolio and service capabilities to customers and/or end users in multiple channels through a broad spectrum of marketing and promotional methods, including direct customer contact, trade shows, on-site training, print and digital advertising in industry publications, product brochures, and other literature, as well as through digital marketing and social media. We operate training and education facilities in several locations throughout North America and Europe designed to enhance the lighting knowledge of customers and industry professionals.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60"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customers include electrical distributors, retail home improvement centers, electric utilities, national accounts, system integrators, utility distributors, value-added resellers, digital retailers, government entities and municipalities, lighting showrooms, developers, OEMs, and energy service companies. In addition, there are a variety of other professionals who can represent a significant influence in the product and solutions specification process for any given project. These generally include building owners, federal, state, and local governments, contractors, engineers, architects, and lighting designers.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Distribution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operate 18 manufacturing facilities, including six facilities in the United States, six facilities in Mexico, two facilities in Europe, and four in Canada. We utilize a blend of internal and outsourced manufacturing processes and capabilities to fulfill a variety of customer needs in the most cost-effective manner. Certain critical processes, such as reflector forming and anodizing, high-end glass production, surface mount circuit board production, and assembly are performed (not exclusively) at company-operated facilities, offering the ability to differentiate products through superior capabilities. Other components, such as LEDs, certain LED drivers, lamps, sockets, and ballasts are purchased primarily from third-party vendors. Our investment in our production facilities is focused primarily on improving capabilities, product quality, and manufacturing efficiency as well as environmental, health, and safety compliance. We also utilize contract manufacturing from U.S., Asian, and European sources for certain products. The following table shows the percentage of finished goods manufactured and purchased in fiscal 2020 by significant geographic region.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60" w:type="dxa"/>
            <w:vAlign w:val="bottom"/>
          </w:tcPr>
          <w:p>
            <w:pPr>
              <w:spacing w:after="0"/>
              <w:rPr>
                <w:sz w:val="19"/>
                <w:szCs w:val="19"/>
                <w:color w:val="auto"/>
              </w:rPr>
            </w:pPr>
          </w:p>
        </w:tc>
        <w:tc>
          <w:tcPr>
            <w:tcW w:w="1740" w:type="dxa"/>
            <w:vAlign w:val="bottom"/>
            <w:gridSpan w:val="2"/>
          </w:tcPr>
          <w:p>
            <w:pPr>
              <w:ind w:left="280"/>
              <w:spacing w:after="0"/>
              <w:rPr>
                <w:sz w:val="20"/>
                <w:szCs w:val="20"/>
                <w:color w:val="auto"/>
              </w:rPr>
            </w:pPr>
            <w:r>
              <w:rPr>
                <w:rFonts w:ascii="Arial" w:cs="Arial" w:eastAsia="Arial" w:hAnsi="Arial"/>
                <w:sz w:val="16"/>
                <w:szCs w:val="16"/>
                <w:b w:val="1"/>
                <w:bCs w:val="1"/>
                <w:color w:val="auto"/>
              </w:rPr>
              <w:t>Manufactured</w:t>
            </w:r>
          </w:p>
        </w:tc>
        <w:tc>
          <w:tcPr>
            <w:tcW w:w="1240" w:type="dxa"/>
            <w:vAlign w:val="bottom"/>
          </w:tcPr>
          <w:p>
            <w:pPr>
              <w:ind w:left="380"/>
              <w:spacing w:after="0"/>
              <w:rPr>
                <w:sz w:val="20"/>
                <w:szCs w:val="20"/>
                <w:color w:val="auto"/>
              </w:rPr>
            </w:pPr>
            <w:r>
              <w:rPr>
                <w:rFonts w:ascii="Arial" w:cs="Arial" w:eastAsia="Arial" w:hAnsi="Arial"/>
                <w:sz w:val="16"/>
                <w:szCs w:val="16"/>
                <w:b w:val="1"/>
                <w:bCs w:val="1"/>
                <w:color w:val="auto"/>
              </w:rPr>
              <w:t>Purchased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257"/>
        </w:trPr>
        <w:tc>
          <w:tcPr>
            <w:tcW w:w="6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22"/>
                <w:szCs w:val="22"/>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60"/>
        </w:trPr>
        <w:tc>
          <w:tcPr>
            <w:tcW w:w="6160" w:type="dxa"/>
            <w:vAlign w:val="bottom"/>
          </w:tcPr>
          <w:p>
            <w:pPr>
              <w:ind w:left="40"/>
              <w:spacing w:after="0"/>
              <w:rPr>
                <w:sz w:val="20"/>
                <w:szCs w:val="20"/>
                <w:color w:val="auto"/>
              </w:rPr>
            </w:pPr>
            <w:r>
              <w:rPr>
                <w:rFonts w:ascii="Arial" w:cs="Arial" w:eastAsia="Arial" w:hAnsi="Arial"/>
                <w:sz w:val="16"/>
                <w:szCs w:val="16"/>
                <w:color w:val="auto"/>
              </w:rPr>
              <w:t>Mexico</w:t>
            </w:r>
          </w:p>
        </w:tc>
        <w:tc>
          <w:tcPr>
            <w:tcW w:w="162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80"/>
        </w:trPr>
        <w:tc>
          <w:tcPr>
            <w:tcW w:w="6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14%</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64"/>
        </w:trPr>
        <w:tc>
          <w:tcPr>
            <w:tcW w:w="6160" w:type="dxa"/>
            <w:vAlign w:val="bottom"/>
          </w:tcPr>
          <w:p>
            <w:pPr>
              <w:ind w:left="40"/>
              <w:spacing w:after="0"/>
              <w:rPr>
                <w:sz w:val="20"/>
                <w:szCs w:val="20"/>
                <w:color w:val="auto"/>
              </w:rPr>
            </w:pPr>
            <w:r>
              <w:rPr>
                <w:rFonts w:ascii="Arial" w:cs="Arial" w:eastAsia="Arial" w:hAnsi="Arial"/>
                <w:sz w:val="16"/>
                <w:szCs w:val="16"/>
                <w:color w:val="auto"/>
              </w:rPr>
              <w:t>Others</w:t>
            </w:r>
          </w:p>
        </w:tc>
        <w:tc>
          <w:tcPr>
            <w:tcW w:w="16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40"/>
        </w:trPr>
        <w:tc>
          <w:tcPr>
            <w:tcW w:w="6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61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six facilities in Mexico, which are authorized to operate as Maquiladoras by the Ministry of Economy of Mexico. Maquiladora status allows us to import certain items from the United States into Mexico duty-free, provided that such items, after processing, are exported from Mexico within a stipulated time frame. Maquiladora status, which is renewed periodically, is subject to various restrictions and requirements, including compliance with the terms of the Maquiladora program and other local regulations, which have become stricter in recent years.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Lighting and building technology solutions are delivered directly from manufacturing facilities or through a network of strategically located distribution centers, regional warehouses, and commercial warehouses in North America using both common carriers and a company-managed truck fleet. For international customers, distribution methods are adapted to meet individual customer or country requirements. During fiscal 2020, net sales initiated outside of the U.S. represented approximately 12% of total net sales. See the </w:t>
      </w:r>
      <w:r>
        <w:rPr>
          <w:rFonts w:ascii="Arial" w:cs="Arial" w:eastAsia="Arial" w:hAnsi="Arial"/>
          <w:sz w:val="18"/>
          <w:szCs w:val="18"/>
          <w:i w:val="1"/>
          <w:iCs w:val="1"/>
          <w:color w:val="auto"/>
        </w:rPr>
        <w:t>Supplemental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Disaggregated Information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additional information regarding the geographic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of net sales, operating profit, and long-lived assets.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Research and development (“R&amp;D”) is defined as the critical investigation aimed at discovery of new knowledge and the conversion of that knowledge into the design of a new product or significant improvement to an existing product. We invest in the development of new products and solutions as well as the enhancement of existing offerings with a focus on improving the performance-to-cost ratio and energy efficiency. We also develop software applications and capabilities to enhance data analytics offerings. R&amp;D expenses consist of compensation, payroll taxes, employee benefits, materials, supplies, and other administrative costs, but do not include all new product development costs. For fiscal 2020, 2019, and 2018, research and development expense totaled $82.0 million, $74.7 million, and $63.9 million,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experience competition based on numerous factors, including features and benefits, price, brand name recognition, product quality, product and system design, energy efficiency, customer relationships, and service capabilities. The market for lighting and building technology solutions and services is competitive and continues to evolve through acquisition and consolidation activities. Certain global and more diversified manufacturers may provide a broader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60"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product offering utilizing electrical, lighting, and building technology products as well as pricing benefits from the bundling of various offerings. In addition, there are new competitors, including Asian importers, small startup companies, and global electronics, technology, and software companies, offering competing solutions, sometimes deploying different technologies.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operations are subject to numerous comprehensive laws and regulations relating to the generation, storage, handling, transportation, and disposal of hazardous substances, as well as solid and hazardous wastes, and to the remediation of contaminated sites. In addition, permits and environmental controls are required for certain of our operations to limit air and water pollution, and these permits are subject to modification, renewal, and revocation by issuing authorities. On an ongoing basis, we allocate resources, including investments in capital and operating costs relating to environmental compliance. Environmental laws and regulations have generally become stricter in recent years, and federal, state, and local governments domestically and internationally are considering new laws and regulations, including those governing raw material composition, carbon dioxide and other air emissions, end-of-life product dispositions, and energy efficiency. We are not aware of any pending legislation or proposed regulation related to environmental issues that would have a material adverse effect on us. The cost of responding to future changes, however, may be substantial.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production requires certain raw materials, including certain grades of steel and aluminum, electrical and electronic components, plastics, and other petroleum-based materials and components. In fiscal 2020, we purchased approximately 70,000 tons of steel and aluminum. We estimate that approximately 7% of purchased raw materials are petroleum-based. Additionally, we estimate that approximately five million gallons of diesel fuel were consumed in fiscal 2020 through our distribution activities. We purchase most raw materials and other components on the open market and rely on third parties to provide certain finished goods. While these items are generally available from multiple sources, the cost of products sold may be affected by changes in the market price of materials and tariffs on certain materials, particularly imports from Asia, as well as disruptions in availability of raw materials, components, and sourced finished goods.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currently engage in or expect to engage in significant commodity hedging transactions for raw materials, though we have and will continue to commit to purchase certain materials for a period of up to 12 months. We monitor and investigate alternative suppliers and materials based on numerous attributes including quality, service, and price. We currently source raw materials and components from a number of suppliers, but our ongoing efforts to improve the cost effectiveness of our products and services may result in a reduction in the number of our suppliers.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Orders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produce and stock quantities of inventory at key distribution centers and warehouses throughout North America and to a much lesser degree, certain European markets. The backlog of orders at any given time is affected by various factors, including seasonality, cancellations, sales promotions, production cycle times, and the timing of receipt and shipment of orders, which are usually shipped within a few weeks of order receipt. Accordingly, a comparison of backlog orders from period to period is not necessarily meaningful and may not be indicative of future shipments.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own or have licenses to use various domestic and foreign patents, trademarks, and other intellectual property related to our products, processes, and businesses. These intellectual property rights are important factors for our businesses. We rely on copyright, patent, trade secret, and trademark laws as well as agreements, restrictive covenants, and internal processes and controls to protect these proprietary rights. Despite these protections, unauthorized parties may attempt to infringe on our intellectual property. As of August 31, 2020, we had approximately 1,700 active United States and foreign patents. While patents and patent applications in the aggregate are important to our competitive position, no single patent or patent application is individually material to us.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exhibits some seasonality, with net sales being affected by weather and seasonal demand on construction and installation programs, particularly during the winter months, as well as the annual budget cycles of major customers. Because of these seasonal factors we historically have experienced our highest sales in the last two quarters of each fiscal year; however, our seasonality has been meaningfully impacted by the enactment of tariffs and the COVID-19 pandemic.</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60"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lighting and building technology solutions are sold to customers in both the new construction as well as renovation and retrofit markets for residential and non-residential applications. The construction market is cyclical in nature and subject to changes in general economic conditions and fiscal policies. Sales volume has a major impact on our profitability. Economic downturns and the potential decline in key construction markets may have a material adverse effect on our net sales and operating income. Additionally, tariffs have caused pull forwards of customer orders to avoid price increases.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August 31, 2020, we employed approximately 11,500 associates, of which approximately 3,800 were employed in the United States, approximately 6,900 in Mexico, and approximately 800 in other international locations, including Europe, Canada, and the Asia/Pacific region. Union recognition and collective bargaining arrangements are in place or in process, covering approximately 7,700 persons (including approximately 1,600 in the United States). Union recognition and collective bargaining arrangements covering approximately 6,800 persons will expire within the next fiscal year, primarily due to annual negotiations of union contracts in Mexico. The remaining arrangements will expire after the next fiscal year and relate to approximately 900 persons employed within the United States. We believe that we have a good relationship with both our unionized and non-unionized employees.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March 2020, the World Health Organization declared the COVID-19 outbreak a pandemic. This pandemic has resulted in worldwide government restrictions on the movement of people, goods, and services resulting in increased volatility in and disruptions to global markets. However, our manufacturing operations are deemed essential and continue to operate. We remain committed to prioritizing the health and well-being of our associates and their families and ensuring that we operate effectively. We have implemented policies to screen associates, contractors, and vendors for COVID-19 symptoms upon entering our manufacturing and distribution and open office facilities in the United States, Mexico, and other locations as permitted by law. We have also implemented one-way traffic flows, additional cleaning requirements for common spaces, mandatory face coverings, hand sanitizer stations, social-distanced workspaces, and self-serve pay stations within our cafeterias to mitigate the spread of the virus. Additionally, we are requiring certain employees whose job functions can be performed remotely to work from home for the foreseeable future.</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Government-mandated and voluntary social distancing measures had an adverse impact on our results of operations. The pandemic has caused reduced construction and renovation spending as well as a disruption in our supply chain for certain components, both of which negatively impacted our fiscal 2020 sales volumes. We also experienced a limited number of temporary facility shutdowns due to government-mandated closures as well as additional health and safety costs including expenditures for personal protection equipment and facility enhancements to maintain proper distancing guidelines issued by the Centers for Disease Control and Prevention. In response to our sales volume declines, we have taken actions to reduce costs, including the realignment of headcount with current volumes, a freeze on all non-essential employee travel, and other efforts to decrease discretionary spending. Although we have implemented significant measures to mitigate further spread of the virus, our employees, customers, suppliers, and contractors may continue to experience disruptions to business activities due to potential further government-mandated or voluntary shutdowns, general economic conditions, or other negative impacts of the COVID-19 pandemic. We are continuously monitoring the adverse effects of the pandemic and identifying steps to mitigate those effects. As the COVID-19 pandemic is continually evolving, we are uncertain of its ultimate duration and impact. See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for further details regarding the potential impacts of the COVID-19 pandemic to our results of operations, financial position, and cash flows.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Acuity Brands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make our Annual Reports on Form 10-K, Quarterly Reports on Form 10-Q, Current Reports on Form 8-K (and all amendments to these reports) and proxy statements, together with all reports filed pursuant to Section 16 of the Securities Exchange Act of 1934 by our officers, directors, and beneficial owners of 10% or more of our common stock, available free of charge through the “SEC Filings” link within the “Investors” section on our website, located at </w:t>
      </w:r>
      <w:r>
        <w:rPr>
          <w:rFonts w:ascii="Arial" w:cs="Arial" w:eastAsia="Arial" w:hAnsi="Arial"/>
          <w:sz w:val="18"/>
          <w:szCs w:val="18"/>
          <w:i w:val="1"/>
          <w:iCs w:val="1"/>
          <w:color w:val="auto"/>
        </w:rPr>
        <w:t>www.acuitybrands.com</w:t>
      </w:r>
      <w:r>
        <w:rPr>
          <w:rFonts w:ascii="Arial" w:cs="Arial" w:eastAsia="Arial" w:hAnsi="Arial"/>
          <w:sz w:val="18"/>
          <w:szCs w:val="18"/>
          <w:color w:val="auto"/>
        </w:rPr>
        <w:t xml:space="preserve">, as soon as reasonably practicable after they are filed with or furnished to the Securities and Exchange Commission. Information included on our website is not incorporated by reference into this Annual Report on Form 10-K. Our reports are also available on the Securities and Exchange Commission’s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we have adopted a written Code of Ethics and Business Conduct that applies to all of our directors, officers, and employees, including our principal executive officer and senior financial officers. The Code of Ethics and Business Conduct and our Corporate Governance Guidelines are available free of charge through the “Corporate Governance” link on our website. Any amendments to, or waivers of, the Code of Ethics and Business Conduct for our principal executive officer and senior financial officers will be disclosed on our website promptly following the date of such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60"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amendment or waiver. Additionally, the Statement of Responsibilities of Committees of the Board of Directors (the “Board”) and the Statement of Rules and Procedures of Committees of the Board, which contain the charters for our Audit Committee, Compensation Committee, and Governance Committee, and the rules and procedures relating thereto, are available free of charge through the “Corporate Governance” link on our website. Each of the Code of Ethics and Business Conduct, the Corporate Governance Guidelines, the Statement of Responsibilities of Committees of the Board, and the Statement of Rules and Procedures of Committees of the Board is available in print to any of our stockholders that request such document by contacting our Investor Relations department.</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60"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i w:val="1"/>
          <w:iCs w:val="1"/>
          <w:color w:val="auto"/>
        </w:rPr>
        <w:t>Risk Factors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filing contains forward-looking statements within the meaning of the Private Securities Litigation Reform Act of 1995. A variety of risks and uncertainties could cause our actual results to differ materially from the anticipated results or other expectations expressed in our forward-looking statements. See “</w:t>
      </w:r>
      <w:r>
        <w:rPr>
          <w:rFonts w:ascii="Arial" w:cs="Arial" w:eastAsia="Arial" w:hAnsi="Arial"/>
          <w:sz w:val="18"/>
          <w:szCs w:val="18"/>
          <w:i w:val="1"/>
          <w:iCs w:val="1"/>
          <w:color w:val="auto"/>
        </w:rPr>
        <w:t>Cautionary Statement Regarding Forward-Looking Information</w:t>
      </w:r>
      <w:r>
        <w:rPr>
          <w:rFonts w:ascii="Arial" w:cs="Arial" w:eastAsia="Arial" w:hAnsi="Arial"/>
          <w:sz w:val="18"/>
          <w:szCs w:val="18"/>
          <w:color w:val="auto"/>
        </w:rPr>
        <w:t xml:space="preserve">” included in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These risks could adversely impact our financial position, results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and financial expectations and could cause the market price of our common stock to decrease. Such risks include, without limitation: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Strategy</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General business, political, and economic conditions, including the strength of the construction market, political events, or other factors may affect demand for our products and services.</w:t>
      </w:r>
    </w:p>
    <w:p>
      <w:pPr>
        <w:spacing w:after="0" w:line="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compete based on numerous factors, including features and benefits, brand name recognition, product quality, product and system design, energy efficiency, customer relationships, service capabilities, and price. Asian imports have also increased competition within the lighting market. In addition, we operate in a highly competitive environment that is influenced by a number of general business and economic factors, such as economic vitality, employment levels, credit availability, interest rates, trends in vacancy rates and rent values, energy costs, and commodity costs. Sales of lighting and building technology solutions depend significantly on the level of activity in new construction and renovation/retrofits. Declines in general economic activity, appropriations, and regulations, including tax and trade policy and other political uncertainties, may negatively impact new construction and renovation projects, which in turn may impact demand for our product and service offerings.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results may be adversely affected by fluctuations in the cost or availability of raw materials, components, purchased finished goods, or services.</w:t>
      </w:r>
    </w:p>
    <w:p>
      <w:pPr>
        <w:spacing w:after="0" w:line="8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utilize a variety of raw materials and components in our production process including steel, aluminum, lamps, certain rare earth materials, LEDs, LED drivers, ballasts, wire, electronic components, power supplies, petroleum-based by-products, natural gas, and copper. We also source certain finished goods externally. Future increases in the costs of these items, including import tariffs, could adversely affect profitability, as there can be no assurance that future price increases will be successfully passed through to customers. We generally source these goods from a number of suppliers. However, there are a limited number of suppliers for certain components and certain purchased finished goods, which on a limited basis results in sole-source supplier situations. Disruptions in the supply of those items could negatively impact our performance. Suppliers for certain of those items are our competitors that may, for various strategic reasons, choose to cease selling to us. In addition, our ongoing efforts to improve the cost effectiveness of our products and services may result in a reduction in the number of our suppliers, and in turn, increased risk associated with reliance on a single or limited number of suppliers. Furthermore, volatility in certain commodities, such as oil, impacts all suppliers and, therefore, may cause us to experience significant price increases from time to time regardless of the number and availability of suppliers. Profitability and volume could be negatively impacted by limitations inherent within the supply chain of certain of these component parts, including competitive, governmental, and legal limitations, natural disasters, and other events that could impact both supply and price. Additionally, we are dependent on certain service providers for key operational functions. While there are a number of suppliers of these services, the cost to change service providers and set up new processes could be significant.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may be adversely affected by our inability to maintain pricing.</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Aggressive pricing actions by competitors, including Asian importers and those within the technology and services sectors, may affect our ability to achieve desired revenue growth and profitability levels under our current pricing strategies. We may also decide to lower prices to match the competition or for other reasons or to exit unprofitable business. Additionally, we may not be able to increase prices to cover rising costs. Even if we were able to increase prices to cover costs, competitive pricing pressures may not allow us to pass on any more than the cost increases. Alternatively, if costs were to decline, the marketplace may not allow us to hold prices at their current levels.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260"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effectively introduce new products and solutions could adversely affect our ability to compete.</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Continual introductions of new products and solutions, services, and technologies, enhancement of existing products and services, and effective servicing of customers are key to our competitive strategy. The success of new product and solution introductions depends on a number of factors, including, but not limited to, timely and successful product development, product quality, market acceptance, our ability to manage the risks associated with product life cycles, such as additional inventory obsolescence risk as product life cycles begin to shorten, new products and production capabilities, effective management of purchase commitments and inventory levels to support anticipated product manufacturing and demand, availability of products in appropriate quantities and costs to meet anticipated demand, and risk that new products may have quality or other defects in the early stages of introduction. Accordingly, we cannot fully predict the ultimate effect of new product introductions on our business. Additionally, new products and solutions may not achieve the same profit margins as expected and as compared to our historic products and solutions.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pursue future growth through acquisitions, alliances, or investments, which may not yield anticipated benefits.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strengthened our business through acquisitions, alliances, and investments and may continue to do so as opportunities arise in the future. Such investments have been and may be in start-up or development stage entities. We will benefit from such activity only to the extent that we can effectively leverage and integrate the assets or capabilities of the acquired businesses and alliances, including, but not limited to, personnel, technology, and operating processes. Moreover, unanticipated events, negative revisions to valuation assumptions and estimates, diversion of resources and management's attention from other business concerns, and difficulties in attaining synergies, among other factors, could adversely affect our ability to recover initial and subsequent investments, particularly those related to acquired goodwill and intangible assets or non-controlling interests. In addition, such investment transactions may limit our ability to invest in other activities, which could be more profitable or advantageous.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inability to effectively execute our business strategies could adversely affect our financial condition and results of operations.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Various uncertainties and risks are associated with the implementation of a number of aspects of our global business strategies, including but not limited to, the development, marketing and selling of new products and solutions, new product development, the development, marketing, and selling of lighting, building technology, and software-based solutions, and effective integration of acquisitions. Those uncertainties and risks include, but are not limited to: diversion of management’s attention; difficulty in retaining or attracting employees; negative impact on relationships with distributors and customers; obsolescence of current products and slow new product development; inability to effectively participate in the emerging opportunities utilizing our digital lighting and building technology systems; additional streamlining efforts; inability to produce certain components with quality, performance, and cost attributes equal to or better than provided by other component manufacturers; and unforeseen difficulties in the implementation of the management operating structure. Problems with strategy execution could offset anticipated benefits, disrupt service to customers, and impact product quality as well as adversely affect our business. With the addition of new products and solutions, we may encounter new and different competitors that may have more experience with respect to such products and solutions.</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experience difficulties in streamlining activities, which could impact shipments to customers, product quality, and the realization of expected savings from streamlining actions.</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to benefit from our programs to streamline operations, including the consolidation of certain facilities and the reduction of overhead costs. Such benefits will only be realized to the extent that we can effectively leverage assets, personnel, and operating processes in the transition of production between manufacturing facilities. Uncertainty is inherent within the facility consolidation process and unforeseen circumstances could offset the anticipated benefits, disrupt service to customers, and impact product quality.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60"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COVID-19 pandemic could have a material adverse effect our ability to operate, results of operations, financial condition, liquidity, and capital investments.</w:t>
      </w:r>
    </w:p>
    <w:p>
      <w:pPr>
        <w:spacing w:after="0" w:line="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World Health Organization has declared the COVID-19 outbreak a pandemic, and the virus continues to spread in areas where we operate and sell our products and services. The COVID-19 pandemic and similar issues in the future could have a material adverse effect on our ability to operate, results of operations, financial condition, liquidity, and capital investments. Several public health organizations have recommended, and some governments have implemented, certain measures to slow and limit the transmission of the virus, including shelter in place, social distancing ordinances, and business shutdowns. There is considerable uncertainty regarding the extent to which the COVID-19 outbreak will continue to spread and the extent and duration of governmental and other measures implemented to try to slow the spread of the virus</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pandemic and such preventive measures, or others required or that we may voluntarily put in place, may have a material adverse effect on our business for an indefinite period of time, such as the potential shut down of certain locations; decreased employee availability; increased claims or other expenses; potential border closures; disruptions to the businesses of our channel partners; and others. Our suppliers and customers have also faced these and other challenges, which has led to a disruption in our supply chain for certain components as well as decreased construction and renovation spending and consumer demand for our products and services. These disruptions and challenges may continue for an indefinite period of time and may also materially affect our future access to our sources of liquidity, particularly our cash flows from operations, financial condition, capitalization, and capital investments. Additionally, the effects of COVID-19 on the global economy could adversely affect our ability to access the capital and other financial markets, and if so, we may need to consider alternative sources of funding for some of our operations and for working capital, which may increase our cost of, as well as adversely impact our access to, capital. These uncertain economic conditions may also result in the inability of our customers and other counter-parties to make payments to us, on a timely basis or at all.</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these disruptions may continue to occur, the long-term economic impact and near-term financial impacts of the COVID-19 pandemic, including but not limited to, possible impairment, restructuring, and other charges, cannot be reliably quantified or estimated at this time due to the uncertainty of future developments.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developments and increased competition could affect our operating profit margins and sales volume.</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compete in an industry and markets where technology and innovation play major roles in the competitive landscape. We are highly engaged in the investigation, development, and implementation of new technologies and services. Securing employee talent, key partnerships, and alliances, including having access to technologies, services, and solutions developed by others, as well as obtaining appropriate patents and the right to utilize patents of other parties all play a significant role in protecting our freedom to operate. Additionally, the continual development of new technologies by existing and new source suppliers — including non-traditional competitors with significant resources — looking for either direct market access or partnerships with competing large manufacturers, coupled with significant associated exclusivity and/or patent activity, could adversely affect our ability to sustain operating profit margins and desirable levels of sales volume.</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there are new competitors, including Asian importers, small startup companies, and global electronics, technology, and software companies, offering competing solutions, sometimes deploying different technologies. These competitors may vertically integrate and begin offering total solution packages that directly compete with our offerings. Certain global and more diversified electrical manufacturers as well as certain global technology and building solution providers may be able to obtain a competitive advantage over us by offering broader and more integrated solutions utilizing electrical, lighting, controls, building automation systems, and data analytics, and small startup companies may offer more localized product sales and support services within individual regions.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sustain significant customer and/or channel partner relationships.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Relationships with customers are directly impacted by our ability to deliver quality products and services. Although no individual customer exceeded 10% of sales during the current fiscal year, the loss of or a substantial decrease in the volume of purchases by certain larger customers could harm our business in a meaningful manner. We have relationships with channel partners such as electrical distributors, home improvement retailers, independent sales agencies, system integrators, and value-added resellers. While we maintain positive, and in many cases long-term, relationships with these channel partners, the sudden or unplanned loss of a number of these channel partners or 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260"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substantial decrease in the volume of purchases from a major channel partner or a group of channel partners could adversely affect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adversely affected by disruptions to our operations.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breakdown of equipment or other events, including, but not limited to, labor disputes, strikes, workplace violence, pandemics, cyber-attacks, civil disruptions, or catastrophic events such as war or natural disasters, leading to production interruptions in our or one or more of our suppliers’ facilities could adversely affect us. Approximately 56% of our finished products are manufactured in Mexico, a country that periodically experiences heightened civil unrest or may experience trade disputes with the U.S., both of which could cause a disruption of the supply of products to or from these facilities. Further, because many of our customers are to varying degrees dependent on planned deliveries from our facilities, those customers that have to reschedule their own production or delay opening a facility due to our missed deliveries as a result of these disruptions could pursue financial claims against us. We may incur costs to correct any of these problems in addition to facing claims from customers. Further, our reputation among actual and potential customers may be harmed and result in a loss of business. While we have developed business continuity plans, including alternative capacity, to support responses to such events or disruptions and maintains insurance policies covering, among other things, physical damage and business interruptions, these policies may not cover all losses. We could incur uninsured losses and liabilities arising from such events, including damage to our reputation, loss of customers, and substantial losses in operational capacity.</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Company operating systems, information systems, or devices may experience a failure, a compromise of security, or a violation of data privacy laws or regulations, which could adversely impact our operations as well as the effectiveness of internal controls over operations and financial reporting.</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highly dependent on various software and automated systems to record and process operational and financial transactions. We could experience a failure of one or more of these software and automated systems or could fail to complete all necessary data reconciliation or other conversion controls when implementing a new software system. We could also experience a compromise of our security due to many reasons, including technical system flaws, clerical, data input or record-keeping errors, or tampering or manipulation of our systems by employees or unauthorized third parties, including viruses, malware, or phishing. Information security risks also exist with respect to the use of portable electronic devices, such as laptops and smartphones, which are particularly vulnerable to loss and theft. We may also be subject to disruptions of any of these systems arising from events that are wholly or partially beyond our control (for example, natural disasters, acts of terrorism, cyber attacks, epidemics, computer viruses, and electrical/telecommunications outages). All of these risks are also applicable where we rely on outside vendors to provide services, which may operate in a cloud environment. We are dependent on third-party vendors to operate secure and reliable systems which may include data transfers over the internet.</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provide and maintain technology built on our local operating system to enable lighting controls and building technology systems. In addition to the risks noted above, there are other risks associated with these customer offerings. For example, a customer may depend on integral information from, or functionality of, our technology to support that customer’s other systems, such that a failure of our technology could impact those systems, including by loss or destruction of data. Likewise, a customer’s failure to properly configure, update, or upgrade its own network and integrations with our technology are outside of our control and could result in a failure in functionality or security of our technology.</w:t>
      </w:r>
    </w:p>
    <w:p>
      <w:pPr>
        <w:spacing w:after="0" w:line="11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Certain of our third-party vendors and we may receive and store personal information in connection with human resources operations, customer offerings, and other aspects of the business. A material network breach in the security of these systems could include the theft of intellectual property, trade secrets, the unauthorized release, gathering, monitoring, misuse, loss, change, or destruction of our or our clients' confidential, proprietary and other information (including personal identifying information of individuals), or otherwise disrupt our or our clients' or other third parties' business operations. To the extent that any disruption or security breach results in a loss or damage to our data, or an inappropriate disclosure of confidential or customer or employee information, it could cause significant damage to our reputation, affect relationships with our customers, employees, and other counterparties, lead to claims against us, which may result in the payment of fines, penalties, and costs, and ultimately harm our business. In addition, we may be required to incur significant costs, or regulatory fines, penalties, or intervention, to protect against damage caused by these disruptions or security breaches in the future.</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also subject to an increasing number of data privacy and security laws and regulations that impose requirements on us and our technology prior to certain use or transfer, storing, use, processing, disclosure, and protection of data and prior to sale or use of certain technologies. Failure to comply with such laws and regulations could result in the imposition of fines, penalties and other costs. The legal and regulatory data privacy framework is evolving and uncertain. For example, the European Court of Justice’s decision in October 2015 to invalidate the Safe Harbor data privacy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260"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program between the United States and the European Union, the European Union’s implementation of the General Data Protection Regulation in 2018, the European Union’s pending ePrivacy Regulation, and California’s implementation of its Consumer Privacy Act of 2018 and Connected Device Privacy Act of 2018 (f.k.a. SB-327) all could disrupt our ability to use or transfer data or sell products and solutions because such activities may not be in compliance with applicable law in certain jurisdictions.</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System failures, ineffective system implementation or disruptions, failure to comply with data privacy and security laws or regulations, or the compromise of security with respect to internal or external systems or portable electronic devices could damage our systems or infrastructure, subject us to liability claims, or regulatory fines, penalties, or intervention, harm our reputation, interrupt our operations, disrupt customer operations, and adversely affect our internal control over financial reporting, business, financial condition, results of operations, or cash flows.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Changes in our relationship with employees, changes in U.S. or international employment regulations, an inability to attract and retain talented employees, or a loss of key employees could adversely impact the effectiveness of our operations.</w:t>
      </w:r>
    </w:p>
    <w:p>
      <w:pPr>
        <w:spacing w:after="0" w:line="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employed approximately 11,500 people as of August 31, 2020, approximately 7,700 of whom are employed in international locations. As such, we have significant exposure to changes in domestic and foreign laws governing relationships with employees, including wage and hour laws and regulations, fair labor standards, minimum wage requirements, overtime pay, unemployment tax rates, workers' compensation rates, citizenship requirements, and payroll taxes, which likely would have a direct impact on our operating costs. Union recognition and collective bargaining agreements are in place or in process covering approximately 67% of our workforce. Collective bargaining agreements representing approximately 59% of our workforce will expire within one year, primarily due to annual negotiations with unions in Mexico. While we believe that we have good relationships with both our unionized and non-unionized employees, we may become vulnerable to a strike, work stoppage, or other labor action by these employees.</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rely upon the knowledge and experience of employees involved in functions throughout the organization that require technical expertise and knowledge of the industry. An inability to attract and retain such employees could adversely impact our ability to execute key operational functions.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inherent risks in our solutions and services businesses.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Risks inherent in the sale of solutions and services include assuming greater responsibility for successfully delivering projects that meet a particular customer specification, including: defining and controlling contract scope and timing, efficiently executing projects, and managing the performance and quality of subcontractors and suppliers. As we expand our service offerings, reliance on the technical infrastructure to provide services to customers will increase. If we fail to appropriately manage and secure the technical infrastructure required, customers could experience service outages or delays in implementation of services. If we are unable to manage and mitigate these risks, we could incur liabilities and other losses.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risk in connection with third-party relationships necessary to operate our business.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utilize strategic partners and third-party relationships in order to operate and grow our business. For instance, we utilize third parties to contract manufacture certain products, subcontract installation and commissioning, as well as perform certain selling, distribution, and administrative functions. We cannot control the actions or performance, including product quality, of these third parties and therefore, cannot be certain that we or our end-users will be satisfied. Any future actions of or any failure to act by any third party on which our business relies could cause us to incur losses or interruptions in our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operations and suppliers outside the United States.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substantial activities outside of the United States, including sourcing of products, materials, components, and contract manufactured finished goods, as well as manufacturing and distribution activities. Our operations, as well as those of key vendors, are therefore subject to regulatory, economic, political, military, and other events in countries where these operations are located. In addition to the risks that are common to both our domestic and international operations, we face risks specifically related to our foreign operations and sourcing activities, including but not limited to: foreign currency fluctuations; unstable political, social, regulatory, economic, financial, and market conditions; laws that prohibit shipments to certain countries or restricted parties and that prohibit improper payments to government officials such as the Foreign Corrupt Practices Act and the U.K. Bribery Act; potential for privatization and other confiscatory actions; trade restrictions and disruption; criminal activities; increases in tariffs and taxes; corruption; and other changes in regulation in international jurisdictions that could result in substantial additional legal or compliance obligations for us.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260"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source certain components and approximately 14% of our finished goods from Asia, a significant portion of which are subject to import tariffs. These tariffs could increase in future periods resulting in higher costs and/or lower demand. We are seeking to mitigate the impact of Chinese tariffs on our profitability, including a variety of activities such as engaging alternative suppliers that produce products and components whose origin is in countries other than China, insourcing the production of certain products, and raising selling prices. We could be adversely affected to the extent we are unable to mitigate the impacts of the tariffs.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operate six manufacturing facilities in Mexico, which are authorized to operate as Maquiladoras by the Ministry of Economy of Mexico. Maquiladora status allows us to import certain items from the United States into Mexico duty-free, provided that such items, after processing, are exported from Mexico within a stipulated time frame. Maquiladora status, which is renewed periodically, is subject to various restrictions and requirements, including compliance with the terms of the Maquiladora program and other local regulations, which have become stricter in recent years. In addition, if our Mexican facilities cease to qualify for Maquiladora status or if the Mexican government adopts additional adverse changes to the program, our manufacturing costs in Mexico would increase.</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also subject to certain other laws and regulations affecting our international operations, including laws and regulations such as the United States, Mexico, Canada Free Trade Agreement (“USMCA”) which, among other things, provide certain beneficial duties and tariffs for qualifying imports and exports, subject to compliance with the applicable classification and other requirements. A majority of our sales are subject to USMCA. In addition, the US government has initiated or is considering imposing tariffs on certain foreign goods, including steel and aluminum. Related to this action, certain foreign governments, including China, have instituted or are considering imposing tariffs on certain U.S. goods. We source certain components and approximately 14% of our finished goods from Asia, a significant portion of which are subject to Chinese tariffs. It remains unclear what the U.S. Administration or foreign governments will or will not do with respect to tariffs, the recently enacted USMCA, or other international trade agreements and policies. A trade war or other governmental action related to tariffs or international trade agreements or policies has the potential to adversely impact demand for our products, costs, customers, suppliers, and/or the US economy or certain sectors thereof and, thus, to adversely impact our business.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evolution of our products, complexity of our supply chain, and reliance on third-party vendors such as customs brokers and freight vendors, which may not have effective processes and controls to enable us to fully and accurately comply with such requirements, could subject us to liabilities for past, present, or future periods. Such liabilities could adversely impact our business.</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June 2016, the United Kingdom (“U.K.”) held a referendum in which voters approved an exit from the European Union (“E.U.”) commonly referred to as “Brexit.” The U.K. subsequently withdrew from the European Union on January 31, 2020, subject to a transition period that is set to end on December 31, 2020. Although it is unknown what the terms of the U.K.'s relationship with the E.U. will be, it is possible that there will be greater restrictions on imports and exports between the U.K. and E.U. countries and increased regulatory complexities. These changes could cause disruptions to and create uncertainty surrounding our business and the business of existing and future customers and suppliers as well as have an impact on our employees based in Europe, which could adversely impact our business. The actual effects of Brexit will depend on any agreements the U.K. makes to retain access to E.U. markets either during a transitional period or more permanently.</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continue to monitor conditions affecting our international locations, including potential changes in income from a strengthening or weakening in foreign exchange rates in relation to the U.S. dollar. Some of these risks, including but not limited to foreign exchange rates, violations of laws, and higher costs associated with changes in regulation, could adversely impact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Failure to comply with the broad range of standards, laws and regulations in the jurisdictions in which we operate may result in exposure to substantial disruptions, costs and liabilities.</w:t>
      </w:r>
    </w:p>
    <w:p>
      <w:pPr>
        <w:spacing w:after="0" w:line="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laws and regulations impacting us impose increasingly complex, stringent and costly compliance activities, including but not limited to environmental, health, and safety protection standards and permitting, labeling and other requirements regarding, among other things, electronic and wireless communications, air emissions, wastewater discharges, the use, handling, and disposal of hazardous or toxic materials, remediation of environmental contamination, and working conditions for and compensation of our employees. Some environmental laws, such as Superfund, the Clean Water Act, and comparable laws in U.S. states and other jurisdictions world-wide, impose joint and several liability for the cost of environmental remediation, natural resource damages, third-party claims, and other expenses, without regard to the fault or the legality of the original conduct, on those persons who contributed to the release of a hazardous substance into the environment. We may also be affected by future standards, laws or regulations, including those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260"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imposed in response to energy, climate change, product functionality, geopolitical, corporate social responsibility, or similar concerns. These standards, laws, or regulations may impact our costs of operation, the sourcing of raw materials, and the manufacture and distribution of our products and place restrictions and other requirements or impediments on the products and solutions we can sell in certain geographical locations or on the willingness of certain investors to own our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develop unexpected legal contingencies or matters that exceed insurance coverage.</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subject to and in the future may be subject to various claims, including legal claims arising in the normal course of business. Such claims may include without limitation employment claims, product recall, personal injury, network security, data privacy, or property damage claims resulting from the use of our products, services, or solutions, as well as exposure to hazardous materials, contract disputes, or intellectual property disputes. We are insured up to specified limits for certain types of losses with a self-insurance retention per occurrence, including product or professional liability, and cyber liability, including network security and data privacy claims, and are fully self-insured for certain other types of losses, including environmental, product recall, warranties, commercial disputes, and patent infringement. We establish accruals for legal claims when the costs associated with the claims become probable and can be reasonably estimated. The actual costs of resolving legal claims may be substantially higher or lower than the level of insurance coverage we hold and/or the amounts accrued for such claims. In the event of unexpected future developments, it is possible that the ultimate resolutions of such matters could be unfavorable. Our insurance coverage is negotiated on an annual basis, and insurance policies in the future may have coverage exclusions that could cause claim-related costs to rise.</w:t>
      </w:r>
    </w:p>
    <w:p>
      <w:pPr>
        <w:spacing w:after="0" w:line="20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If our products are improperly designed, manufactured, packaged, or labeled, or are otherwise alleged to cause harm or injury, we may need to recall those items, may have increased warranty costs, and could be the target of product liability claims.</w:t>
      </w:r>
    </w:p>
    <w:p>
      <w:pPr>
        <w:spacing w:after="0" w:line="8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may need to recall products if they are improperly designed, manufactured, packaged, or labeled, and we do not maintain insurance for such recall events. Many of our products and solutions have become more complex in recent years and include more sophisticated and sensitive electronic components. A problem or issue relating to any individual component could have the effect of creating a compounded problem for an integrated solution, which could result in significant costs and losses. We have increasingly manufactured certain of those components and products in our own facilities. We have previously initiated product recalls as a result of potentially faulty components, assembly, installation, design, and packaging of our products. Widespread product recalls could result in significant losses due to the costs of a recall, the destruction of product inventory, penalties, and lost sales due to the unavailability of a product for a period of time. In addition, products we developed that incorporate new technologies, such as LED technology, generally provide for more extensive warranty protection which may result in higher costs if warranty claims on these products are higher than historical amounts. We may also be liable if the use of any of our products cause harm, whether from fire, shock, harmful materials or components, alleged adverse health impacts from exposure to light emitted by our products, or any other personal injury or property damage, and we could suffer losses from a significant product liability judgment against us in excess of our insurance limits. We may not be able to obtain indemnity or reimbursement from our suppliers or other third parties for the warranty costs or liabilities associated with our products. A significant product recall, warranty claim, or product liability case could also result in adverse publicity, damage to our reputation, and a loss of consumer confidence in our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and could be the target of intellectual property claims.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own certain patents, trademarks, copyrights, trade secrets, and other intellectual property. In addition, we continue to file patent applications, when appropriate. We cannot be certain that others have not and will not infringe on our intellectual property rights; however, we seek to establish and protect those rights, which could result in significant legal expenses and adversely affect our financial condition and results of operations.</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Over the last several years, we and others in the industry have received an increased number of allegations of patent infringement from competitors and from non-practicing entity patent holders, often coupled with offers to license such patents for our use. Such offers typically relate to various technologies including electronics, power systems, controls, and software, as well as the use of visible light to communicate data, the use of certain wireless networking methods, and the design of specific products. We believe that we do not need or will be able to invalidate or access such patents through licensing, cross-licensing, or other mutually beneficial arrangements, although to the extent we are required but unable to enter into such arrangements on acceptable economic terms, it could adversely impact us.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260"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Matters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shares may be volatile.</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market price of our common shares could fluctuate significantly for many reasons, including reasons unrelated to our specific performance, such as reports by industry analysts, investor perceptions, or negative announcements by customers, competitors, or suppliers regarding their own performance, as well as general global economic, industry, and political conditions. Since management does not provide guidance, our performance could be different than analyst expectations causing a decline in our stock price. To the extent that other large companies within our industry experience declines in share price, our share price may decline as well. In addition, when the market price of a company’s shares drops significantly, shareholders could institute securities class action lawsuits against us or otherwise engage in activism, which could cause us to incur substantial costs and could divert the time and attention of our management and other resources.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Changes to LIBOR may adversely impact the interest rate paid on some of our loans and consequently, our earnings and cash flows.</w:t>
      </w:r>
    </w:p>
    <w:p>
      <w:pPr>
        <w:spacing w:after="0" w:line="8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borrowing facilities under our Credit Agreement currently allow us to incur variable debt that is indexed to the London Inter-Bank Offered Rate (“LIBOR”). We expect that interest on those borrowings would be based on LIBOR, plus an applicable margin. On July 27, 2017, the U.K. Financial Conduct Authority, which regulates LIBOR, announced that it will no longer persuade or compel banks to submit rates for the calculation of LIBOR to the LIBOR administrator after 2021. The announcement also indicates that the continuation of LIBOR on the current basis cannot and will not be guaranteed after 2021. Consequently, at this time, it is not possible to predict whether and to what extent banks will continue to provide LIBOR submissions to the LIBOR administrator or whether any additional reforms to LIBOR may be enacted in the United Kingdom or elsewhere. Similarly, it is not possible to predict whether LIBOR will continue to be viewed as an acceptable benchmark for certain securities, loans, and liabilities, what rate or rates may become accepted alternatives to LIBOR or the effect of any such changes in views or alternatives on the value of securities whose interest rates are tied to LIBOR. Recent proposals for LIBOR reforms may result in the establishment of new methods of calculating LIBOR or the establishment of one or more alternative benchmark rates. Although our Credit Agreement provides for application of successor base rates, the successor base rates may be related to LIBOR, and the consequences of any potential cessation, modification or other reform of LIBOR cannot be predicted at this time. As a result, our interest expense may increase, our ability to refinance some or all of our existing indebtedness may be impacted and our available cash flow may be adversely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defined benefit retirement plans may adversely impact results of operations and cash flows.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Significant changes in actual investment returns on defined benefit plan assets, discount rates, and other factors could adversely affect our results of operations and the amount of contributions we are required to make to the defined benefit plans in future periods. As our defined benefit plan assets and liabilities are marked-to-market on an annual basis, large non-cash gains or losses could be recorded in the fourth quarter of each fiscal year. In accordance with United States generally accepted accounting principles, the income or expense for the plans is calculated using actuarial valuations. These valuations reflect assumptions about financial markets and interest rates, which may change based on economic conditions. Funding requirements for the defined benefit plans are dependent upon, among other things, interest rates, underlying asset returns, and the impact of legislative or regulatory changes related to defined benefit funding obligations. Unfavorable changes in these factors could adversely affect our results.</w:t>
      </w: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8"/>
          <w:szCs w:val="18"/>
          <w:b w:val="1"/>
          <w:bCs w:val="1"/>
          <w:i w:val="1"/>
          <w:iCs w:val="1"/>
          <w:color w:val="auto"/>
        </w:rPr>
        <w:t>Unresolved Staff Comments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260"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i w:val="1"/>
          <w:iCs w:val="1"/>
          <w:color w:val="auto"/>
        </w:rPr>
        <w:t>Properties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general corporate offices are located in Atlanta, Georgia. Because of the diverse nature of operations and the large number of individual locations, it is neither practical nor meaningful to describe each of our operating facilities owned or leased. The following listing summarizes the significant facility categories as of August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8860" w:type="dxa"/>
            <w:vAlign w:val="bottom"/>
            <w:gridSpan w:val="2"/>
          </w:tcPr>
          <w:p>
            <w:pPr>
              <w:spacing w:after="0"/>
              <w:rPr>
                <w:sz w:val="20"/>
                <w:szCs w:val="20"/>
                <w:color w:val="auto"/>
              </w:rPr>
            </w:pPr>
            <w:r>
              <w:rPr>
                <w:rFonts w:ascii="Arial" w:cs="Arial" w:eastAsia="Arial" w:hAnsi="Arial"/>
                <w:sz w:val="14"/>
                <w:szCs w:val="14"/>
                <w:b w:val="1"/>
                <w:bCs w:val="1"/>
                <w:color w:val="auto"/>
              </w:rPr>
              <w:t>Nature of Facilities</w:t>
            </w:r>
          </w:p>
        </w:tc>
        <w:tc>
          <w:tcPr>
            <w:tcW w:w="1240" w:type="dxa"/>
            <w:vAlign w:val="bottom"/>
            <w:gridSpan w:val="2"/>
          </w:tcPr>
          <w:p>
            <w:pPr>
              <w:ind w:left="320"/>
              <w:spacing w:after="0"/>
              <w:rPr>
                <w:sz w:val="20"/>
                <w:szCs w:val="20"/>
                <w:color w:val="auto"/>
              </w:rPr>
            </w:pPr>
            <w:r>
              <w:rPr>
                <w:rFonts w:ascii="Arial" w:cs="Arial" w:eastAsia="Arial" w:hAnsi="Arial"/>
                <w:sz w:val="14"/>
                <w:szCs w:val="14"/>
                <w:b w:val="1"/>
                <w:bCs w:val="1"/>
                <w:color w:val="auto"/>
              </w:rPr>
              <w:t>Owned</w:t>
            </w:r>
          </w:p>
        </w:tc>
        <w:tc>
          <w:tcPr>
            <w:tcW w:w="1100" w:type="dxa"/>
            <w:vAlign w:val="bottom"/>
          </w:tcPr>
          <w:p>
            <w:pPr>
              <w:jc w:val="right"/>
              <w:ind w:right="214"/>
              <w:spacing w:after="0"/>
              <w:rPr>
                <w:sz w:val="20"/>
                <w:szCs w:val="20"/>
                <w:color w:val="auto"/>
              </w:rPr>
            </w:pPr>
            <w:r>
              <w:rPr>
                <w:rFonts w:ascii="Arial" w:cs="Arial" w:eastAsia="Arial" w:hAnsi="Arial"/>
                <w:sz w:val="14"/>
                <w:szCs w:val="14"/>
                <w:b w:val="1"/>
                <w:bCs w:val="1"/>
                <w:color w:val="auto"/>
              </w:rPr>
              <w:t>Leased</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75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facilities</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r>
      <w:tr>
        <w:trPr>
          <w:trHeight w:val="263"/>
        </w:trPr>
        <w:tc>
          <w:tcPr>
            <w:tcW w:w="40" w:type="dxa"/>
            <w:vAlign w:val="bottom"/>
          </w:tcPr>
          <w:p>
            <w:pPr>
              <w:spacing w:after="0"/>
              <w:rPr>
                <w:sz w:val="22"/>
                <w:szCs w:val="22"/>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Warehouses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w:t>
            </w:r>
          </w:p>
        </w:tc>
      </w:tr>
      <w:tr>
        <w:trPr>
          <w:trHeight w:val="277"/>
        </w:trPr>
        <w:tc>
          <w:tcPr>
            <w:tcW w:w="40" w:type="dxa"/>
            <w:vAlign w:val="bottom"/>
            <w:shd w:val="clear" w:color="auto" w:fill="CCEEFF"/>
          </w:tcPr>
          <w:p>
            <w:pPr>
              <w:spacing w:after="0"/>
              <w:rPr>
                <w:sz w:val="24"/>
                <w:szCs w:val="24"/>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 centers*</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r>
      <w:tr>
        <w:trPr>
          <w:trHeight w:val="257"/>
        </w:trPr>
        <w:tc>
          <w:tcPr>
            <w:tcW w:w="40" w:type="dxa"/>
            <w:vAlign w:val="bottom"/>
          </w:tcPr>
          <w:p>
            <w:pPr>
              <w:spacing w:after="0"/>
              <w:rPr>
                <w:sz w:val="22"/>
                <w:szCs w:val="22"/>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Offices</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15</w:t>
            </w:r>
          </w:p>
        </w:tc>
      </w:tr>
      <w:tr>
        <w:trPr>
          <w:trHeight w:val="140"/>
        </w:trPr>
        <w:tc>
          <w:tcPr>
            <w:tcW w:w="8900" w:type="dxa"/>
            <w:vAlign w:val="bottom"/>
            <w:gridSpan w:val="3"/>
          </w:tcPr>
          <w:p>
            <w:pPr>
              <w:jc w:val="right"/>
              <w:ind w:right="6620"/>
              <w:spacing w:after="0"/>
              <w:rPr>
                <w:sz w:val="20"/>
                <w:szCs w:val="20"/>
                <w:color w:val="auto"/>
              </w:rPr>
            </w:pPr>
            <w:r>
              <w:rPr>
                <w:rFonts w:ascii="Arial" w:cs="Arial" w:eastAsia="Arial" w:hAnsi="Arial"/>
                <w:sz w:val="11"/>
                <w:szCs w:val="11"/>
                <w:color w:val="auto"/>
                <w:w w:val="97"/>
              </w:rPr>
              <w:t>______________________________________</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bl>
    <w:p>
      <w:pPr>
        <w:spacing w:after="0" w:line="54" w:lineRule="exact"/>
        <w:rPr>
          <w:sz w:val="20"/>
          <w:szCs w:val="20"/>
          <w:color w:val="auto"/>
        </w:rPr>
      </w:pPr>
    </w:p>
    <w:p>
      <w:pPr>
        <w:ind w:left="100" w:hanging="92"/>
        <w:spacing w:after="0"/>
        <w:tabs>
          <w:tab w:leader="none" w:pos="100" w:val="left"/>
        </w:tabs>
        <w:numPr>
          <w:ilvl w:val="0"/>
          <w:numId w:val="3"/>
        </w:numPr>
        <w:rPr>
          <w:rFonts w:ascii="Arial" w:cs="Arial" w:eastAsia="Arial" w:hAnsi="Arial"/>
          <w:sz w:val="14"/>
          <w:szCs w:val="14"/>
          <w:i w:val="1"/>
          <w:iCs w:val="1"/>
          <w:color w:val="auto"/>
        </w:rPr>
      </w:pPr>
      <w:r>
        <w:rPr>
          <w:rFonts w:ascii="Arial" w:cs="Arial" w:eastAsia="Arial" w:hAnsi="Arial"/>
          <w:sz w:val="14"/>
          <w:szCs w:val="14"/>
          <w:color w:val="auto"/>
        </w:rPr>
        <w:t>The majority of the distribution centers also have certain manufacturing and assembly capabilities.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geographic information related to our manufacturing facilities as of August 31, 2020:</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United States</w:t>
            </w:r>
          </w:p>
        </w:tc>
        <w:tc>
          <w:tcPr>
            <w:tcW w:w="860" w:type="dxa"/>
            <w:vAlign w:val="bottom"/>
          </w:tcPr>
          <w:p>
            <w:pPr>
              <w:ind w:left="320"/>
              <w:spacing w:after="0"/>
              <w:rPr>
                <w:sz w:val="20"/>
                <w:szCs w:val="20"/>
                <w:color w:val="auto"/>
              </w:rPr>
            </w:pPr>
            <w:r>
              <w:rPr>
                <w:rFonts w:ascii="Arial" w:cs="Arial" w:eastAsia="Arial" w:hAnsi="Arial"/>
                <w:sz w:val="14"/>
                <w:szCs w:val="14"/>
                <w:b w:val="1"/>
                <w:bCs w:val="1"/>
                <w:color w:val="auto"/>
              </w:rPr>
              <w:t>Mexico</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ind w:left="320"/>
              <w:spacing w:after="0"/>
              <w:rPr>
                <w:sz w:val="20"/>
                <w:szCs w:val="20"/>
                <w:color w:val="auto"/>
              </w:rPr>
            </w:pPr>
            <w:r>
              <w:rPr>
                <w:rFonts w:ascii="Arial" w:cs="Arial" w:eastAsia="Arial" w:hAnsi="Arial"/>
                <w:sz w:val="14"/>
                <w:szCs w:val="14"/>
                <w:b w:val="1"/>
                <w:bCs w:val="1"/>
                <w:color w:val="auto"/>
                <w:w w:val="99"/>
              </w:rPr>
              <w:t>Europe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ind w:left="300"/>
              <w:spacing w:after="0"/>
              <w:rPr>
                <w:sz w:val="20"/>
                <w:szCs w:val="20"/>
                <w:color w:val="auto"/>
              </w:rPr>
            </w:pPr>
            <w:r>
              <w:rPr>
                <w:rFonts w:ascii="Arial" w:cs="Arial" w:eastAsia="Arial" w:hAnsi="Arial"/>
                <w:sz w:val="14"/>
                <w:szCs w:val="14"/>
                <w:b w:val="1"/>
                <w:bCs w:val="1"/>
                <w:color w:val="auto"/>
              </w:rPr>
              <w:t>Canada</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295"/>
              <w:spacing w:after="0"/>
              <w:rPr>
                <w:sz w:val="20"/>
                <w:szCs w:val="20"/>
                <w:color w:val="auto"/>
              </w:rPr>
            </w:pPr>
            <w:r>
              <w:rPr>
                <w:rFonts w:ascii="Arial" w:cs="Arial" w:eastAsia="Arial" w:hAnsi="Arial"/>
                <w:sz w:val="14"/>
                <w:szCs w:val="14"/>
                <w:b w:val="1"/>
                <w:bCs w:val="1"/>
                <w:color w:val="auto"/>
              </w:rPr>
              <w:t>Total</w:t>
            </w:r>
          </w:p>
        </w:tc>
      </w:tr>
      <w:tr>
        <w:trPr>
          <w:trHeight w:val="256"/>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11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r>
      <w:tr>
        <w:trPr>
          <w:trHeight w:val="263"/>
        </w:trPr>
        <w:tc>
          <w:tcPr>
            <w:tcW w:w="5160" w:type="dxa"/>
            <w:vAlign w:val="bottom"/>
          </w:tcPr>
          <w:p>
            <w:pPr>
              <w:ind w:left="20"/>
              <w:spacing w:after="0"/>
              <w:rPr>
                <w:sz w:val="20"/>
                <w:szCs w:val="20"/>
                <w:color w:val="auto"/>
              </w:rPr>
            </w:pPr>
            <w:r>
              <w:rPr>
                <w:rFonts w:ascii="Arial" w:cs="Arial" w:eastAsia="Arial" w:hAnsi="Arial"/>
                <w:sz w:val="18"/>
                <w:szCs w:val="18"/>
                <w:color w:val="auto"/>
              </w:rPr>
              <w:t>Leased</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60" w:type="dxa"/>
            <w:vAlign w:val="bottom"/>
            <w:gridSpan w:val="3"/>
          </w:tcPr>
          <w:p>
            <w:pPr>
              <w:jc w:val="right"/>
              <w:ind w:right="1008"/>
              <w:spacing w:after="0"/>
              <w:rPr>
                <w:sz w:val="20"/>
                <w:szCs w:val="20"/>
                <w:color w:val="auto"/>
              </w:rPr>
            </w:pPr>
            <w:r>
              <w:rPr>
                <w:rFonts w:ascii="Arial" w:cs="Arial" w:eastAsia="Arial" w:hAnsi="Arial"/>
                <w:sz w:val="18"/>
                <w:szCs w:val="18"/>
                <w:color w:val="auto"/>
                <w:w w:val="88"/>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7</w:t>
            </w:r>
          </w:p>
        </w:tc>
      </w:tr>
      <w:tr>
        <w:trPr>
          <w:trHeight w:val="256"/>
        </w:trPr>
        <w:tc>
          <w:tcPr>
            <w:tcW w:w="51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r>
      <w:tr>
        <w:trPr>
          <w:trHeight w:val="20"/>
        </w:trPr>
        <w:tc>
          <w:tcPr>
            <w:tcW w:w="5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believe that our properties are well maintained and in good operating condition and that our properties are suitable and adequate for our present needs. Initiatives related to enhancing global operations may result in the future consolidation of certain facilities.</w:t>
      </w:r>
    </w:p>
    <w:p>
      <w:pPr>
        <w:spacing w:after="0" w:line="2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subject to various legal claims arising in the normal course of business, including, but not limited to, patent infringement, product liability claims, and employment matters. We are self-insured up to specified limits for certain types of claims, including product liability, and we are fully self-insured for certain other types of claims, including environmental, product recall, and patent infringement. Based on information currently available, it is the opinion of management that the ultimate resolution of any such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accruals for legal claims when the costs associated with the claims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amounts accrued.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Lighting Science Group Patent Litigation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April 30, 2019 and May 1, 2019, Lighting Science Group Corp. (“LSG”) filed complaints with the International Trade Commission and United States District Court for the District of Delaware, respectively, alleging infringement of eight patents by the Company and others. On May 17, 2019, LSG amended both of its complaints and dropped its claims regarding one of the patents. On October 9, 2019 and November 6, 2019, LSG dropped from the International Trade Commission action its claims regarding four additional patents. For the remaining three patents, LSG’s infringement allegations relate to certain of our LED luminaires. On April 7, 2020 and October 1, 2020, the International Trade Commission made final determinations that LSG was not entitled to any relief, and LSG is appealing certain of those determinations. In the District of Delaware action, LSG separately seeks unspecified monetary damages, costs, and attorneys’ fees. The District of Delaware action is stayed. We dispute and have numerous defenses to the allegations, and we intend to vigorously defend against LSG’s claims. Estimating an amount or range of possible losses resulting from litigation proceedings is inherently difficult, particularly where the matters involve indeterminate claims for monetary damages and a request for an exclusion order and are in the stages of the proceedings where key factual and legal issues have not been resolved. For these reasons, we currently are unable to predict the ultimate timing or outcome of or reasonably estimate the possible losses or a range of possible losses resulting from these matters.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260"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us and certain of our officers on behalf of all persons who purchased or otherwise acquired our stock between June 29, 2016 and April 3, 2017. On February 20, 2018, a different shareholder filed a second class action complaint in the same venue against the same parties on behalf of all persons who purchased or otherwise acquired our stock between October 15, 2015 and April 3, 2017. The cases were transferred on April 30, 2018, to the United States District Court for the Northern District of Georgia and subsequently were consolidated as In re Acuity Brands, Inc. Securities Litigation, Civil Action No. 1:18-cv-02140-MHC (N.D. Ga.). On October 5, 2018, the court-appointed lead plaintiff filed a consolidated amended class action complaint (the “Consolidated Complaint”), which supersedes the initial complaints. The Consolidated Complaint is brought on behalf of all persons who purchased our common stock between October 7, 2015 and April 3, 2017 and alleges that we and certain of our current officers and one former executive violated the federal securities laws by making false or misleading statements and/or omitting to disclose material adverse facts that (i) concealed known trends negatively impacting sales of our products and (ii) overstated our ability to achieve profitable sales growth. The plaintiffs seek class certification, unspecified monetary damages, costs, and attorneys’ fees. We dispute the allegations in the complaints and intend to vigorously defend against the claims. We filed a motion to dismiss the Consolidated Complaint. On August 12, 2019, the court entered an order granting our motion to dismiss in part and dismissing all claims based on 42 of the 47 statements challenged in the Consolidated Complaint but also denying the motion in part and allowing claims based on five challenged statements to proceed to discovery. 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 We are insured, in excess of a self-retention, for Directors and Officers liability.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operations are subject to numerous comprehensive laws and regulations relating to the generation, storage, handling, transportation, and disposal of hazardous substances, as well as solid and hazardous wastes, and to the remediation of contaminated sites. In addition, permits and environmental controls are required for certain operations to limit air and water pollution, and these permits are subject to modification, renewal, and revocation by issuing authorities. On an ongoing basis, we invest capital and incur operating costs related to environmental compliance. Environmental laws and regulations have generally become stricter in recent years. The cost of responding to future changes may be substantial. We establish accruals for known environmental claims when the costs associated with the claims become probable and can be reasonably estimated. The actual cost of environmental issues may be substantially higher than that accrued due to difficulty in estimating such costs.</w:t>
      </w: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i w:val="1"/>
          <w:iCs w:val="1"/>
          <w:color w:val="auto"/>
        </w:rPr>
        <w:t>Mine Safety Disclosures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260"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common stock is listed on the New York Stock Exchange under the symbol “AYI.” At October 20, 2020, there were 1,913 stockholders of record. The information required by this item with respect to equity compensation plans is included under the caption </w:t>
      </w:r>
      <w:r>
        <w:rPr>
          <w:rFonts w:ascii="Arial" w:cs="Arial" w:eastAsia="Arial" w:hAnsi="Arial"/>
          <w:sz w:val="18"/>
          <w:szCs w:val="18"/>
          <w:i w:val="1"/>
          <w:iCs w:val="1"/>
          <w:color w:val="auto"/>
        </w:rPr>
        <w:t>Equity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Plans </w:t>
      </w:r>
      <w:r>
        <w:rPr>
          <w:rFonts w:ascii="Arial" w:cs="Arial" w:eastAsia="Arial" w:hAnsi="Arial"/>
          <w:sz w:val="18"/>
          <w:szCs w:val="18"/>
          <w:color w:val="auto"/>
        </w:rPr>
        <w:t>in our proxy statement for the annual meeting of stockholders to be held January 6, 2021, which we will file with the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Commission pursuant to Regulation 14A. The proxy statement is incorporated herein by reference.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March 2018, the Board of Directors (the “Board”) authorized the repurchase of up to six million shares of our common stock. As of August 31, 2020, 2.1 million shares had been purchased under this authorization, and the maximum number of shares that may yet be purchased under the program equaled 3.9 million shares.</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repurchased no shares of our common stock during the first nine months fiscal 2020. The following table summarizes share repurchase activity by month for the quarter ended August 31, 2020:</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rPr>
              <w:t>Maximum Number of</w:t>
            </w:r>
          </w:p>
        </w:tc>
      </w:tr>
      <w:tr>
        <w:trPr>
          <w:trHeight w:val="189"/>
        </w:trPr>
        <w:tc>
          <w:tcPr>
            <w:tcW w:w="3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rPr>
              <w:t>Shares that May Yet Be</w:t>
            </w:r>
          </w:p>
        </w:tc>
      </w:tr>
      <w:tr>
        <w:trPr>
          <w:trHeight w:val="189"/>
        </w:trPr>
        <w:tc>
          <w:tcPr>
            <w:tcW w:w="3240" w:type="dxa"/>
            <w:vAlign w:val="bottom"/>
          </w:tcPr>
          <w:p>
            <w:pPr>
              <w:spacing w:after="0"/>
              <w:rPr>
                <w:sz w:val="16"/>
                <w:szCs w:val="16"/>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 Number of Shares</w:t>
            </w:r>
          </w:p>
        </w:tc>
        <w:tc>
          <w:tcPr>
            <w:tcW w:w="20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Average Price Paid per</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Period</w:t>
            </w:r>
          </w:p>
        </w:tc>
        <w:tc>
          <w:tcPr>
            <w:tcW w:w="19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Purchased</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Share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w:t>
            </w:r>
          </w:p>
        </w:tc>
      </w:tr>
      <w:tr>
        <w:trPr>
          <w:trHeight w:val="270"/>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6/1/2020 through 6/30/2020</w:t>
            </w:r>
          </w:p>
        </w:tc>
        <w:tc>
          <w:tcPr>
            <w:tcW w:w="1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4,550,000</w:t>
            </w:r>
          </w:p>
        </w:tc>
      </w:tr>
      <w:tr>
        <w:trPr>
          <w:trHeight w:val="260"/>
        </w:trPr>
        <w:tc>
          <w:tcPr>
            <w:tcW w:w="3240" w:type="dxa"/>
            <w:vAlign w:val="bottom"/>
          </w:tcPr>
          <w:p>
            <w:pPr>
              <w:ind w:left="20"/>
              <w:spacing w:after="0"/>
              <w:rPr>
                <w:sz w:val="20"/>
                <w:szCs w:val="20"/>
                <w:color w:val="auto"/>
              </w:rPr>
            </w:pPr>
            <w:r>
              <w:rPr>
                <w:rFonts w:ascii="Arial" w:cs="Arial" w:eastAsia="Arial" w:hAnsi="Arial"/>
                <w:sz w:val="16"/>
                <w:szCs w:val="16"/>
                <w:color w:val="auto"/>
              </w:rPr>
              <w:t>7/1/2020 through 7/31/2020</w:t>
            </w:r>
          </w:p>
        </w:tc>
        <w:tc>
          <w:tcPr>
            <w:tcW w:w="1960" w:type="dxa"/>
            <w:vAlign w:val="bottom"/>
          </w:tcPr>
          <w:p>
            <w:pPr>
              <w:jc w:val="right"/>
              <w:ind w:right="79"/>
              <w:spacing w:after="0"/>
              <w:rPr>
                <w:sz w:val="20"/>
                <w:szCs w:val="20"/>
                <w:color w:val="auto"/>
              </w:rPr>
            </w:pPr>
            <w:r>
              <w:rPr>
                <w:rFonts w:ascii="Arial" w:cs="Arial" w:eastAsia="Arial" w:hAnsi="Arial"/>
                <w:sz w:val="16"/>
                <w:szCs w:val="16"/>
                <w:color w:val="auto"/>
              </w:rPr>
              <w:t>344,200</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101.66</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344,200</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4,205,800</w:t>
            </w:r>
          </w:p>
        </w:tc>
      </w:tr>
      <w:tr>
        <w:trPr>
          <w:trHeight w:val="273"/>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8/1/2020 through 8/31/2020</w:t>
            </w:r>
          </w:p>
        </w:tc>
        <w:tc>
          <w:tcPr>
            <w:tcW w:w="1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343,052</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105.65</w:t>
            </w:r>
          </w:p>
        </w:tc>
        <w:tc>
          <w:tcPr>
            <w:tcW w:w="2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343,052</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3,862,748</w:t>
            </w:r>
          </w:p>
        </w:tc>
      </w:tr>
      <w:tr>
        <w:trPr>
          <w:trHeight w:val="251"/>
        </w:trPr>
        <w:tc>
          <w:tcPr>
            <w:tcW w:w="3240" w:type="dxa"/>
            <w:vAlign w:val="bottom"/>
          </w:tcPr>
          <w:p>
            <w:pPr>
              <w:ind w:left="20"/>
              <w:spacing w:after="0"/>
              <w:rPr>
                <w:sz w:val="20"/>
                <w:szCs w:val="20"/>
                <w:color w:val="auto"/>
              </w:rPr>
            </w:pPr>
            <w:r>
              <w:rPr>
                <w:rFonts w:ascii="Arial" w:cs="Arial" w:eastAsia="Arial" w:hAnsi="Arial"/>
                <w:sz w:val="16"/>
                <w:szCs w:val="16"/>
                <w:color w:val="auto"/>
              </w:rPr>
              <w:t>Total</w:t>
            </w:r>
          </w:p>
        </w:tc>
        <w:tc>
          <w:tcPr>
            <w:tcW w:w="1960" w:type="dxa"/>
            <w:vAlign w:val="bottom"/>
          </w:tcPr>
          <w:p>
            <w:pPr>
              <w:jc w:val="right"/>
              <w:ind w:right="79"/>
              <w:spacing w:after="0"/>
              <w:rPr>
                <w:sz w:val="20"/>
                <w:szCs w:val="20"/>
                <w:color w:val="auto"/>
              </w:rPr>
            </w:pPr>
            <w:r>
              <w:rPr>
                <w:rFonts w:ascii="Arial" w:cs="Arial" w:eastAsia="Arial" w:hAnsi="Arial"/>
                <w:sz w:val="16"/>
                <w:szCs w:val="16"/>
                <w:color w:val="auto"/>
              </w:rPr>
              <w:t>687,252</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103.65</w:t>
            </w: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687,252</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3,862,748</w:t>
            </w:r>
          </w:p>
        </w:tc>
      </w:tr>
    </w:tbl>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repurchase shares of our common stock from time to time at prevailing market prices, depending on market conditions, through open market or privately negotiated transactions. No date has been established for the completion of the share repurchase program, and we are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On October 23, 2020, the Board authorized the repurchase of an additional 3.8 million shares of our common stock, bringing our total authorization back to six million shares. Refer to </w:t>
      </w:r>
      <w:r>
        <w:rPr>
          <w:rFonts w:ascii="Arial" w:cs="Arial" w:eastAsia="Arial" w:hAnsi="Arial"/>
          <w:sz w:val="18"/>
          <w:szCs w:val="18"/>
          <w:i w:val="1"/>
          <w:iCs w:val="1"/>
          <w:color w:val="auto"/>
        </w:rPr>
        <w:t>Part II, Item 9b. Other information</w:t>
      </w:r>
      <w:r>
        <w:rPr>
          <w:rFonts w:ascii="Arial" w:cs="Arial" w:eastAsia="Arial" w:hAnsi="Arial"/>
          <w:sz w:val="18"/>
          <w:szCs w:val="18"/>
          <w:color w:val="auto"/>
        </w:rPr>
        <w:t xml:space="preserve"> for further details.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260"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Stock Performance</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The following information in this Annual Report on Form 10-K is not deemed to be “soliciting material” or to be “filed” with the Securities and Exchange Commission or subject to Regulation 14A or 14C under the Exchange Act or to the liabilities of Section 18 of the Exchange Act, and it will not be deemed to be incorporated by reference into any filing under the Securities Act or the Exchange Act, except to the extent specifically incorporated by reference into such filing.</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graph compares the cumulative total return to shareholders on our outstanding stock during the five years ended August 31, 2020, with the cumulative total returns of the Standard &amp; Poor’s (“S&amp;P”) Midcap 400 Index, the Dow Jones U.S. Electrical Components &amp; Equipment Index, and the Dow Jones U.S. Building Materials &amp; Fixtures Index. We are a component of both the S&amp;P Midcap 400 Index and the Dow Jones U.S. Building Materials &amp; Fixtures Index. The Dow Jones U.S. Electrical Components &amp; Equipment Index is included in the following graph as the parent companies of several major lighting companies are included in the index.</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Acuity Brands, Inc., the S&amp;P Midcap 400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Dow Jones US Electrical Components &amp; Equipment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the Dow Jones US Building Materials &amp; Fixtures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83185</wp:posOffset>
            </wp:positionV>
            <wp:extent cx="5692140" cy="3711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92140" cy="371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*Assumes $100 invested on August 31, 2015 in stock or index, including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Aug-15</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Aug-16</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Aug-17</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Aug-18</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Aug-19</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Aug-20</w:t>
            </w:r>
          </w:p>
        </w:tc>
      </w:tr>
      <w:tr>
        <w:trPr>
          <w:trHeight w:val="270"/>
        </w:trPr>
        <w:tc>
          <w:tcPr>
            <w:tcW w:w="50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Acuity Brands, Inc.</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S&amp;P Midcap 400 Index</w:t>
            </w:r>
          </w:p>
        </w:tc>
        <w:tc>
          <w:tcPr>
            <w:tcW w:w="10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112</w:t>
            </w: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126</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151</w:t>
            </w: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142</w:t>
            </w:r>
          </w:p>
        </w:tc>
        <w:tc>
          <w:tcPr>
            <w:tcW w:w="22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148</w:t>
            </w: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Dow Jones US Electrical Components &amp; Equipment Index</w:t>
            </w:r>
          </w:p>
        </w:tc>
        <w:tc>
          <w:tcPr>
            <w:tcW w:w="10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r>
      <w:tr>
        <w:trPr>
          <w:trHeight w:val="250"/>
        </w:trPr>
        <w:tc>
          <w:tcPr>
            <w:tcW w:w="5040" w:type="dxa"/>
            <w:vAlign w:val="bottom"/>
          </w:tcPr>
          <w:p>
            <w:pPr>
              <w:ind w:left="40"/>
              <w:spacing w:after="0"/>
              <w:rPr>
                <w:sz w:val="20"/>
                <w:szCs w:val="20"/>
                <w:color w:val="auto"/>
              </w:rPr>
            </w:pPr>
            <w:r>
              <w:rPr>
                <w:rFonts w:ascii="Arial" w:cs="Arial" w:eastAsia="Arial" w:hAnsi="Arial"/>
                <w:sz w:val="16"/>
                <w:szCs w:val="16"/>
                <w:color w:val="auto"/>
              </w:rPr>
              <w:t>Dow Jones US Building Materials &amp; Fixtures Index</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124</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130</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138</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153</w:t>
            </w:r>
          </w:p>
        </w:tc>
        <w:tc>
          <w:tcPr>
            <w:tcW w:w="220" w:type="dxa"/>
            <w:vAlign w:val="bottom"/>
          </w:tcPr>
          <w:p>
            <w:pPr>
              <w:spacing w:after="0"/>
              <w:rPr>
                <w:sz w:val="21"/>
                <w:szCs w:val="21"/>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180</w:t>
            </w:r>
          </w:p>
        </w:tc>
      </w:tr>
    </w:tbl>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260"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i w:val="1"/>
          <w:iCs w:val="1"/>
          <w:color w:val="auto"/>
        </w:rPr>
        <w:t>Selected Financial Data</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following table sets forth certain selected consolidated financial data, which has been derived from the </w:t>
      </w:r>
      <w:r>
        <w:rPr>
          <w:rFonts w:ascii="Arial" w:cs="Arial" w:eastAsia="Arial" w:hAnsi="Arial"/>
          <w:sz w:val="18"/>
          <w:szCs w:val="18"/>
          <w:i w:val="1"/>
          <w:iCs w:val="1"/>
          <w:color w:val="auto"/>
        </w:rPr>
        <w:t>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for each of the five years in the period ended August 31, 2020. This historical information may not be indicative of our future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performance. The information set forth below should be read in conjunction with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Condition and Results of Operations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Consolidated Financial Statements </w:t>
      </w:r>
      <w:r>
        <w:rPr>
          <w:rFonts w:ascii="Arial" w:cs="Arial" w:eastAsia="Arial" w:hAnsi="Arial"/>
          <w:sz w:val="18"/>
          <w:szCs w:val="18"/>
          <w:color w:val="auto"/>
        </w:rPr>
        <w:t>and the notes thereto.</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4"/>
                <w:szCs w:val="14"/>
                <w:b w:val="1"/>
                <w:bCs w:val="1"/>
                <w:color w:val="auto"/>
              </w:rPr>
              <w:t>Year Ended August 31,</w:t>
            </w:r>
          </w:p>
        </w:tc>
        <w:tc>
          <w:tcPr>
            <w:tcW w:w="9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70"/>
        </w:trPr>
        <w:tc>
          <w:tcPr>
            <w:tcW w:w="51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r>
              <w:rPr>
                <w:rFonts w:ascii="Arial" w:cs="Arial" w:eastAsia="Arial" w:hAnsi="Arial"/>
                <w:sz w:val="17"/>
                <w:szCs w:val="17"/>
                <w:b w:val="1"/>
                <w:bCs w:val="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17"/>
                <w:szCs w:val="17"/>
                <w:b w:val="1"/>
                <w:bCs w:val="1"/>
                <w:color w:val="auto"/>
                <w:vertAlign w:val="superscript"/>
              </w:rPr>
              <w:t>(2)</w:t>
            </w: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7"/>
              </w:rPr>
              <w:t>2018</w:t>
            </w:r>
            <w:r>
              <w:rPr>
                <w:rFonts w:ascii="Arial" w:cs="Arial" w:eastAsia="Arial" w:hAnsi="Arial"/>
                <w:sz w:val="17"/>
                <w:szCs w:val="17"/>
                <w:b w:val="1"/>
                <w:bCs w:val="1"/>
                <w:color w:val="auto"/>
                <w:w w:val="97"/>
                <w:vertAlign w:val="superscript"/>
              </w:rPr>
              <w:t>(3)</w:t>
            </w: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7"/>
                <w:szCs w:val="17"/>
                <w:b w:val="1"/>
                <w:bCs w:val="1"/>
                <w:color w:val="auto"/>
                <w:vertAlign w:val="superscript"/>
              </w:rPr>
              <w:t>(4)</w:t>
            </w:r>
          </w:p>
        </w:tc>
        <w:tc>
          <w:tcPr>
            <w:tcW w:w="3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17"/>
                <w:szCs w:val="17"/>
                <w:b w:val="1"/>
                <w:bCs w:val="1"/>
                <w:color w:val="auto"/>
                <w:vertAlign w:val="superscript"/>
              </w:rPr>
              <w:t>(5)</w:t>
            </w:r>
          </w:p>
        </w:tc>
      </w:tr>
      <w:tr>
        <w:trPr>
          <w:trHeight w:val="203"/>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(In millions, except per-share data)</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3,326.3</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3,672.7</w:t>
            </w:r>
          </w:p>
        </w:tc>
        <w:tc>
          <w:tcPr>
            <w:tcW w:w="4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3,680.1</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3,505.1</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3,291.3</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248.3</w:t>
            </w:r>
          </w:p>
        </w:tc>
        <w:tc>
          <w:tcPr>
            <w:tcW w:w="3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330.4</w:t>
            </w:r>
          </w:p>
        </w:tc>
        <w:tc>
          <w:tcPr>
            <w:tcW w:w="4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349.6</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321.7</w:t>
            </w:r>
          </w:p>
        </w:tc>
        <w:tc>
          <w:tcPr>
            <w:tcW w:w="3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290.8</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6.29</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8.54</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7.46</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6.67</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24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6.27</w:t>
            </w:r>
          </w:p>
        </w:tc>
        <w:tc>
          <w:tcPr>
            <w:tcW w:w="3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8.29</w:t>
            </w:r>
          </w:p>
        </w:tc>
        <w:tc>
          <w:tcPr>
            <w:tcW w:w="4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8.52</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7.43</w:t>
            </w:r>
          </w:p>
        </w:tc>
        <w:tc>
          <w:tcPr>
            <w:tcW w:w="3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6.63</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560.7</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461.0</w:t>
            </w: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129.1</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311.1</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413.2</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3,491.7</w:t>
            </w:r>
          </w:p>
        </w:tc>
        <w:tc>
          <w:tcPr>
            <w:tcW w:w="3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3,172.4</w:t>
            </w:r>
          </w:p>
        </w:tc>
        <w:tc>
          <w:tcPr>
            <w:tcW w:w="4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2,988.8</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2,899.6</w:t>
            </w:r>
          </w:p>
        </w:tc>
        <w:tc>
          <w:tcPr>
            <w:tcW w:w="3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2,948.0</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376.8</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347.5</w:t>
            </w: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356.4</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356.5</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355.0</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Total debt</w:t>
            </w:r>
          </w:p>
        </w:tc>
        <w:tc>
          <w:tcPr>
            <w:tcW w:w="24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401.1</w:t>
            </w:r>
          </w:p>
        </w:tc>
        <w:tc>
          <w:tcPr>
            <w:tcW w:w="3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356.6</w:t>
            </w:r>
          </w:p>
        </w:tc>
        <w:tc>
          <w:tcPr>
            <w:tcW w:w="4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356.8</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356.9</w:t>
            </w:r>
          </w:p>
        </w:tc>
        <w:tc>
          <w:tcPr>
            <w:tcW w:w="32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355.2</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2,127.5</w:t>
            </w: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1,918.9</w:t>
            </w: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1,716.8</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1,665.6</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1,659.8</w:t>
            </w:r>
          </w:p>
        </w:tc>
      </w:tr>
      <w:tr>
        <w:trPr>
          <w:trHeight w:val="251"/>
        </w:trPr>
        <w:tc>
          <w:tcPr>
            <w:tcW w:w="5160" w:type="dxa"/>
            <w:vAlign w:val="bottom"/>
          </w:tcPr>
          <w:p>
            <w:pPr>
              <w:ind w:left="40"/>
              <w:spacing w:after="0"/>
              <w:rPr>
                <w:sz w:val="20"/>
                <w:szCs w:val="20"/>
                <w:color w:val="auto"/>
              </w:rPr>
            </w:pPr>
            <w:r>
              <w:rPr>
                <w:rFonts w:ascii="Arial" w:cs="Arial" w:eastAsia="Arial" w:hAnsi="Arial"/>
                <w:sz w:val="16"/>
                <w:szCs w:val="16"/>
                <w:color w:val="auto"/>
              </w:rPr>
              <w:t>Dividends declared per share</w:t>
            </w:r>
          </w:p>
        </w:tc>
        <w:tc>
          <w:tcPr>
            <w:tcW w:w="24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0.52</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0.52</w:t>
            </w:r>
          </w:p>
        </w:tc>
        <w:tc>
          <w:tcPr>
            <w:tcW w:w="44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0.52</w:t>
            </w:r>
          </w:p>
        </w:tc>
        <w:tc>
          <w:tcPr>
            <w:tcW w:w="34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0.52</w:t>
            </w:r>
          </w:p>
        </w:tc>
        <w:tc>
          <w:tcPr>
            <w:tcW w:w="32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0.52</w:t>
            </w:r>
          </w:p>
        </w:tc>
      </w:tr>
      <w:tr>
        <w:trPr>
          <w:trHeight w:val="186"/>
        </w:trPr>
        <w:tc>
          <w:tcPr>
            <w:tcW w:w="5160" w:type="dxa"/>
            <w:vAlign w:val="bottom"/>
          </w:tcPr>
          <w:p>
            <w:pPr>
              <w:spacing w:after="0"/>
              <w:rPr>
                <w:sz w:val="20"/>
                <w:szCs w:val="20"/>
                <w:color w:val="auto"/>
              </w:rPr>
            </w:pPr>
            <w:r>
              <w:rPr>
                <w:rFonts w:ascii="Arial" w:cs="Arial" w:eastAsia="Arial" w:hAnsi="Arial"/>
                <w:sz w:val="14"/>
                <w:szCs w:val="14"/>
                <w:color w:val="auto"/>
              </w:rPr>
              <w:t>_______________________________________</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jc w:val="both"/>
        <w:ind w:left="660" w:hanging="328"/>
        <w:spacing w:after="0" w:line="24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Income, Basic Earnings per Share, and Diluted Earnings per Share for fiscal 2020 include a) pre-tax special charges of $20.0 million, b) pre-tax amortization of acquired intangible assets of $41.7 million, c) pre-tax share-based payment expense of $38.2 million, and d) pre-tax acquisition-related items of $2.5 million totaling $2.00 per share.</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Income, Basic Earnings per Share, and Diluted Earnings per Share for fiscal 2019 include a) pre-tax special charges of $1.8 million, b) pre-tax amortization of acquired intangible assets of $30.8 million, c) pre-tax share-based payment expense of $29.2 million, d) pre-tax acquisition-related items of $2.5 million, and e) certain manufacturing inefficiencies related to the closure of a facility of $0.9 million, totaling $1.28 per share.</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Income, Basic Earnings per Share, and Diluted Earnings per Share for fiscal 2018 include a) pre-tax special charges of $5.6 million, b) pre-tax amortization of acquired intangible assets of $28.5 million, c) pre-tax share-based payment expense of $32.3 million, d) pre-tax acquisition-related items of $3.8 million, e) excess inventory related to the closure of a facility of $3.1 million, f) gain on sale of a business of $5.4 million, and g) discrete income tax benefits of the U.S. Tax Cuts and Jobs Act of $34.6 million, totaling $0.32 per share.</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Income, Basic Earnings per Share, and Diluted Earnings per Share for fiscal 2017 include a) pre-tax special charges of $11.3 million, b) pre-tax amortization of acquired intangible assets of $28.0 million, c) pre-tax share-based payment expense of $32.0 million, d) gain on sale of investment in unconsolidated affiliate of $7.2 million, and e) manufacturing related inefficiencies directly related to the closure of a facility of $1.6 million, totaling $1.02 per share.</w:t>
      </w:r>
    </w:p>
    <w:p>
      <w:pPr>
        <w:spacing w:after="0" w:line="1" w:lineRule="exact"/>
        <w:rPr>
          <w:rFonts w:ascii="Arial" w:cs="Arial" w:eastAsia="Arial" w:hAnsi="Arial"/>
          <w:sz w:val="14"/>
          <w:szCs w:val="14"/>
          <w:color w:val="auto"/>
        </w:rPr>
      </w:pPr>
    </w:p>
    <w:p>
      <w:pPr>
        <w:jc w:val="both"/>
        <w:ind w:left="660" w:hanging="328"/>
        <w:spacing w:after="0" w:line="249"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Income, Basic Earnings per Share, and Diluted Earnings per Share for fiscal 2016 include a) pre-tax special charges of $15.0 million, b) pre-tax amortization of acquired intangible assets of $21.4 million, c) pre-tax share-based payment expense of $27.7 million, d) pre-tax acquisition-related items of $10.8 million, and e) pre-tax impairment of intangible asset of $5.1 million, totaling $1.21 per share.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260"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(“Acuity Brands”) and its subsidiaries for the years ended August 31, 2020, 2019, and 2018. The following discussion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included within this report.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Acuity Brands is the parent company of Acuity Brands Lighting, Inc. (“ABL”) and other wholly-owned subsidiaries (Acuity Brands, ABL, and such other subsidiaries are collectively referred to herein as “we,” “our,” “us,” “the Company,” or similar references). Our principal office is located in Atlanta, Georgia.</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market-leading industrial technology company that designs, manufactures, and brings to market products and services for commercial, institutional, industrial, infrastructure, and residential applications throughout North America and select international markets. Our products include building management systems, lighting, lighting controls, and location aware applications. As of August 31, 2020, we operated 18 manufacturing facilities, eight distribution facilities, and two warehouses to serve our extensive customer base.</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do not consider acquisitions a critical element of our strategy but seek opportunities to expand and enhance our portfolio of solutions, including the following transactions:</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25, 2019, using cash on hand, we acquired all of the equity interests of LocusLabs, Inc (“LocusLabs”). The LocusLabs software platform supports navigation applications used on mobile devices, web browsers, and digital displays in airports, event centers, multi-floor office buildings, and campuses.</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17, 2019, using cash on hand and borrowings under available existing credit arrangements, we acquired all of the equity interests of The Luminaires Group (“TLG”), a leading provider of specification-grade luminaires for commercial, institutional, hospitality, and municipal markets, all of which complement our current and dynamic lighting portfolio. TLG’s indoor and outdoor lighting fixtures are marketed to architects, landscape architects, interior designers, and engineers through five niche lighting brands: A-light, Cyclone, Eureka, Luminaire LED, and Luminis.</w:t>
      </w:r>
    </w:p>
    <w:p>
      <w:pPr>
        <w:spacing w:after="0" w:line="111"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On June 20, 2019, using cash on hand we acquired all of the equity interests of WhiteOptics, LLC (“WhiteOptics”). WhiteOptics manufactures advanced optical components used to reflect, diffuse, and control light for LED lighting used in commercial and institutional applications.</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1, 2018, using cash on hand and borrowings available under existing credit arrangements, we acquired IOTA Engineering, LLC (“IOTA”). IOTA manufactures highly engineered emergency lighting products and power equipment for commercial and institutional applications both in the U.S. and internationally.</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February 12, 2018, using cash on hand, we acquired Lucid Design Group, Inc (“Lucid”). Lucid provides a data and analytics platform to make data-driven decisions to improve building efficiency and drive energy conservation and savings.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the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strategy is to extend our leadership position in the North American market and certain international markets by delivering superior lighting and building technology solutions. Additionally, we continue to evolve Atrius as the intelligent building platform upon which a host of problem-solving applications can be deployed. Through the Acuity Business System, we strive to achieve customer-focused efficiencies that allow us to increase market share and deliver superior returns. We look to aggressively deploy capital to grow the business and to enter attractive new verticals.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Throughout fiscal 2020, we believe we made progress towards achieving our strategic objectives, including expanding our access to the market, expanding our addressable market, introducing new lighting and building technology solutions, and enhancing our operations to create a stronger, more effective organization. Management will continue to implement programs to enhance our capabilities at providing unparalleled customer service; creating a globally competitive cost structure; improving productivity; and introducing innovative solutions and services more rapidly and cost effectively. In addition, we have invested considerable resources to teach and train associates to utilize tools and techniques that accelerate success in these key areas, as well as to create a culture that demands excellence through continuous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260"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improvement. Additionally, we promote a “pay-for-performance” culture that rewards associates for achieving various levels of year-over-year improvement, while closely monitoring appropriate risk-taking. The expected outcome of these activities will be to better position ourselves to deliver on our full potential, to provide a platform for future growth opportunities, and to achieve our long-term financial goals. See the </w:t>
      </w:r>
      <w:r>
        <w:rPr>
          <w:rFonts w:ascii="Arial" w:cs="Arial" w:eastAsia="Arial" w:hAnsi="Arial"/>
          <w:sz w:val="18"/>
          <w:szCs w:val="18"/>
          <w:i w:val="1"/>
          <w:iCs w:val="1"/>
          <w:color w:val="auto"/>
        </w:rPr>
        <w:t xml:space="preserve">Outlook </w:t>
      </w:r>
      <w:r>
        <w:rPr>
          <w:rFonts w:ascii="Arial" w:cs="Arial" w:eastAsia="Arial" w:hAnsi="Arial"/>
          <w:sz w:val="18"/>
          <w:szCs w:val="18"/>
          <w:color w:val="auto"/>
        </w:rPr>
        <w:t>section below for additional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March 2020, the World Health Organization declared the COVID-19 outbreak a pandemic. This pandemic has resulted in worldwide government restrictions on the movement of people, goods, and services resulting in increased volatility in and disruptions to global markets. However, our manufacturing operations are deemed essential and continue to operate. We remain committed to prioritizing the health and well-being of our associates and their families and ensuring that we operate effectively. We have implemented policies to screen associates, contractors, and vendors for COVID-19 symptoms upon entering our manufacturing and distribution and open office facilities in the United States, Mexico, and other locations as permitted by law. We have also implemented one-way traffic flows, additional cleaning requirements for common spaces, mandatory face coverings, hand sanitizer stations, socially distanced workspaces, and self-serve pay stations within our cafeterias to mitigate the spread of the virus. Additionally, we are requiring certain employees whose job functions can be performed remotely to work from home for the foreseeable future.</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Government-mandated and voluntary social distancing measures had an adverse impact on our results of operations. The pandemic has caused reduced construction and renovation spending during the year as well as a disruption in our supply chain for certain components, both of which negatively impacted our fiscal 2020 sales volumes. We also experienced a limited number of temporary facility shutdowns due to government-mandated closures as well as additional health and safety costs including expenditures for personal protection equipment and facility enhancements to maintain proper distancing guidelines issued by the Centers for Disease Control and Prevention. In response to our sales volume declines, we have taken actions to reduce costs, including the realignment of headcount with current volumes, a freeze on all non-essential employee travel, other efforts to decrease discretionary spending, and planned reductions in our real estate footprint.</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Although we have implemented significant measures to mitigate further spread of the virus, our employees, customers, suppliers, and contractors may continue to experience disruptions to business activities due to potential further government-mandated or voluntary shutdowns, general economic conditions, or other negative impacts of the COVID-19 pandemic. We are continuously monitoring the adverse effects of the pandemic and identifying steps to mitigate those effects. As the COVID-19 pandemic is continually evolving, we are uncertain of its ultimate duration and impact. See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for further details regarding the potential impacts of COVID-19 to our results of operations, financial position, and cash flows.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principal sources of liquidity are operating cash flows generated primarily from our business operations, cash on hand, and various sources of borrowings. Our ability to generate sufficient cash flow from operations or to access certain capital markets, including banks, is necessary to fund our operations and capital expenditures, pay dividends, repurchase shares, meet obligations as they become due, and maintain compliance with covenants contained in our financing agreements.</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fiscal 2020, we paid $54.9 million for property, plant, and equipment, primarily for tooling, new and enhanced information technology capabilities, equipment, and facility enhancements. We currently expect to invest 1.5% of net sales on capital expenditures during fiscal 2021.</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March 2018, the Board of Directors (the “Board”) authorized the repurchase of up to six million shares of our common stock. As of August 31, 2020, 2.1 million shares had been purchased under this authorization, of which 0.7 million were repurchased in fiscal 2020. We expect to repurchase the remaining shares available for repurchase on an opportunistic basis subject to various factors including stock price, Company performance, market conditions, and other possible uses of cash. On October 23, 2020, the Board authorized the repurchase of an additional 3.8 million shares of our common stock, bringing our total authorization back to six million shares. Refer to </w:t>
      </w:r>
      <w:r>
        <w:rPr>
          <w:rFonts w:ascii="Arial" w:cs="Arial" w:eastAsia="Arial" w:hAnsi="Arial"/>
          <w:sz w:val="18"/>
          <w:szCs w:val="18"/>
          <w:i w:val="1"/>
          <w:iCs w:val="1"/>
          <w:color w:val="auto"/>
        </w:rPr>
        <w:t>Part II, Item 9b.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for further details.</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short-term cash needs are expected to include funding operations as currently planned; making capital investments as currently anticipated; paying quarterly stockholder dividends as currently anticipated; paying principal and interest on debt as currently scheduled, including our borrowings under our unsecured delayed draw term loan facility (the “Term Loan Facility”); making required contributions to our employee benefit plans; funding possible acquisitions; and potentially repurchasing shares of our outstanding common stock. We believe that we will be able to meet our liquidity needs over the next 12 months based on our cash on hand, current projections of cash flow from operations,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260"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borrowing availability under financing arrangements. Additionally, we believe that our cash flows from operations and sources of funding, including, but not limited to, future borrowings and borrowing capacity, will sufficiently support our long-term liquidity needs. However, as the impact of the COVID-19 pandemic on the economy and our operations evolves, we will continue to assess our liquidity needs. A continued worldwide disruption could materially affect our future access to our sources of liquidity, particularly our cash flows from operations, financial condition, capitalization, and capital investments. In the event of a sustained market deterioration, we may need additional liquidity, which would require us to evaluate available alternatives and take appropriate actions.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5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use available cash and cash flows from operations, borrowings on credit arrangements, and proceeds from the exercise of stock options to fund operations, capital expenditures, and acquisitions if any; to repurchase Company stock; and to pay dividends.</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cash position at August 31, 2020 was $ 560.7 million, an increase of $99.7 million from August 31, 2019. During the year ended August 31, 2020, we generated net cash flows from operating activities of $504.8 million. Cash generated from operating activities, cash on-hand, and additional long-term debt borrowings were used during the current year primarily to repay long term debt obligations due of $350.7 million, to fund acquisitions of $303.0 million, to repurchase shares of our outstanding common stock for $69.3 million, to fund capital expenditures of $54.9 million, to pay dividends to stockholders of $20.8 million, and to pay withholding taxes on the net settlement of equity awards of $5.4 million.</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generated $504.8 million of cash flows from operating activities during fiscal 2020 compared with $494.7 million in the prior-year period, an increase of $10.1 million, due primarily to lower net working capital requirements, partially offset by lower net income. Operating working capital (calculated by adding accounts receivable plus inventories and subtracting accounts payable-net of acquisitions and the impact of foreign exchange rate changes) decreased by approximately $92.9 million during fiscal 2020 compared to a decrease of $57.0 million during fiscal 2019.</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investing in assets and programs that will over time increase the overall return on our invested capital is a key factor in driving stockholder value. We invested $54.9 million and $ 53.0 million in fiscal 2020 and 2019, respectively, in property, plant, and equipment, primarily related to investments in tooling, new and enhanced information technology capabilities, equipment, and facility enhancements.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260"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at August 31, 2020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Less than</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4 to 5</w:t>
            </w:r>
          </w:p>
        </w:tc>
        <w:tc>
          <w:tcPr>
            <w:tcW w:w="22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One Year</w:t>
            </w:r>
          </w:p>
        </w:tc>
        <w:tc>
          <w:tcPr>
            <w:tcW w:w="14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1 to 3 Years</w:t>
            </w:r>
          </w:p>
        </w:tc>
        <w:tc>
          <w:tcPr>
            <w:tcW w:w="240" w:type="dxa"/>
            <w:vAlign w:val="bottom"/>
          </w:tcPr>
          <w:p>
            <w:pPr>
              <w:spacing w:after="0"/>
              <w:rPr>
                <w:sz w:val="17"/>
                <w:szCs w:val="17"/>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7"/>
                <w:szCs w:val="17"/>
                <w:color w:val="auto"/>
              </w:rPr>
            </w:pPr>
          </w:p>
        </w:tc>
        <w:tc>
          <w:tcPr>
            <w:tcW w:w="900" w:type="dxa"/>
            <w:vAlign w:val="bottom"/>
          </w:tcPr>
          <w:p>
            <w:pPr>
              <w:jc w:val="right"/>
              <w:ind w:right="281"/>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56"/>
        </w:trPr>
        <w:tc>
          <w:tcPr>
            <w:tcW w:w="5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w:t>
            </w:r>
            <w:r>
              <w:rPr>
                <w:rFonts w:ascii="Arial" w:cs="Arial" w:eastAsia="Arial" w:hAnsi="Arial"/>
                <w:sz w:val="21"/>
                <w:szCs w:val="21"/>
                <w:color w:val="auto"/>
                <w:vertAlign w:val="superscript"/>
              </w:rPr>
              <w:t>(1)</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401.1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24.3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375.5</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0.6</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70"/>
        </w:trPr>
        <w:tc>
          <w:tcPr>
            <w:tcW w:w="5180" w:type="dxa"/>
            <w:vAlign w:val="bottom"/>
          </w:tcPr>
          <w:p>
            <w:pPr>
              <w:ind w:left="40"/>
              <w:spacing w:after="0"/>
              <w:rPr>
                <w:sz w:val="20"/>
                <w:szCs w:val="20"/>
                <w:color w:val="auto"/>
              </w:rPr>
            </w:pPr>
            <w:r>
              <w:rPr>
                <w:rFonts w:ascii="Arial" w:cs="Arial" w:eastAsia="Arial" w:hAnsi="Arial"/>
                <w:sz w:val="16"/>
                <w:szCs w:val="16"/>
                <w:color w:val="auto"/>
              </w:rPr>
              <w:t>Interest obligations</w:t>
            </w:r>
            <w:r>
              <w:rPr>
                <w:rFonts w:ascii="Arial" w:cs="Arial" w:eastAsia="Arial" w:hAnsi="Arial"/>
                <w:sz w:val="21"/>
                <w:szCs w:val="21"/>
                <w:color w:val="auto"/>
                <w:vertAlign w:val="superscript"/>
              </w:rPr>
              <w:t>(2)</w:t>
            </w:r>
          </w:p>
        </w:tc>
        <w:tc>
          <w:tcPr>
            <w:tcW w:w="2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70"/>
        </w:trPr>
        <w:tc>
          <w:tcPr>
            <w:tcW w:w="5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leases</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78.8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27.2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70"/>
        </w:trPr>
        <w:tc>
          <w:tcPr>
            <w:tcW w:w="5180" w:type="dxa"/>
            <w:vAlign w:val="bottom"/>
          </w:tcPr>
          <w:p>
            <w:pPr>
              <w:ind w:left="40"/>
              <w:spacing w:after="0"/>
              <w:rPr>
                <w:sz w:val="20"/>
                <w:szCs w:val="20"/>
                <w:color w:val="auto"/>
              </w:rPr>
            </w:pPr>
            <w:r>
              <w:rPr>
                <w:rFonts w:ascii="Arial" w:cs="Arial" w:eastAsia="Arial" w:hAnsi="Arial"/>
                <w:sz w:val="16"/>
                <w:szCs w:val="16"/>
                <w:color w:val="auto"/>
              </w:rPr>
              <w:t>Purchase obligations</w:t>
            </w:r>
            <w:r>
              <w:rPr>
                <w:rFonts w:ascii="Arial" w:cs="Arial" w:eastAsia="Arial" w:hAnsi="Arial"/>
                <w:sz w:val="21"/>
                <w:szCs w:val="21"/>
                <w:color w:val="auto"/>
                <w:vertAlign w:val="superscript"/>
              </w:rPr>
              <w:t>(4)</w:t>
            </w:r>
          </w:p>
        </w:tc>
        <w:tc>
          <w:tcPr>
            <w:tcW w:w="2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306.6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301.5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liabilities</w:t>
            </w:r>
            <w:r>
              <w:rPr>
                <w:rFonts w:ascii="Arial" w:cs="Arial" w:eastAsia="Arial" w:hAnsi="Arial"/>
                <w:sz w:val="21"/>
                <w:szCs w:val="21"/>
                <w:color w:val="auto"/>
                <w:vertAlign w:val="superscript"/>
              </w:rPr>
              <w:t>(5)</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50.5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31"/>
        </w:trPr>
        <w:tc>
          <w:tcPr>
            <w:tcW w:w="5180" w:type="dxa"/>
            <w:vAlign w:val="bottom"/>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940.1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368.3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453.9</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___________________________</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660" w:hanging="328"/>
        <w:spacing w:after="0" w:line="220" w:lineRule="auto"/>
        <w:tabs>
          <w:tab w:leader="none" w:pos="6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 xml:space="preserve">These amounts, which represent the principal amounts of our debt outstanding at August 31, 2020, are included in our </w:t>
      </w:r>
      <w:r>
        <w:rPr>
          <w:rFonts w:ascii="Arial" w:cs="Arial" w:eastAsia="Arial" w:hAnsi="Arial"/>
          <w:sz w:val="14"/>
          <w:szCs w:val="14"/>
          <w:i w:val="1"/>
          <w:iCs w:val="1"/>
          <w:color w:val="auto"/>
        </w:rPr>
        <w:t>Consolidated Balance Sheets</w:t>
      </w:r>
      <w:r>
        <w:rPr>
          <w:rFonts w:ascii="Arial" w:cs="Arial" w:eastAsia="Arial" w:hAnsi="Arial"/>
          <w:sz w:val="14"/>
          <w:szCs w:val="14"/>
          <w:color w:val="auto"/>
        </w:rPr>
        <w:t xml:space="preserve">. See the </w:t>
      </w:r>
      <w:r>
        <w:rPr>
          <w:rFonts w:ascii="Arial" w:cs="Arial" w:eastAsia="Arial" w:hAnsi="Arial"/>
          <w:sz w:val="14"/>
          <w:szCs w:val="14"/>
          <w:i w:val="1"/>
          <w:iCs w:val="1"/>
          <w:color w:val="auto"/>
        </w:rPr>
        <w:t>Debt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and Lines of Credit </w:t>
      </w:r>
      <w:r>
        <w:rPr>
          <w:rFonts w:ascii="Arial" w:cs="Arial" w:eastAsia="Arial" w:hAnsi="Arial"/>
          <w:sz w:val="14"/>
          <w:szCs w:val="14"/>
          <w:color w:val="auto"/>
        </w:rPr>
        <w:t>footnote for additional information regarding debt and other matters.</w:t>
      </w:r>
    </w:p>
    <w:p>
      <w:pPr>
        <w:jc w:val="both"/>
        <w:ind w:left="660" w:hanging="328"/>
        <w:spacing w:after="0" w:line="228" w:lineRule="auto"/>
        <w:tabs>
          <w:tab w:leader="none" w:pos="6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 xml:space="preserve">These amounts primarily represent our expected future interest payments on outstanding debt held at August 31, 2020 and our outstanding loans related to our corporate-owned life insurance policies (“COLI”), which constitute a small portion of the total contractual obligations shown. COLI-related interest payments included in this table are estimates. These estimates are based on various assumptions, including age at death, loan interest rate, and tax bracket. The amounts in this table do not include COLI-related payments after ten years due to the difficulty in calculating a meaningful estimate that far in the future. Note that payments related to debt and the COLI are reflected in our </w:t>
      </w:r>
      <w:r>
        <w:rPr>
          <w:rFonts w:ascii="Arial" w:cs="Arial" w:eastAsia="Arial" w:hAnsi="Arial"/>
          <w:sz w:val="14"/>
          <w:szCs w:val="14"/>
          <w:i w:val="1"/>
          <w:iCs w:val="1"/>
          <w:color w:val="auto"/>
        </w:rPr>
        <w:t>Consolidated Statements of Cash Flows</w:t>
      </w:r>
      <w:r>
        <w:rPr>
          <w:rFonts w:ascii="Arial" w:cs="Arial" w:eastAsia="Arial" w:hAnsi="Arial"/>
          <w:sz w:val="14"/>
          <w:szCs w:val="14"/>
          <w:color w:val="auto"/>
        </w:rPr>
        <w:t>.</w:t>
      </w:r>
    </w:p>
    <w:p>
      <w:pPr>
        <w:spacing w:after="0" w:line="1" w:lineRule="exact"/>
        <w:rPr>
          <w:rFonts w:ascii="Arial" w:cs="Arial" w:eastAsia="Arial" w:hAnsi="Arial"/>
          <w:sz w:val="18"/>
          <w:szCs w:val="18"/>
          <w:color w:val="auto"/>
          <w:vertAlign w:val="superscript"/>
        </w:rPr>
      </w:pPr>
    </w:p>
    <w:p>
      <w:pPr>
        <w:ind w:left="660" w:hanging="328"/>
        <w:spacing w:after="0" w:line="187" w:lineRule="auto"/>
        <w:tabs>
          <w:tab w:leader="none" w:pos="6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 xml:space="preserve">Our operating lease obligations are described in the </w:t>
      </w:r>
      <w:r>
        <w:rPr>
          <w:rFonts w:ascii="Arial" w:cs="Arial" w:eastAsia="Arial" w:hAnsi="Arial"/>
          <w:sz w:val="14"/>
          <w:szCs w:val="14"/>
          <w:i w:val="1"/>
          <w:iCs w:val="1"/>
          <w:color w:val="auto"/>
        </w:rPr>
        <w:t>Leases</w:t>
      </w:r>
      <w:r>
        <w:rPr>
          <w:rFonts w:ascii="Arial" w:cs="Arial" w:eastAsia="Arial" w:hAnsi="Arial"/>
          <w:sz w:val="14"/>
          <w:szCs w:val="14"/>
          <w:color w:val="auto"/>
        </w:rPr>
        <w:t xml:space="preserve"> footnote.</w:t>
      </w:r>
    </w:p>
    <w:p>
      <w:pPr>
        <w:ind w:left="660" w:hanging="328"/>
        <w:spacing w:after="0" w:line="211" w:lineRule="auto"/>
        <w:tabs>
          <w:tab w:leader="none" w:pos="6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Purchase obligations include commitments to purchase goods or services that are enforceable and legally binding and that specify all significant terms, including open purchase orders.</w:t>
      </w:r>
    </w:p>
    <w:p>
      <w:pPr>
        <w:jc w:val="both"/>
        <w:ind w:left="660" w:hanging="328"/>
        <w:spacing w:after="0" w:line="234" w:lineRule="auto"/>
        <w:tabs>
          <w:tab w:leader="none" w:pos="6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 xml:space="preserve">These amounts are included in our </w:t>
      </w:r>
      <w:r>
        <w:rPr>
          <w:rFonts w:ascii="Arial" w:cs="Arial" w:eastAsia="Arial" w:hAnsi="Arial"/>
          <w:sz w:val="14"/>
          <w:szCs w:val="14"/>
          <w:i w:val="1"/>
          <w:iCs w:val="1"/>
          <w:color w:val="auto"/>
        </w:rPr>
        <w:t>Consolidated Balance Sheets</w:t>
      </w:r>
      <w:r>
        <w:rPr>
          <w:rFonts w:ascii="Arial" w:cs="Arial" w:eastAsia="Arial" w:hAnsi="Arial"/>
          <w:sz w:val="14"/>
          <w:szCs w:val="14"/>
          <w:color w:val="auto"/>
        </w:rPr>
        <w:t xml:space="preserve"> and largely represent liabilities for which we are obligated to make future payments under certain long-term employee benefit programs. Estimates of the amounts and timing of these amounts are based on various assumptions, including interest rates and other variables. The amounts in this table do not include amounts related to future funding obligations under the defined benefit pension plans. The amount and timing of these future funding obligations are subject to many variables and are also dependent on whether or not we elect to make contributions to the pension plans in excess of those required under Employee Retirement Income Security Act of 1974. Such voluntary contributions may reduce or defer the funding obligations. See the </w:t>
      </w:r>
      <w:r>
        <w:rPr>
          <w:rFonts w:ascii="Arial" w:cs="Arial" w:eastAsia="Arial" w:hAnsi="Arial"/>
          <w:sz w:val="14"/>
          <w:szCs w:val="14"/>
          <w:i w:val="1"/>
          <w:iCs w:val="1"/>
          <w:color w:val="auto"/>
        </w:rPr>
        <w:t>Pension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and Profit Sharing Plans </w:t>
      </w:r>
      <w:r>
        <w:rPr>
          <w:rFonts w:ascii="Arial" w:cs="Arial" w:eastAsia="Arial" w:hAnsi="Arial"/>
          <w:sz w:val="14"/>
          <w:szCs w:val="14"/>
          <w:color w:val="auto"/>
        </w:rPr>
        <w:t>footnote for additional information. These amounts exclude $17.2 million of unrecognized tax benefits as the period of cash settlement with</w:t>
      </w:r>
      <w:r>
        <w:rPr>
          <w:rFonts w:ascii="Arial" w:cs="Arial" w:eastAsia="Arial" w:hAnsi="Arial"/>
          <w:sz w:val="14"/>
          <w:szCs w:val="14"/>
          <w:i w:val="1"/>
          <w:iCs w:val="1"/>
          <w:color w:val="auto"/>
        </w:rPr>
        <w:t xml:space="preserve"> </w:t>
      </w:r>
      <w:r>
        <w:rPr>
          <w:rFonts w:ascii="Arial" w:cs="Arial" w:eastAsia="Arial" w:hAnsi="Arial"/>
          <w:sz w:val="14"/>
          <w:szCs w:val="14"/>
          <w:color w:val="auto"/>
        </w:rPr>
        <w:t>the respective taxing authorities cannot be reasonably estimated.</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above table does not include deferred income tax liabilities of approximately $ 197.3 million as of August 31, 2020. Refer to the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w:t>
      </w:r>
      <w:r>
        <w:rPr>
          <w:rFonts w:ascii="Arial" w:cs="Arial" w:eastAsia="Arial" w:hAnsi="Arial"/>
          <w:sz w:val="18"/>
          <w:szCs w:val="18"/>
          <w:color w:val="auto"/>
        </w:rPr>
        <w:t>footnote for more information. This amount is not included in the total contractual obligations table because we believe this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 would not be meaningful. Deferred income tax liabilities are calculated based on temporary differences between the tax and book bases of assets and liabilities, which will result in taxable amounts in future years when the liabilities are settled at their reported financial statement amounts. The results of these calculations do not have a direct connection with the amount of cash taxes to be paid in any future periods. As a result, scheduling deferred income tax liabilities as payments due by period could be misleading, because this scheduling would not relate to liquidity needs.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current capital structure is comprised principally of borrowings under the Term Loan Facility and equity of our stockholders. Total debt outstanding was $401.1 million at August 31, 2020 and consisted primarily of variable-rate obligations. At August 31, 2019, total debt outstanding was $356.6 million and consisted primarily of fixed-rate obligations.</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On June 29, 2018, we entered into a credit agreement (“Credit Agreement”) with a syndicate of banks that provides us with a $400.0 million five-year unsecured revolving credit facility (“Revolving Credit Facility”) and a $400.0 million Term Loan Facility. We had no borrowings outstanding under the Revolving Credit Facility as of August 31, 2020 or 2019. We had $395.0 million in borrowings outstanding under the Term Loan Facility as of August 31, 2020 and no borrowings outstanding under the Term Loan Facility as of August 31, 2019. Based on the repayment schedule, $375.0 million of the borrowings under the Term Loan Facility are reflected within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Balance Sheets </w:t>
      </w:r>
      <w:r>
        <w:rPr>
          <w:rFonts w:ascii="Arial" w:cs="Arial" w:eastAsia="Arial" w:hAnsi="Arial"/>
          <w:sz w:val="18"/>
          <w:szCs w:val="18"/>
          <w:color w:val="auto"/>
        </w:rPr>
        <w:t>as of August 31, 2020.</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December 2019, we borrowed the full $400.0 million available under our Term Loan Facility. The proceeds were primarily used to repay the $350.0 million of senior unsecured notes, which matured on December 15, 2019, and the related accrued interest in full. Borrowings under the Term Loan Facility amortize as described in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Any remaining borrowings under the Term Loan Facility are due and payable in full on June 29, 2023. Additionally, see the</w:t>
      </w:r>
      <w:r>
        <w:rPr>
          <w:rFonts w:ascii="Arial" w:cs="Arial" w:eastAsia="Arial" w:hAnsi="Arial"/>
          <w:sz w:val="18"/>
          <w:szCs w:val="18"/>
          <w:i w:val="1"/>
          <w:iCs w:val="1"/>
          <w:color w:val="auto"/>
        </w:rPr>
        <w:t xml:space="preserve"> Debt and Lines of Credit </w:t>
      </w:r>
      <w:r>
        <w:rPr>
          <w:rFonts w:ascii="Arial" w:cs="Arial" w:eastAsia="Arial" w:hAnsi="Arial"/>
          <w:sz w:val="18"/>
          <w:szCs w:val="18"/>
          <w:color w:val="auto"/>
        </w:rPr>
        <w:t>footnote for interest rates related to the Term Loan Facility.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260"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were in compliance with all financial covenants under the Credit Agreement as of August 31, 2020. At August 31, 2020, we had additional borrowing capacity under the Credit Agreement of $396.2 million under the most restrictive covenant in effect at the time, which represents the full amount of the Revolving Credit Facility less the outstanding letters of credit of $3.8 million issued under the Revolving Credit Facility. As of August 31, 2020, we had outstanding letters of credit totaling $8.1 million, primarily for securing collateral requirements under our casualty insurance programs and for providing credit support for our industrial revenue bond, including $3.8 million issued under the Revolving Credit Facility. 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ABL may issue debt securities under a registration statement on Form S-3 filed with the Securities and Exchange Commission that are fully and unconditionally guaranteed by Acuity Brands and ABL IP Holding LLC. The following tables present summarized financial information as of and during the fiscal year ended August 31, 2020 for Acuity Brands, ABL, and ABL IP Holding LLC on a combined basis after the elimination of all intercompany balances and transactions between the combined group as well as any investments in a non-guarantor (in millions):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Summarized Balance Sheet Information</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August 31, 2020</w:t>
            </w:r>
          </w:p>
        </w:tc>
      </w:tr>
      <w:tr>
        <w:trPr>
          <w:trHeight w:val="256"/>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2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1,152.6</w:t>
            </w:r>
          </w:p>
        </w:tc>
      </w:tr>
      <w:tr>
        <w:trPr>
          <w:trHeight w:val="260"/>
        </w:trPr>
        <w:tc>
          <w:tcPr>
            <w:tcW w:w="8440" w:type="dxa"/>
            <w:vAlign w:val="bottom"/>
            <w:gridSpan w:val="2"/>
          </w:tcPr>
          <w:p>
            <w:pPr>
              <w:ind w:left="40"/>
              <w:spacing w:after="0"/>
              <w:rPr>
                <w:sz w:val="20"/>
                <w:szCs w:val="20"/>
                <w:color w:val="auto"/>
              </w:rPr>
            </w:pPr>
            <w:r>
              <w:rPr>
                <w:rFonts w:ascii="Arial" w:cs="Arial" w:eastAsia="Arial" w:hAnsi="Arial"/>
                <w:sz w:val="16"/>
                <w:szCs w:val="16"/>
                <w:color w:val="auto"/>
              </w:rPr>
              <w:t>Current assets due from non-guarantor affiliates</w:t>
            </w:r>
          </w:p>
        </w:tc>
        <w:tc>
          <w:tcPr>
            <w:tcW w:w="780" w:type="dxa"/>
            <w:vAlign w:val="bottom"/>
          </w:tcPr>
          <w:p>
            <w:pPr>
              <w:spacing w:after="0"/>
              <w:rPr>
                <w:sz w:val="22"/>
                <w:szCs w:val="22"/>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183.3</w:t>
            </w:r>
          </w:p>
        </w:tc>
      </w:tr>
      <w:tr>
        <w:trPr>
          <w:trHeight w:val="280"/>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Non-current assets</w:t>
            </w:r>
          </w:p>
        </w:tc>
        <w:tc>
          <w:tcPr>
            <w:tcW w:w="78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1,416.0</w:t>
            </w:r>
          </w:p>
        </w:tc>
      </w:tr>
      <w:tr>
        <w:trPr>
          <w:trHeight w:val="260"/>
        </w:trPr>
        <w:tc>
          <w:tcPr>
            <w:tcW w:w="844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780" w:type="dxa"/>
            <w:vAlign w:val="bottom"/>
          </w:tcPr>
          <w:p>
            <w:pPr>
              <w:spacing w:after="0"/>
              <w:rPr>
                <w:sz w:val="22"/>
                <w:szCs w:val="22"/>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530.2</w:t>
            </w:r>
          </w:p>
        </w:tc>
      </w:tr>
      <w:tr>
        <w:trPr>
          <w:trHeight w:val="280"/>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78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723.8</w:t>
            </w: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Summarized Income Statement Information</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Year Ended August 31, 2020</w:t>
            </w:r>
          </w:p>
        </w:tc>
      </w:tr>
      <w:tr>
        <w:trPr>
          <w:trHeight w:val="257"/>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2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2,841.1</w:t>
            </w:r>
          </w:p>
        </w:tc>
      </w:tr>
      <w:tr>
        <w:trPr>
          <w:trHeight w:val="260"/>
        </w:trPr>
        <w:tc>
          <w:tcPr>
            <w:tcW w:w="8440" w:type="dxa"/>
            <w:vAlign w:val="bottom"/>
            <w:gridSpan w:val="2"/>
          </w:tcPr>
          <w:p>
            <w:pPr>
              <w:ind w:left="4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22"/>
                <w:szCs w:val="22"/>
                <w:color w:val="auto"/>
              </w:rPr>
            </w:pPr>
          </w:p>
        </w:tc>
        <w:tc>
          <w:tcPr>
            <w:tcW w:w="2480" w:type="dxa"/>
            <w:vAlign w:val="bottom"/>
          </w:tcPr>
          <w:p>
            <w:pPr>
              <w:jc w:val="right"/>
              <w:ind w:right="19"/>
              <w:spacing w:after="0"/>
              <w:rPr>
                <w:sz w:val="20"/>
                <w:szCs w:val="20"/>
                <w:color w:val="auto"/>
              </w:rPr>
            </w:pPr>
            <w:r>
              <w:rPr>
                <w:rFonts w:ascii="Arial" w:cs="Arial" w:eastAsia="Arial" w:hAnsi="Arial"/>
                <w:sz w:val="16"/>
                <w:szCs w:val="16"/>
                <w:color w:val="auto"/>
              </w:rPr>
              <w:t>1,186.1</w:t>
            </w:r>
          </w:p>
        </w:tc>
      </w:tr>
      <w:tr>
        <w:trPr>
          <w:trHeight w:val="280"/>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Equity earnings of non-guarantor subsidiaries</w:t>
            </w:r>
          </w:p>
        </w:tc>
        <w:tc>
          <w:tcPr>
            <w:tcW w:w="320" w:type="dxa"/>
            <w:vAlign w:val="bottom"/>
            <w:shd w:val="clear" w:color="auto" w:fill="CCEEFF"/>
          </w:tcPr>
          <w:p>
            <w:pPr>
              <w:spacing w:after="0"/>
              <w:rPr>
                <w:sz w:val="24"/>
                <w:szCs w:val="24"/>
                <w:color w:val="auto"/>
              </w:rPr>
            </w:pPr>
          </w:p>
        </w:tc>
        <w:tc>
          <w:tcPr>
            <w:tcW w:w="2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r>
      <w:tr>
        <w:trPr>
          <w:trHeight w:val="250"/>
        </w:trPr>
        <w:tc>
          <w:tcPr>
            <w:tcW w:w="84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spacing w:after="0"/>
              <w:rPr>
                <w:sz w:val="21"/>
                <w:szCs w:val="21"/>
                <w:color w:val="auto"/>
              </w:rPr>
            </w:pPr>
          </w:p>
        </w:tc>
        <w:tc>
          <w:tcPr>
            <w:tcW w:w="2480" w:type="dxa"/>
            <w:vAlign w:val="bottom"/>
          </w:tcPr>
          <w:p>
            <w:pPr>
              <w:jc w:val="right"/>
              <w:ind w:right="19"/>
              <w:spacing w:after="0"/>
              <w:rPr>
                <w:sz w:val="20"/>
                <w:szCs w:val="20"/>
                <w:color w:val="auto"/>
              </w:rPr>
            </w:pPr>
            <w:r>
              <w:rPr>
                <w:rFonts w:ascii="Arial" w:cs="Arial" w:eastAsia="Arial" w:hAnsi="Arial"/>
                <w:sz w:val="16"/>
                <w:szCs w:val="16"/>
                <w:color w:val="auto"/>
              </w:rPr>
              <w:t>248.3</w:t>
            </w:r>
          </w:p>
        </w:tc>
      </w:tr>
    </w:tbl>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fiscal 2020, our consolidated stockholders’ equity increased $208.6 million to $2.13 billion at August 31, 2020 from $1.92 billion at August 31, 2019. The increase was due primarily to net income earned in the period as well as favorable foreign currency translation and pension plan adjustments, partially offset by share repurchases and dividend payments. Our debt to total capitalization ratio (calculated by dividing total debt by the sum of total debt and total stockholders’ equity) was 15.9% and 15.7% at August 31, 2020 and 2019, respectively. The ratio of debt, net of cash, to total capitalization, net of cash, was (8.1)% and (5.8)% at August 31, 2020 and 2019,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paid dividends on our common stock of $20.8 million ($0.52 per share) in fiscal 2020 and fiscal 2019, indicating a quarterly dividend rate of $0.13 per share. All decisions regarding the declaration and payment of dividends are at the discretion of the Board and are evaluated regularly in light of our financial condition, earnings, growth prospects, funding requirements, applicable law, and any other factors the Board deems relevant.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260"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following is a discussion of our results of operations in fiscal 2020 compared to fiscal 2019. A discussion of our fiscal 2019 results of operations compared to fiscal 2018 can be found within </w:t>
      </w:r>
      <w:r>
        <w:rPr>
          <w:rFonts w:ascii="Arial" w:cs="Arial" w:eastAsia="Arial" w:hAnsi="Arial"/>
          <w:sz w:val="18"/>
          <w:szCs w:val="18"/>
          <w:i w:val="1"/>
          <w:iCs w:val="1"/>
          <w:color w:val="auto"/>
        </w:rPr>
        <w:t>Part II, Item 7. Management's Discussion and Analysis</w:t>
      </w:r>
      <w:r>
        <w:rPr>
          <w:rFonts w:ascii="Arial" w:cs="Arial" w:eastAsia="Arial" w:hAnsi="Arial"/>
          <w:sz w:val="18"/>
          <w:szCs w:val="18"/>
          <w:color w:val="auto"/>
        </w:rPr>
        <w:t xml:space="preserve"> within our fiscal 2019 Annual Report on Form 10-K filed with the Securities and Exchange Commission on October 29, 2019.</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table sets forth information comparing the components of net income for the year ended August 31, 2020 with the year ended August 31, 2019 (in millions except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80" w:type="dxa"/>
            <w:vAlign w:val="bottom"/>
            <w:gridSpan w:val="5"/>
          </w:tcPr>
          <w:p>
            <w:pPr>
              <w:ind w:left="180"/>
              <w:spacing w:after="0"/>
              <w:rPr>
                <w:sz w:val="20"/>
                <w:szCs w:val="20"/>
                <w:color w:val="auto"/>
              </w:rPr>
            </w:pPr>
            <w:r>
              <w:rPr>
                <w:rFonts w:ascii="Arial" w:cs="Arial" w:eastAsia="Arial" w:hAnsi="Arial"/>
                <w:sz w:val="16"/>
                <w:szCs w:val="16"/>
                <w:b w:val="1"/>
                <w:bCs w:val="1"/>
                <w:color w:val="auto"/>
              </w:rPr>
              <w:t>Year Ended August 31,</w:t>
            </w:r>
          </w:p>
        </w:tc>
        <w:tc>
          <w:tcPr>
            <w:tcW w:w="160" w:type="dxa"/>
            <w:vAlign w:val="bottom"/>
          </w:tcPr>
          <w:p>
            <w:pPr>
              <w:spacing w:after="0"/>
              <w:rPr>
                <w:sz w:val="19"/>
                <w:szCs w:val="19"/>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Increase</w:t>
            </w:r>
          </w:p>
        </w:tc>
        <w:tc>
          <w:tcPr>
            <w:tcW w:w="440" w:type="dxa"/>
            <w:vAlign w:val="bottom"/>
          </w:tcPr>
          <w:p>
            <w:pPr>
              <w:spacing w:after="0"/>
              <w:rPr>
                <w:sz w:val="19"/>
                <w:szCs w:val="19"/>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b w:val="1"/>
                <w:bCs w:val="1"/>
                <w:color w:val="auto"/>
              </w:rPr>
              <w:t>Percent</w:t>
            </w:r>
          </w:p>
        </w:tc>
      </w:tr>
      <w:tr>
        <w:trPr>
          <w:trHeight w:val="263"/>
        </w:trPr>
        <w:tc>
          <w:tcPr>
            <w:tcW w:w="54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(Decrease)</w:t>
            </w:r>
          </w:p>
        </w:tc>
        <w:tc>
          <w:tcPr>
            <w:tcW w:w="4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57"/>
        </w:trPr>
        <w:tc>
          <w:tcPr>
            <w:tcW w:w="5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3,326.3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3,672.7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(346.4)</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63"/>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products sold</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1,923.9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2,193.0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(269.1)</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(12.3)%</w:t>
            </w:r>
          </w:p>
        </w:tc>
      </w:tr>
      <w:tr>
        <w:trPr>
          <w:trHeight w:val="257"/>
        </w:trPr>
        <w:tc>
          <w:tcPr>
            <w:tcW w:w="5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1,402.4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1,479.7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60"/>
        </w:trPr>
        <w:tc>
          <w:tcPr>
            <w:tcW w:w="544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42.2%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40.3%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i w:val="1"/>
                <w:iCs w:val="1"/>
                <w:color w:val="auto"/>
              </w:rPr>
              <w:t>190</w:t>
            </w:r>
          </w:p>
        </w:tc>
        <w:tc>
          <w:tcPr>
            <w:tcW w:w="1780" w:type="dxa"/>
            <w:vAlign w:val="bottom"/>
            <w:gridSpan w:val="2"/>
          </w:tcPr>
          <w:p>
            <w:pPr>
              <w:jc w:val="right"/>
              <w:ind w:right="1419"/>
              <w:spacing w:after="0"/>
              <w:rPr>
                <w:sz w:val="20"/>
                <w:szCs w:val="20"/>
                <w:color w:val="auto"/>
              </w:rPr>
            </w:pPr>
            <w:r>
              <w:rPr>
                <w:rFonts w:ascii="Arial" w:cs="Arial" w:eastAsia="Arial" w:hAnsi="Arial"/>
                <w:sz w:val="16"/>
                <w:szCs w:val="16"/>
                <w:i w:val="1"/>
                <w:iCs w:val="1"/>
                <w:color w:val="auto"/>
              </w:rPr>
              <w:t>bps</w:t>
            </w:r>
          </w:p>
        </w:tc>
      </w:tr>
      <w:tr>
        <w:trPr>
          <w:trHeight w:val="280"/>
        </w:trPr>
        <w:tc>
          <w:tcPr>
            <w:tcW w:w="5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1,028.5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1,015.0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63"/>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Special charges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w:t>
            </w:r>
          </w:p>
        </w:tc>
        <w:tc>
          <w:tcPr>
            <w:tcW w:w="4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NM</w:t>
            </w:r>
          </w:p>
        </w:tc>
      </w:tr>
      <w:tr>
        <w:trPr>
          <w:trHeight w:val="256"/>
        </w:trPr>
        <w:tc>
          <w:tcPr>
            <w:tcW w:w="5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353.9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462.9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60"/>
        </w:trPr>
        <w:tc>
          <w:tcPr>
            <w:tcW w:w="544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10.6%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12.6%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(200)</w:t>
            </w:r>
          </w:p>
        </w:tc>
        <w:tc>
          <w:tcPr>
            <w:tcW w:w="1780" w:type="dxa"/>
            <w:vAlign w:val="bottom"/>
            <w:gridSpan w:val="2"/>
          </w:tcPr>
          <w:p>
            <w:pPr>
              <w:jc w:val="right"/>
              <w:ind w:right="1419"/>
              <w:spacing w:after="0"/>
              <w:rPr>
                <w:sz w:val="20"/>
                <w:szCs w:val="20"/>
                <w:color w:val="auto"/>
              </w:rPr>
            </w:pPr>
            <w:r>
              <w:rPr>
                <w:rFonts w:ascii="Arial" w:cs="Arial" w:eastAsia="Arial" w:hAnsi="Arial"/>
                <w:sz w:val="16"/>
                <w:szCs w:val="16"/>
                <w:i w:val="1"/>
                <w:iCs w:val="1"/>
                <w:color w:val="auto"/>
              </w:rPr>
              <w:t>bps</w:t>
            </w:r>
          </w:p>
        </w:tc>
      </w:tr>
      <w:tr>
        <w:trPr>
          <w:trHeight w:val="280"/>
        </w:trPr>
        <w:tc>
          <w:tcPr>
            <w:tcW w:w="5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0"/>
        </w:trPr>
        <w:tc>
          <w:tcPr>
            <w:tcW w:w="5440" w:type="dxa"/>
            <w:vAlign w:val="bottom"/>
          </w:tcPr>
          <w:p>
            <w:pPr>
              <w:ind w:left="38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22"/>
                <w:szCs w:val="22"/>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(30.0)%</w:t>
            </w:r>
          </w:p>
        </w:tc>
      </w:tr>
      <w:tr>
        <w:trPr>
          <w:trHeight w:val="273"/>
        </w:trPr>
        <w:tc>
          <w:tcPr>
            <w:tcW w:w="54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Miscellaneous expense, net</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4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r>
      <w:tr>
        <w:trPr>
          <w:trHeight w:val="250"/>
        </w:trPr>
        <w:tc>
          <w:tcPr>
            <w:tcW w:w="54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other expense</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(23.2)%</w:t>
            </w:r>
          </w:p>
        </w:tc>
      </w:tr>
      <w:tr>
        <w:trPr>
          <w:trHeight w:val="256"/>
        </w:trPr>
        <w:tc>
          <w:tcPr>
            <w:tcW w:w="5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324.7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424.9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(23.6)%</w:t>
            </w:r>
          </w:p>
        </w:tc>
      </w:tr>
      <w:tr>
        <w:trPr>
          <w:trHeight w:val="260"/>
        </w:trPr>
        <w:tc>
          <w:tcPr>
            <w:tcW w:w="544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9.8%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11.6%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(180)</w:t>
            </w:r>
          </w:p>
        </w:tc>
        <w:tc>
          <w:tcPr>
            <w:tcW w:w="1780" w:type="dxa"/>
            <w:vAlign w:val="bottom"/>
            <w:gridSpan w:val="2"/>
          </w:tcPr>
          <w:p>
            <w:pPr>
              <w:jc w:val="right"/>
              <w:ind w:right="1419"/>
              <w:spacing w:after="0"/>
              <w:rPr>
                <w:sz w:val="20"/>
                <w:szCs w:val="20"/>
                <w:color w:val="auto"/>
              </w:rPr>
            </w:pPr>
            <w:r>
              <w:rPr>
                <w:rFonts w:ascii="Arial" w:cs="Arial" w:eastAsia="Arial" w:hAnsi="Arial"/>
                <w:sz w:val="16"/>
                <w:szCs w:val="16"/>
                <w:i w:val="1"/>
                <w:iCs w:val="1"/>
                <w:color w:val="auto"/>
              </w:rPr>
              <w:t>bps</w:t>
            </w:r>
          </w:p>
        </w:tc>
      </w:tr>
      <w:tr>
        <w:trPr>
          <w:trHeight w:val="273"/>
        </w:trPr>
        <w:tc>
          <w:tcPr>
            <w:tcW w:w="5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76.4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94.5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(19.2)%</w:t>
            </w:r>
          </w:p>
        </w:tc>
      </w:tr>
      <w:tr>
        <w:trPr>
          <w:trHeight w:val="247"/>
        </w:trPr>
        <w:tc>
          <w:tcPr>
            <w:tcW w:w="5440" w:type="dxa"/>
            <w:vAlign w:val="bottom"/>
          </w:tcPr>
          <w:p>
            <w:pPr>
              <w:ind w:left="180"/>
              <w:spacing w:after="0"/>
              <w:rPr>
                <w:sz w:val="20"/>
                <w:szCs w:val="20"/>
                <w:color w:val="auto"/>
              </w:rPr>
            </w:pPr>
            <w:r>
              <w:rPr>
                <w:rFonts w:ascii="Arial" w:cs="Arial" w:eastAsia="Arial" w:hAnsi="Arial"/>
                <w:sz w:val="16"/>
                <w:szCs w:val="16"/>
                <w:i w:val="1"/>
                <w:iCs w:val="1"/>
                <w:color w:val="auto"/>
              </w:rPr>
              <w:t>Effective tax rate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23.5%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i w:val="1"/>
                <w:iCs w:val="1"/>
                <w:color w:val="auto"/>
              </w:rPr>
              <w:t>22.2%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330.4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64"/>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 earnings per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8.29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(24.4)%</w:t>
            </w:r>
          </w:p>
        </w:tc>
      </w:tr>
      <w:tr>
        <w:trPr>
          <w:trHeight w:val="254"/>
        </w:trPr>
        <w:tc>
          <w:tcPr>
            <w:tcW w:w="5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NM - not meaningful</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bl>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decreased $346.4 million, or 9.4%, to $ 3.33 billion for the year ended August 31, 2020 compared with $3.67 billion reported for the year ended August 31, 2019. For the year ended August 31, 2020, we reported net income of $248.3 million compared with $330.4 million for the year ended August 31, 2019, a decrease of $82.1 million, or 24.8%. For fiscal 2020, diluted earnings per share decreased 24.4% to $6.27 from $8.29 for the prior-year period.</w:t>
      </w:r>
    </w:p>
    <w:p>
      <w:pPr>
        <w:spacing w:after="0" w:line="10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 reconciles certain U.S. generally accepted accounting principles (“U.S. GAAP”) financial measures to the corresponding non-U.S. GAAP measures referred to in the discussion of our results of operations, which exclude the impact of acquisition-related items, certain manufacturing inefficiencies, amortization of acquired intangible assets, share-based payment expense, and special charges associated primarily with continued efforts to streamline the organization. Although the impacts of these items have been recognized in prior periods and could recur in future periods, management typically excludes these items during internal reviews of performance and uses these non-U.S. GAAP measures for baseline comparative operational analysis, decision making, and other activities. These non-U.S. GAAP financial measures, including adjusted gross profit and margin, adjusted selling, distribution, and administrative (“SD&amp;A”) expenses and adjusted SD&amp;A expenses as a percent of net sales, adjusted operating profit and margin, adjusted net income, and adjusted diluted earnings per share, are provided to enhance the user’s overall understanding of our current financial performance. Specifically, we believe these non-U.S. GAAP measures provide greater comparability and enhanced visibility into our results of operations. The non-U.S. GAAP financial measures should be considered in addition to, and not as a substitute for or superior to, results prepared in accordance with U.S. GAAP.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260"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4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2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August 31,</w:t>
            </w:r>
          </w:p>
        </w:tc>
        <w:tc>
          <w:tcPr>
            <w:tcW w:w="70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62"/>
        </w:trPr>
        <w:tc>
          <w:tcPr>
            <w:tcW w:w="4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248"/>
              <w:spacing w:after="0"/>
              <w:rPr>
                <w:sz w:val="20"/>
                <w:szCs w:val="20"/>
                <w:color w:val="auto"/>
              </w:rPr>
            </w:pPr>
            <w:r>
              <w:rPr>
                <w:rFonts w:ascii="Arial" w:cs="Arial" w:eastAsia="Arial" w:hAnsi="Arial"/>
                <w:sz w:val="14"/>
                <w:szCs w:val="14"/>
                <w:b w:val="1"/>
                <w:bCs w:val="1"/>
                <w:color w:val="auto"/>
              </w:rPr>
              <w:t>Increase</w:t>
            </w:r>
          </w:p>
        </w:tc>
        <w:tc>
          <w:tcPr>
            <w:tcW w:w="1220" w:type="dxa"/>
            <w:vAlign w:val="bottom"/>
          </w:tcPr>
          <w:p>
            <w:pPr>
              <w:spacing w:after="0"/>
              <w:rPr>
                <w:sz w:val="14"/>
                <w:szCs w:val="14"/>
                <w:color w:val="auto"/>
              </w:rPr>
            </w:pPr>
          </w:p>
        </w:tc>
      </w:tr>
      <w:tr>
        <w:trPr>
          <w:trHeight w:val="196"/>
        </w:trPr>
        <w:tc>
          <w:tcPr>
            <w:tcW w:w="4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w w:val="96"/>
              </w:rPr>
              <w:t>2019</w:t>
            </w:r>
          </w:p>
        </w:tc>
        <w:tc>
          <w:tcPr>
            <w:tcW w:w="13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(Decrease)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 Change</w:t>
            </w:r>
          </w:p>
        </w:tc>
      </w:tr>
      <w:tr>
        <w:trPr>
          <w:trHeight w:val="256"/>
        </w:trPr>
        <w:tc>
          <w:tcPr>
            <w:tcW w:w="4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1,402.4</w:t>
            </w:r>
          </w:p>
        </w:tc>
        <w:tc>
          <w:tcPr>
            <w:tcW w:w="12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1,479.7</w:t>
            </w:r>
          </w:p>
        </w:tc>
        <w:tc>
          <w:tcPr>
            <w:tcW w:w="13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264"/>
        </w:trPr>
        <w:tc>
          <w:tcPr>
            <w:tcW w:w="4440" w:type="dxa"/>
            <w:vAlign w:val="bottom"/>
          </w:tcPr>
          <w:p>
            <w:pPr>
              <w:ind w:left="380"/>
              <w:spacing w:after="0"/>
              <w:rPr>
                <w:sz w:val="20"/>
                <w:szCs w:val="20"/>
                <w:color w:val="auto"/>
              </w:rPr>
            </w:pPr>
            <w:r>
              <w:rPr>
                <w:rFonts w:ascii="Arial" w:cs="Arial" w:eastAsia="Arial" w:hAnsi="Arial"/>
                <w:sz w:val="14"/>
                <w:szCs w:val="14"/>
                <w:i w:val="1"/>
                <w:iCs w:val="1"/>
                <w:color w:val="auto"/>
              </w:rPr>
              <w:t>Percent of net sales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42.2%</w:t>
            </w:r>
          </w:p>
        </w:tc>
        <w:tc>
          <w:tcPr>
            <w:tcW w:w="380" w:type="dxa"/>
            <w:vAlign w:val="bottom"/>
          </w:tcPr>
          <w:p>
            <w:pPr>
              <w:spacing w:after="0"/>
              <w:rPr>
                <w:sz w:val="22"/>
                <w:szCs w:val="22"/>
                <w:color w:val="auto"/>
              </w:rPr>
            </w:pPr>
          </w:p>
        </w:tc>
        <w:tc>
          <w:tcPr>
            <w:tcW w:w="206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40.3%</w:t>
            </w:r>
          </w:p>
        </w:tc>
        <w:tc>
          <w:tcPr>
            <w:tcW w:w="2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i w:val="1"/>
                <w:iCs w:val="1"/>
                <w:color w:val="auto"/>
              </w:rPr>
              <w:t>190</w:t>
            </w:r>
          </w:p>
        </w:tc>
        <w:tc>
          <w:tcPr>
            <w:tcW w:w="1220" w:type="dxa"/>
            <w:vAlign w:val="bottom"/>
          </w:tcPr>
          <w:p>
            <w:pPr>
              <w:jc w:val="right"/>
              <w:ind w:right="728"/>
              <w:spacing w:after="0"/>
              <w:rPr>
                <w:sz w:val="20"/>
                <w:szCs w:val="20"/>
                <w:color w:val="auto"/>
              </w:rPr>
            </w:pPr>
            <w:r>
              <w:rPr>
                <w:rFonts w:ascii="Arial" w:cs="Arial" w:eastAsia="Arial" w:hAnsi="Arial"/>
                <w:sz w:val="14"/>
                <w:szCs w:val="14"/>
                <w:i w:val="1"/>
                <w:iCs w:val="1"/>
                <w:color w:val="auto"/>
              </w:rPr>
              <w:t>bps</w:t>
            </w:r>
          </w:p>
        </w:tc>
      </w:tr>
      <w:tr>
        <w:trPr>
          <w:trHeight w:val="276"/>
        </w:trPr>
        <w:tc>
          <w:tcPr>
            <w:tcW w:w="4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Add-back: Manufacturing inefficiencies </w:t>
            </w:r>
            <w:r>
              <w:rPr>
                <w:rFonts w:ascii="Arial" w:cs="Arial" w:eastAsia="Arial" w:hAnsi="Arial"/>
                <w:sz w:val="17"/>
                <w:szCs w:val="17"/>
                <w:color w:val="auto"/>
                <w:vertAlign w:val="superscript"/>
              </w:rPr>
              <w:t>(1)</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1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70"/>
        </w:trPr>
        <w:tc>
          <w:tcPr>
            <w:tcW w:w="4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17"/>
                <w:szCs w:val="17"/>
                <w:color w:val="auto"/>
                <w:vertAlign w:val="superscript"/>
              </w:rPr>
              <w:t>(2)</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84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36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r>
      <w:tr>
        <w:trPr>
          <w:trHeight w:val="237"/>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gross profit</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1,403.6</w:t>
            </w:r>
          </w:p>
        </w:tc>
        <w:tc>
          <w:tcPr>
            <w:tcW w:w="8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1,481.8</w:t>
            </w:r>
          </w:p>
        </w:tc>
        <w:tc>
          <w:tcPr>
            <w:tcW w:w="13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20"/>
        </w:trPr>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44"/>
        </w:trPr>
        <w:tc>
          <w:tcPr>
            <w:tcW w:w="4440" w:type="dxa"/>
            <w:vAlign w:val="bottom"/>
          </w:tcPr>
          <w:p>
            <w:pPr>
              <w:ind w:left="380"/>
              <w:spacing w:after="0"/>
              <w:rPr>
                <w:sz w:val="20"/>
                <w:szCs w:val="20"/>
                <w:color w:val="auto"/>
              </w:rPr>
            </w:pPr>
            <w:r>
              <w:rPr>
                <w:rFonts w:ascii="Arial" w:cs="Arial" w:eastAsia="Arial" w:hAnsi="Arial"/>
                <w:sz w:val="14"/>
                <w:szCs w:val="14"/>
                <w:i w:val="1"/>
                <w:iCs w:val="1"/>
                <w:color w:val="auto"/>
              </w:rPr>
              <w:t>Percent of net sales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42.2%</w:t>
            </w:r>
          </w:p>
        </w:tc>
        <w:tc>
          <w:tcPr>
            <w:tcW w:w="380" w:type="dxa"/>
            <w:vAlign w:val="bottom"/>
          </w:tcPr>
          <w:p>
            <w:pPr>
              <w:spacing w:after="0"/>
              <w:rPr>
                <w:sz w:val="21"/>
                <w:szCs w:val="21"/>
                <w:color w:val="auto"/>
              </w:rPr>
            </w:pPr>
          </w:p>
        </w:tc>
        <w:tc>
          <w:tcPr>
            <w:tcW w:w="206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40.3%</w:t>
            </w:r>
          </w:p>
        </w:tc>
        <w:tc>
          <w:tcPr>
            <w:tcW w:w="240" w:type="dxa"/>
            <w:vAlign w:val="bottom"/>
          </w:tcPr>
          <w:p>
            <w:pPr>
              <w:spacing w:after="0"/>
              <w:rPr>
                <w:sz w:val="21"/>
                <w:szCs w:val="21"/>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i w:val="1"/>
                <w:iCs w:val="1"/>
                <w:color w:val="auto"/>
              </w:rPr>
              <w:t>190</w:t>
            </w:r>
          </w:p>
        </w:tc>
        <w:tc>
          <w:tcPr>
            <w:tcW w:w="1220" w:type="dxa"/>
            <w:vAlign w:val="bottom"/>
          </w:tcPr>
          <w:p>
            <w:pPr>
              <w:ind w:left="40"/>
              <w:spacing w:after="0"/>
              <w:rPr>
                <w:sz w:val="20"/>
                <w:szCs w:val="20"/>
                <w:color w:val="auto"/>
              </w:rPr>
            </w:pPr>
            <w:r>
              <w:rPr>
                <w:rFonts w:ascii="Arial" w:cs="Arial" w:eastAsia="Arial" w:hAnsi="Arial"/>
                <w:sz w:val="14"/>
                <w:szCs w:val="14"/>
                <w:i w:val="1"/>
                <w:iCs w:val="1"/>
                <w:color w:val="auto"/>
              </w:rPr>
              <w:t>bps</w:t>
            </w:r>
          </w:p>
        </w:tc>
      </w:tr>
      <w:tr>
        <w:trPr>
          <w:trHeight w:val="303"/>
        </w:trPr>
        <w:tc>
          <w:tcPr>
            <w:tcW w:w="44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4440" w:type="dxa"/>
            <w:vAlign w:val="bottom"/>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1,028.5</w:t>
            </w:r>
          </w:p>
        </w:tc>
        <w:tc>
          <w:tcPr>
            <w:tcW w:w="12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1,015.0</w:t>
            </w:r>
          </w:p>
        </w:tc>
        <w:tc>
          <w:tcPr>
            <w:tcW w:w="13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13.5</w:t>
            </w:r>
          </w:p>
        </w:tc>
        <w:tc>
          <w:tcPr>
            <w:tcW w:w="1220" w:type="dxa"/>
            <w:vAlign w:val="bottom"/>
          </w:tcPr>
          <w:p>
            <w:pPr>
              <w:jc w:val="right"/>
              <w:spacing w:after="0"/>
              <w:rPr>
                <w:sz w:val="20"/>
                <w:szCs w:val="20"/>
                <w:color w:val="auto"/>
              </w:rPr>
            </w:pPr>
            <w:r>
              <w:rPr>
                <w:rFonts w:ascii="Arial" w:cs="Arial" w:eastAsia="Arial" w:hAnsi="Arial"/>
                <w:sz w:val="14"/>
                <w:szCs w:val="14"/>
                <w:color w:val="auto"/>
              </w:rPr>
              <w:t>1.3 %</w:t>
            </w:r>
          </w:p>
        </w:tc>
      </w:tr>
      <w:tr>
        <w:trPr>
          <w:trHeight w:val="276"/>
        </w:trPr>
        <w:tc>
          <w:tcPr>
            <w:tcW w:w="4440" w:type="dxa"/>
            <w:vAlign w:val="bottom"/>
            <w:shd w:val="clear" w:color="auto" w:fill="CCEEFF"/>
          </w:tcPr>
          <w:p>
            <w:pPr>
              <w:ind w:left="380"/>
              <w:spacing w:after="0"/>
              <w:rPr>
                <w:sz w:val="20"/>
                <w:szCs w:val="20"/>
                <w:color w:val="auto"/>
              </w:rPr>
            </w:pPr>
            <w:r>
              <w:rPr>
                <w:rFonts w:ascii="Arial" w:cs="Arial" w:eastAsia="Arial" w:hAnsi="Arial"/>
                <w:sz w:val="14"/>
                <w:szCs w:val="14"/>
                <w:i w:val="1"/>
                <w:iCs w:val="1"/>
                <w:color w:val="auto"/>
              </w:rPr>
              <w:t>Percent of net sales</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30.9%</w:t>
            </w:r>
          </w:p>
        </w:tc>
        <w:tc>
          <w:tcPr>
            <w:tcW w:w="380" w:type="dxa"/>
            <w:vAlign w:val="bottom"/>
            <w:shd w:val="clear" w:color="auto" w:fill="CCEEFF"/>
          </w:tcPr>
          <w:p>
            <w:pPr>
              <w:spacing w:after="0"/>
              <w:rPr>
                <w:sz w:val="24"/>
                <w:szCs w:val="24"/>
                <w:color w:val="auto"/>
              </w:rPr>
            </w:pPr>
          </w:p>
        </w:tc>
        <w:tc>
          <w:tcPr>
            <w:tcW w:w="2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i w:val="1"/>
                <w:iCs w:val="1"/>
                <w:color w:val="auto"/>
              </w:rPr>
              <w:t>27.6%</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i w:val="1"/>
                <w:iCs w:val="1"/>
                <w:color w:val="auto"/>
              </w:rPr>
              <w:t>330</w:t>
            </w:r>
          </w:p>
        </w:tc>
        <w:tc>
          <w:tcPr>
            <w:tcW w:w="1220" w:type="dxa"/>
            <w:vAlign w:val="bottom"/>
            <w:shd w:val="clear" w:color="auto" w:fill="CCEEFF"/>
          </w:tcPr>
          <w:p>
            <w:pPr>
              <w:jc w:val="right"/>
              <w:ind w:right="728"/>
              <w:spacing w:after="0"/>
              <w:rPr>
                <w:sz w:val="20"/>
                <w:szCs w:val="20"/>
                <w:color w:val="auto"/>
              </w:rPr>
            </w:pPr>
            <w:r>
              <w:rPr>
                <w:rFonts w:ascii="Arial" w:cs="Arial" w:eastAsia="Arial" w:hAnsi="Arial"/>
                <w:sz w:val="14"/>
                <w:szCs w:val="14"/>
                <w:i w:val="1"/>
                <w:iCs w:val="1"/>
                <w:color w:val="auto"/>
              </w:rPr>
              <w:t>bps</w:t>
            </w:r>
          </w:p>
        </w:tc>
      </w:tr>
      <w:tr>
        <w:trPr>
          <w:trHeight w:val="264"/>
        </w:trPr>
        <w:tc>
          <w:tcPr>
            <w:tcW w:w="4440" w:type="dxa"/>
            <w:vAlign w:val="bottom"/>
          </w:tcPr>
          <w:p>
            <w:pPr>
              <w:ind w:left="180"/>
              <w:spacing w:after="0"/>
              <w:rPr>
                <w:sz w:val="20"/>
                <w:szCs w:val="20"/>
                <w:color w:val="auto"/>
              </w:rPr>
            </w:pPr>
            <w:r>
              <w:rPr>
                <w:rFonts w:ascii="Arial" w:cs="Arial" w:eastAsia="Arial" w:hAnsi="Arial"/>
                <w:sz w:val="14"/>
                <w:szCs w:val="14"/>
                <w:color w:val="auto"/>
              </w:rPr>
              <w:t>Less: Amortization of acquired intangible assets</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(41.7)</w:t>
            </w: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(30.8)</w:t>
            </w:r>
          </w:p>
        </w:tc>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4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Share-based payment expense</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8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70"/>
        </w:trPr>
        <w:tc>
          <w:tcPr>
            <w:tcW w:w="4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 xml:space="preserve">Less: Acquisition-related items </w:t>
            </w:r>
            <w:r>
              <w:rPr>
                <w:rFonts w:ascii="Arial" w:cs="Arial" w:eastAsia="Arial" w:hAnsi="Arial"/>
                <w:sz w:val="17"/>
                <w:szCs w:val="17"/>
                <w:color w:val="auto"/>
                <w:vertAlign w:val="superscript"/>
              </w:rPr>
              <w:t>(2)</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84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36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r>
      <w:tr>
        <w:trPr>
          <w:trHeight w:val="237"/>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selling, distribution, and administrative expenses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947.3</w:t>
            </w:r>
          </w:p>
        </w:tc>
        <w:tc>
          <w:tcPr>
            <w:tcW w:w="8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953.7</w:t>
            </w:r>
          </w:p>
        </w:tc>
        <w:tc>
          <w:tcPr>
            <w:tcW w:w="13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(0.7)%</w:t>
            </w:r>
          </w:p>
        </w:tc>
      </w:tr>
      <w:tr>
        <w:trPr>
          <w:trHeight w:val="20"/>
        </w:trPr>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44"/>
        </w:trPr>
        <w:tc>
          <w:tcPr>
            <w:tcW w:w="4440" w:type="dxa"/>
            <w:vAlign w:val="bottom"/>
          </w:tcPr>
          <w:p>
            <w:pPr>
              <w:ind w:left="380"/>
              <w:spacing w:after="0"/>
              <w:rPr>
                <w:sz w:val="20"/>
                <w:szCs w:val="20"/>
                <w:color w:val="auto"/>
              </w:rPr>
            </w:pPr>
            <w:r>
              <w:rPr>
                <w:rFonts w:ascii="Arial" w:cs="Arial" w:eastAsia="Arial" w:hAnsi="Arial"/>
                <w:sz w:val="14"/>
                <w:szCs w:val="14"/>
                <w:i w:val="1"/>
                <w:iCs w:val="1"/>
                <w:color w:val="auto"/>
              </w:rPr>
              <w:t>Percent of net sales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28.5%</w:t>
            </w:r>
          </w:p>
        </w:tc>
        <w:tc>
          <w:tcPr>
            <w:tcW w:w="380" w:type="dxa"/>
            <w:vAlign w:val="bottom"/>
          </w:tcPr>
          <w:p>
            <w:pPr>
              <w:spacing w:after="0"/>
              <w:rPr>
                <w:sz w:val="21"/>
                <w:szCs w:val="21"/>
                <w:color w:val="auto"/>
              </w:rPr>
            </w:pPr>
          </w:p>
        </w:tc>
        <w:tc>
          <w:tcPr>
            <w:tcW w:w="206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26.0%</w:t>
            </w:r>
          </w:p>
        </w:tc>
        <w:tc>
          <w:tcPr>
            <w:tcW w:w="240" w:type="dxa"/>
            <w:vAlign w:val="bottom"/>
          </w:tcPr>
          <w:p>
            <w:pPr>
              <w:spacing w:after="0"/>
              <w:rPr>
                <w:sz w:val="21"/>
                <w:szCs w:val="21"/>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i w:val="1"/>
                <w:iCs w:val="1"/>
                <w:color w:val="auto"/>
              </w:rPr>
              <w:t>250</w:t>
            </w:r>
          </w:p>
        </w:tc>
        <w:tc>
          <w:tcPr>
            <w:tcW w:w="1220" w:type="dxa"/>
            <w:vAlign w:val="bottom"/>
          </w:tcPr>
          <w:p>
            <w:pPr>
              <w:jc w:val="right"/>
              <w:ind w:right="728"/>
              <w:spacing w:after="0"/>
              <w:rPr>
                <w:sz w:val="20"/>
                <w:szCs w:val="20"/>
                <w:color w:val="auto"/>
              </w:rPr>
            </w:pPr>
            <w:r>
              <w:rPr>
                <w:rFonts w:ascii="Arial" w:cs="Arial" w:eastAsia="Arial" w:hAnsi="Arial"/>
                <w:sz w:val="14"/>
                <w:szCs w:val="14"/>
                <w:i w:val="1"/>
                <w:iCs w:val="1"/>
                <w:color w:val="auto"/>
              </w:rPr>
              <w:t>bps</w:t>
            </w:r>
          </w:p>
        </w:tc>
      </w:tr>
      <w:tr>
        <w:trPr>
          <w:trHeight w:val="303"/>
        </w:trPr>
        <w:tc>
          <w:tcPr>
            <w:tcW w:w="44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444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353.9</w:t>
            </w:r>
          </w:p>
        </w:tc>
        <w:tc>
          <w:tcPr>
            <w:tcW w:w="12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462.9</w:t>
            </w:r>
          </w:p>
        </w:tc>
        <w:tc>
          <w:tcPr>
            <w:tcW w:w="13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(109.0)</w:t>
            </w:r>
          </w:p>
        </w:tc>
        <w:tc>
          <w:tcPr>
            <w:tcW w:w="1220" w:type="dxa"/>
            <w:vAlign w:val="bottom"/>
          </w:tcPr>
          <w:p>
            <w:pPr>
              <w:jc w:val="right"/>
              <w:spacing w:after="0"/>
              <w:rPr>
                <w:sz w:val="20"/>
                <w:szCs w:val="20"/>
                <w:color w:val="auto"/>
              </w:rPr>
            </w:pPr>
            <w:r>
              <w:rPr>
                <w:rFonts w:ascii="Arial" w:cs="Arial" w:eastAsia="Arial" w:hAnsi="Arial"/>
                <w:sz w:val="14"/>
                <w:szCs w:val="14"/>
                <w:color w:val="auto"/>
              </w:rPr>
              <w:t>(23.5)%</w:t>
            </w:r>
          </w:p>
        </w:tc>
      </w:tr>
      <w:tr>
        <w:trPr>
          <w:trHeight w:val="276"/>
        </w:trPr>
        <w:tc>
          <w:tcPr>
            <w:tcW w:w="4440" w:type="dxa"/>
            <w:vAlign w:val="bottom"/>
            <w:shd w:val="clear" w:color="auto" w:fill="CCEEFF"/>
          </w:tcPr>
          <w:p>
            <w:pPr>
              <w:ind w:left="380"/>
              <w:spacing w:after="0"/>
              <w:rPr>
                <w:sz w:val="20"/>
                <w:szCs w:val="20"/>
                <w:color w:val="auto"/>
              </w:rPr>
            </w:pPr>
            <w:r>
              <w:rPr>
                <w:rFonts w:ascii="Arial" w:cs="Arial" w:eastAsia="Arial" w:hAnsi="Arial"/>
                <w:sz w:val="14"/>
                <w:szCs w:val="14"/>
                <w:i w:val="1"/>
                <w:iCs w:val="1"/>
                <w:color w:val="auto"/>
              </w:rPr>
              <w:t>Percent of net sales</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10.6%</w:t>
            </w:r>
          </w:p>
        </w:tc>
        <w:tc>
          <w:tcPr>
            <w:tcW w:w="380" w:type="dxa"/>
            <w:vAlign w:val="bottom"/>
            <w:shd w:val="clear" w:color="auto" w:fill="CCEEFF"/>
          </w:tcPr>
          <w:p>
            <w:pPr>
              <w:spacing w:after="0"/>
              <w:rPr>
                <w:sz w:val="24"/>
                <w:szCs w:val="24"/>
                <w:color w:val="auto"/>
              </w:rPr>
            </w:pPr>
          </w:p>
        </w:tc>
        <w:tc>
          <w:tcPr>
            <w:tcW w:w="2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i w:val="1"/>
                <w:iCs w:val="1"/>
                <w:color w:val="auto"/>
              </w:rPr>
              <w:t>12.6%</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(200)</w:t>
            </w:r>
          </w:p>
        </w:tc>
        <w:tc>
          <w:tcPr>
            <w:tcW w:w="1220" w:type="dxa"/>
            <w:vAlign w:val="bottom"/>
            <w:shd w:val="clear" w:color="auto" w:fill="CCEEFF"/>
          </w:tcPr>
          <w:p>
            <w:pPr>
              <w:jc w:val="right"/>
              <w:ind w:right="728"/>
              <w:spacing w:after="0"/>
              <w:rPr>
                <w:sz w:val="20"/>
                <w:szCs w:val="20"/>
                <w:color w:val="auto"/>
              </w:rPr>
            </w:pPr>
            <w:r>
              <w:rPr>
                <w:rFonts w:ascii="Arial" w:cs="Arial" w:eastAsia="Arial" w:hAnsi="Arial"/>
                <w:sz w:val="14"/>
                <w:szCs w:val="14"/>
                <w:i w:val="1"/>
                <w:iCs w:val="1"/>
                <w:color w:val="auto"/>
              </w:rPr>
              <w:t>bps</w:t>
            </w:r>
          </w:p>
        </w:tc>
      </w:tr>
      <w:tr>
        <w:trPr>
          <w:trHeight w:val="264"/>
        </w:trPr>
        <w:tc>
          <w:tcPr>
            <w:tcW w:w="4440" w:type="dxa"/>
            <w:vAlign w:val="bottom"/>
          </w:tcPr>
          <w:p>
            <w:pPr>
              <w:ind w:left="180"/>
              <w:spacing w:after="0"/>
              <w:rPr>
                <w:sz w:val="20"/>
                <w:szCs w:val="20"/>
                <w:color w:val="auto"/>
              </w:rPr>
            </w:pPr>
            <w:r>
              <w:rPr>
                <w:rFonts w:ascii="Arial" w:cs="Arial" w:eastAsia="Arial" w:hAnsi="Arial"/>
                <w:sz w:val="14"/>
                <w:szCs w:val="14"/>
                <w:color w:val="auto"/>
              </w:rPr>
              <w:t>Add-back: Amortization of acquired intangible assets</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41.7</w:t>
            </w: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30.8</w:t>
            </w:r>
          </w:p>
        </w:tc>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4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Add-back: Share-based payment expense</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w:t>
            </w:r>
          </w:p>
        </w:tc>
        <w:tc>
          <w:tcPr>
            <w:tcW w:w="8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w:t>
            </w:r>
          </w:p>
        </w:tc>
        <w:tc>
          <w:tcPr>
            <w:tcW w:w="1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70"/>
        </w:trPr>
        <w:tc>
          <w:tcPr>
            <w:tcW w:w="4440" w:type="dxa"/>
            <w:vAlign w:val="bottom"/>
          </w:tcPr>
          <w:p>
            <w:pPr>
              <w:ind w:left="180"/>
              <w:spacing w:after="0"/>
              <w:rPr>
                <w:sz w:val="20"/>
                <w:szCs w:val="20"/>
                <w:color w:val="auto"/>
              </w:rPr>
            </w:pPr>
            <w:r>
              <w:rPr>
                <w:rFonts w:ascii="Arial" w:cs="Arial" w:eastAsia="Arial" w:hAnsi="Arial"/>
                <w:sz w:val="14"/>
                <w:szCs w:val="14"/>
                <w:color w:val="auto"/>
              </w:rPr>
              <w:t xml:space="preserve">Add-back: Manufacturing inefficiencies </w:t>
            </w:r>
            <w:r>
              <w:rPr>
                <w:rFonts w:ascii="Arial" w:cs="Arial" w:eastAsia="Arial" w:hAnsi="Arial"/>
                <w:sz w:val="17"/>
                <w:szCs w:val="17"/>
                <w:color w:val="auto"/>
                <w:vertAlign w:val="superscript"/>
              </w:rPr>
              <w:t>(1)</w:t>
            </w:r>
          </w:p>
        </w:tc>
        <w:tc>
          <w:tcPr>
            <w:tcW w:w="24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0.9</w:t>
            </w:r>
          </w:p>
        </w:tc>
        <w:tc>
          <w:tcPr>
            <w:tcW w:w="1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4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17"/>
                <w:szCs w:val="17"/>
                <w:color w:val="auto"/>
                <w:vertAlign w:val="superscript"/>
              </w:rPr>
              <w:t>(2)</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8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3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4"/>
        </w:trPr>
        <w:tc>
          <w:tcPr>
            <w:tcW w:w="4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Add-back: Special charges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w:t>
            </w:r>
          </w:p>
        </w:tc>
        <w:tc>
          <w:tcPr>
            <w:tcW w:w="8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136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r>
      <w:tr>
        <w:trPr>
          <w:trHeight w:val="243"/>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operating profit</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456.3</w:t>
            </w: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528.1</w:t>
            </w: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20"/>
        </w:trPr>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45"/>
        </w:trPr>
        <w:tc>
          <w:tcPr>
            <w:tcW w:w="4440" w:type="dxa"/>
            <w:vAlign w:val="bottom"/>
          </w:tcPr>
          <w:p>
            <w:pPr>
              <w:ind w:left="380"/>
              <w:spacing w:after="0"/>
              <w:rPr>
                <w:sz w:val="20"/>
                <w:szCs w:val="20"/>
                <w:color w:val="auto"/>
              </w:rPr>
            </w:pPr>
            <w:r>
              <w:rPr>
                <w:rFonts w:ascii="Arial" w:cs="Arial" w:eastAsia="Arial" w:hAnsi="Arial"/>
                <w:sz w:val="14"/>
                <w:szCs w:val="14"/>
                <w:i w:val="1"/>
                <w:iCs w:val="1"/>
                <w:color w:val="auto"/>
              </w:rPr>
              <w:t>Percent of net sales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13.7%</w:t>
            </w:r>
          </w:p>
        </w:tc>
        <w:tc>
          <w:tcPr>
            <w:tcW w:w="380" w:type="dxa"/>
            <w:vAlign w:val="bottom"/>
          </w:tcPr>
          <w:p>
            <w:pPr>
              <w:spacing w:after="0"/>
              <w:rPr>
                <w:sz w:val="21"/>
                <w:szCs w:val="21"/>
                <w:color w:val="auto"/>
              </w:rPr>
            </w:pPr>
          </w:p>
        </w:tc>
        <w:tc>
          <w:tcPr>
            <w:tcW w:w="206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14.4%</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(70)</w:t>
            </w:r>
          </w:p>
        </w:tc>
        <w:tc>
          <w:tcPr>
            <w:tcW w:w="1220" w:type="dxa"/>
            <w:vAlign w:val="bottom"/>
          </w:tcPr>
          <w:p>
            <w:pPr>
              <w:ind w:left="40"/>
              <w:spacing w:after="0"/>
              <w:rPr>
                <w:sz w:val="20"/>
                <w:szCs w:val="20"/>
                <w:color w:val="auto"/>
              </w:rPr>
            </w:pPr>
            <w:r>
              <w:rPr>
                <w:rFonts w:ascii="Arial" w:cs="Arial" w:eastAsia="Arial" w:hAnsi="Arial"/>
                <w:sz w:val="14"/>
                <w:szCs w:val="14"/>
                <w:i w:val="1"/>
                <w:iCs w:val="1"/>
                <w:color w:val="auto"/>
              </w:rPr>
              <w:t>bps</w:t>
            </w:r>
          </w:p>
        </w:tc>
      </w:tr>
      <w:tr>
        <w:trPr>
          <w:trHeight w:val="303"/>
        </w:trPr>
        <w:tc>
          <w:tcPr>
            <w:tcW w:w="44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44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248.3</w:t>
            </w:r>
          </w:p>
        </w:tc>
        <w:tc>
          <w:tcPr>
            <w:tcW w:w="12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330.4</w:t>
            </w:r>
          </w:p>
        </w:tc>
        <w:tc>
          <w:tcPr>
            <w:tcW w:w="13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(82.1)</w:t>
            </w:r>
          </w:p>
        </w:tc>
        <w:tc>
          <w:tcPr>
            <w:tcW w:w="1220" w:type="dxa"/>
            <w:vAlign w:val="bottom"/>
          </w:tcPr>
          <w:p>
            <w:pPr>
              <w:jc w:val="right"/>
              <w:spacing w:after="0"/>
              <w:rPr>
                <w:sz w:val="20"/>
                <w:szCs w:val="20"/>
                <w:color w:val="auto"/>
              </w:rPr>
            </w:pPr>
            <w:r>
              <w:rPr>
                <w:rFonts w:ascii="Arial" w:cs="Arial" w:eastAsia="Arial" w:hAnsi="Arial"/>
                <w:sz w:val="14"/>
                <w:szCs w:val="14"/>
                <w:color w:val="auto"/>
              </w:rPr>
              <w:t>(24.8)%</w:t>
            </w:r>
          </w:p>
        </w:tc>
      </w:tr>
      <w:tr>
        <w:trPr>
          <w:trHeight w:val="276"/>
        </w:trPr>
        <w:tc>
          <w:tcPr>
            <w:tcW w:w="4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Add-back: Amortization of acquired intangible assets</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41.7</w:t>
            </w:r>
          </w:p>
        </w:tc>
        <w:tc>
          <w:tcPr>
            <w:tcW w:w="8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w:t>
            </w:r>
          </w:p>
        </w:tc>
        <w:tc>
          <w:tcPr>
            <w:tcW w:w="1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4440" w:type="dxa"/>
            <w:vAlign w:val="bottom"/>
          </w:tcPr>
          <w:p>
            <w:pPr>
              <w:ind w:left="180"/>
              <w:spacing w:after="0"/>
              <w:rPr>
                <w:sz w:val="20"/>
                <w:szCs w:val="20"/>
                <w:color w:val="auto"/>
              </w:rPr>
            </w:pPr>
            <w:r>
              <w:rPr>
                <w:rFonts w:ascii="Arial" w:cs="Arial" w:eastAsia="Arial" w:hAnsi="Arial"/>
                <w:sz w:val="14"/>
                <w:szCs w:val="14"/>
                <w:color w:val="auto"/>
              </w:rPr>
              <w:t>Add-back: Share-based payment expense</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38.2</w:t>
            </w: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29.2</w:t>
            </w:r>
          </w:p>
        </w:tc>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4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Add-back: Manufacturing inefficiencies </w:t>
            </w:r>
            <w:r>
              <w:rPr>
                <w:rFonts w:ascii="Arial" w:cs="Arial" w:eastAsia="Arial" w:hAnsi="Arial"/>
                <w:sz w:val="17"/>
                <w:szCs w:val="17"/>
                <w:color w:val="auto"/>
                <w:vertAlign w:val="superscript"/>
              </w:rPr>
              <w:t>(1)</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1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70"/>
        </w:trPr>
        <w:tc>
          <w:tcPr>
            <w:tcW w:w="4440" w:type="dxa"/>
            <w:vAlign w:val="bottom"/>
          </w:tcPr>
          <w:p>
            <w:pPr>
              <w:ind w:left="180"/>
              <w:spacing w:after="0"/>
              <w:rPr>
                <w:sz w:val="20"/>
                <w:szCs w:val="20"/>
                <w:color w:val="auto"/>
              </w:rPr>
            </w:pPr>
            <w:r>
              <w:rPr>
                <w:rFonts w:ascii="Arial" w:cs="Arial" w:eastAsia="Arial" w:hAnsi="Arial"/>
                <w:sz w:val="14"/>
                <w:szCs w:val="14"/>
                <w:color w:val="auto"/>
              </w:rPr>
              <w:t xml:space="preserve">Add-back: Acquisition-related items </w:t>
            </w:r>
            <w:r>
              <w:rPr>
                <w:rFonts w:ascii="Arial" w:cs="Arial" w:eastAsia="Arial" w:hAnsi="Arial"/>
                <w:sz w:val="17"/>
                <w:szCs w:val="17"/>
                <w:color w:val="auto"/>
                <w:vertAlign w:val="superscript"/>
              </w:rPr>
              <w:t>(2)</w:t>
            </w:r>
          </w:p>
        </w:tc>
        <w:tc>
          <w:tcPr>
            <w:tcW w:w="24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64"/>
        </w:trPr>
        <w:tc>
          <w:tcPr>
            <w:tcW w:w="4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Add-back: Special charges</w:t>
            </w: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c>
          <w:tcPr>
            <w:tcW w:w="84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0"/>
        </w:trPr>
        <w:tc>
          <w:tcPr>
            <w:tcW w:w="4440" w:type="dxa"/>
            <w:vAlign w:val="bottom"/>
          </w:tcPr>
          <w:p>
            <w:pPr>
              <w:ind w:left="280"/>
              <w:spacing w:after="0"/>
              <w:rPr>
                <w:sz w:val="20"/>
                <w:szCs w:val="20"/>
                <w:color w:val="auto"/>
              </w:rPr>
            </w:pPr>
            <w:r>
              <w:rPr>
                <w:rFonts w:ascii="Arial" w:cs="Arial" w:eastAsia="Arial" w:hAnsi="Arial"/>
                <w:sz w:val="14"/>
                <w:szCs w:val="14"/>
                <w:color w:val="auto"/>
              </w:rPr>
              <w:t>Total pre-tax adjustments to net income</w:t>
            </w:r>
          </w:p>
        </w:tc>
        <w:tc>
          <w:tcPr>
            <w:tcW w:w="24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102.4</w:t>
            </w: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65.2</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0"/>
        </w:trPr>
        <w:tc>
          <w:tcPr>
            <w:tcW w:w="4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 effect</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8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3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82"/>
        </w:trPr>
        <w:tc>
          <w:tcPr>
            <w:tcW w:w="4440" w:type="dxa"/>
            <w:vAlign w:val="bottom"/>
          </w:tcPr>
          <w:p>
            <w:pPr>
              <w:ind w:left="40"/>
              <w:spacing w:after="0"/>
              <w:rPr>
                <w:sz w:val="20"/>
                <w:szCs w:val="20"/>
                <w:color w:val="auto"/>
              </w:rPr>
            </w:pPr>
            <w:r>
              <w:rPr>
                <w:rFonts w:ascii="Arial" w:cs="Arial" w:eastAsia="Arial" w:hAnsi="Arial"/>
                <w:sz w:val="14"/>
                <w:szCs w:val="14"/>
                <w:color w:val="auto"/>
              </w:rPr>
              <w:t>Adjusted net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327.3</w:t>
            </w:r>
          </w:p>
        </w:tc>
        <w:tc>
          <w:tcPr>
            <w:tcW w:w="12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381.4</w:t>
            </w:r>
          </w:p>
        </w:tc>
        <w:tc>
          <w:tcPr>
            <w:tcW w:w="136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(54.1)</w:t>
            </w:r>
          </w:p>
        </w:tc>
        <w:tc>
          <w:tcPr>
            <w:tcW w:w="122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264"/>
        </w:trPr>
        <w:tc>
          <w:tcPr>
            <w:tcW w:w="444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CCEEFF"/>
            </w:tcBorders>
            <w:shd w:val="clear" w:color="auto" w:fill="CCEEFF"/>
          </w:tcPr>
          <w:p>
            <w:pPr>
              <w:spacing w:after="0"/>
              <w:rPr>
                <w:sz w:val="22"/>
                <w:szCs w:val="22"/>
                <w:color w:val="auto"/>
              </w:rPr>
            </w:pPr>
          </w:p>
        </w:tc>
      </w:tr>
      <w:tr>
        <w:trPr>
          <w:trHeight w:val="264"/>
        </w:trPr>
        <w:tc>
          <w:tcPr>
            <w:tcW w:w="4440" w:type="dxa"/>
            <w:vAlign w:val="bottom"/>
          </w:tcPr>
          <w:p>
            <w:pPr>
              <w:ind w:left="40"/>
              <w:spacing w:after="0"/>
              <w:rPr>
                <w:sz w:val="20"/>
                <w:szCs w:val="20"/>
                <w:color w:val="auto"/>
              </w:rPr>
            </w:pPr>
            <w:r>
              <w:rPr>
                <w:rFonts w:ascii="Arial" w:cs="Arial" w:eastAsia="Arial" w:hAnsi="Arial"/>
                <w:sz w:val="14"/>
                <w:szCs w:val="14"/>
                <w:color w:val="auto"/>
              </w:rPr>
              <w:t>Diluted earnings per share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6.27</w:t>
            </w:r>
          </w:p>
        </w:tc>
        <w:tc>
          <w:tcPr>
            <w:tcW w:w="12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8.29</w:t>
            </w:r>
          </w:p>
        </w:tc>
        <w:tc>
          <w:tcPr>
            <w:tcW w:w="136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(2.02)</w:t>
            </w:r>
          </w:p>
        </w:tc>
        <w:tc>
          <w:tcPr>
            <w:tcW w:w="1220" w:type="dxa"/>
            <w:vAlign w:val="bottom"/>
          </w:tcPr>
          <w:p>
            <w:pPr>
              <w:jc w:val="right"/>
              <w:spacing w:after="0"/>
              <w:rPr>
                <w:sz w:val="20"/>
                <w:szCs w:val="20"/>
                <w:color w:val="auto"/>
              </w:rPr>
            </w:pPr>
            <w:r>
              <w:rPr>
                <w:rFonts w:ascii="Arial" w:cs="Arial" w:eastAsia="Arial" w:hAnsi="Arial"/>
                <w:sz w:val="14"/>
                <w:szCs w:val="14"/>
                <w:color w:val="auto"/>
              </w:rPr>
              <w:t>(24.4)%</w:t>
            </w:r>
          </w:p>
        </w:tc>
      </w:tr>
      <w:tr>
        <w:trPr>
          <w:trHeight w:val="276"/>
        </w:trPr>
        <w:tc>
          <w:tcPr>
            <w:tcW w:w="4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diluted earnings per share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8.27</w:t>
            </w:r>
          </w:p>
        </w:tc>
        <w:tc>
          <w:tcPr>
            <w:tcW w:w="12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9.57</w:t>
            </w:r>
          </w:p>
        </w:tc>
        <w:tc>
          <w:tcPr>
            <w:tcW w:w="136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160"/>
        </w:trPr>
        <w:tc>
          <w:tcPr>
            <w:tcW w:w="4440" w:type="dxa"/>
            <w:vAlign w:val="bottom"/>
          </w:tcPr>
          <w:p>
            <w:pPr>
              <w:spacing w:after="0"/>
              <w:rPr>
                <w:sz w:val="20"/>
                <w:szCs w:val="20"/>
                <w:color w:val="auto"/>
              </w:rPr>
            </w:pPr>
            <w:r>
              <w:rPr>
                <w:rFonts w:ascii="Arial" w:cs="Arial" w:eastAsia="Arial" w:hAnsi="Arial"/>
                <w:sz w:val="13"/>
                <w:szCs w:val="13"/>
                <w:color w:val="auto"/>
              </w:rPr>
              <w:t>______________________________</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20" w:type="dxa"/>
            <w:vAlign w:val="bottom"/>
          </w:tcPr>
          <w:p>
            <w:pPr>
              <w:spacing w:after="0"/>
              <w:rPr>
                <w:sz w:val="13"/>
                <w:szCs w:val="13"/>
                <w:color w:val="auto"/>
              </w:rPr>
            </w:pPr>
          </w:p>
        </w:tc>
      </w:tr>
    </w:tbl>
    <w:p>
      <w:pPr>
        <w:spacing w:after="0" w:line="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Incremental costs incurred due to manufacturing inefficiencies directly related to the closure of a facility.</w:t>
      </w:r>
    </w:p>
    <w:p>
      <w:pPr>
        <w:ind w:left="180" w:hanging="172"/>
        <w:spacing w:after="0" w:line="193" w:lineRule="auto"/>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Acquisition-related items include profit in inventory and professional fees.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260"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year ended August 31, 2020 decreased by 9.4% compared with the prior-year period due primarily to an estimated 12% decline in sales volumes partially offset by a contribution from acquired businesses of 3%. Fiscal 2020 sales volumes decreased compared with the prior year due primarily to the negative impacts of the COVID-19 pandemic, lower activity of relight projects for certain large corporate accounts customers, and the elimination of certain products in our portfolio negatively impacted by the increases in tariffs sold primarily through the retail sales channel that did not meet our return objectives. The change in product prices and mix of products sold (“price/mix”) was approximately flat year over year. Due to the changing dynamics of our product portfolio, it is not possible to precisely quantify or differentiate the individual components of volume, price, and mix.</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Gross profit for fiscal 2020 decreased $77.3 million, or 5.2%, to $1.40 billion compared with $1.48 billion for the prior year due primarily to lower net sales volumes. Despite our lower sales, gross profit margin increased to 42.2% for the year ended August 31, 2020 compared with 40.3% for the year ended August 31, 2019. The improvement in gross profit margin was due primarily to lower costs for certain inputs and the contribution from acquisitions, partially offset by lower net sales volumes. Adjusted gross profit for fiscal 2020 decreased $78.2 million, or 5.3%, to $1.40 billion compared with $1.48 billion for the prior year. Adjusted gross profit margin increased 190 basis points to 42.2% compared to 40.3% in the prior year.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SD&amp;A expenses of $1.03 billion for the year ended August 31, 2020 increased $13.5 million, or 1.3% compared with the prior year. The increase in SD&amp;A expenses was due primarily to higher employee costs, additional amortization of acquired intangibles, and higher commissions associated with channel mix and acquisitions. In particular, share-based payment expense increased due to changes made to the equity incentive program as part of the Company’s review of its compensation programs, which resulted in the acceleration of share-based payment expense in fiscal 2020. These increases were partially offset by lower freight charges due to the lower sales volumes as well as decreased travel and other expenses in response to the COVID-19 pandemic.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prior-year period, SD&amp;A expenses as a percent of net sales increased 330 basis points to 30.9% for fiscal 2020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27.6% in fiscal 2019. Adjusted SD&amp;A expenses were $947.3 million, or 28.5% of net sales, in fiscal 2020 compared to $953.7 million,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26.0% of net sales, in the year-ago period.</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During the year ended August 31, 2020, we recognized pre-tax special charges of $20.0 million compared with pre-tax special charges of $1.8 million recorded during the year ended August 31, 2019. Further details regarding our special charges are included in the </w:t>
      </w:r>
      <w:r>
        <w:rPr>
          <w:rFonts w:ascii="Arial" w:cs="Arial" w:eastAsia="Arial" w:hAnsi="Arial"/>
          <w:sz w:val="18"/>
          <w:szCs w:val="18"/>
          <w:i w:val="1"/>
          <w:iCs w:val="1"/>
          <w:color w:val="auto"/>
        </w:rPr>
        <w:t>Special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Charges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w:t>
      </w:r>
      <w:r>
        <w:rPr>
          <w:rFonts w:ascii="Arial" w:cs="Arial" w:eastAsia="Arial" w:hAnsi="Arial"/>
          <w:sz w:val="18"/>
          <w:szCs w:val="18"/>
          <w:color w:val="auto"/>
        </w:rPr>
        <w:t>.</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profit for fiscal 2020 was $353.9 million compared with $462.9 million reported for the prior-year period, a decrease of $109.0 million, or 23.5%. Operating profit margin decreased 200 basis points to 10.6% for fiscal 2020 compared with 12.6% for fiscal 2019. The decline in operating profit was due to a decrease in gross profit, an increase in SD&amp;A expenses, and higher special charges.</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Adjusted operating profit decreased $71.8 million, or 13.6%, to $456.3 million compared with $528.1 million for fiscal 2019. Adjusted operating profit margin was 13.7% and 14.4% for fiscal 2020 and 2019,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Other expense consists principally of net interest expense and net miscellaneous expense, which includes non-service related components of net periodic pension cost, gains and losses associated with foreign currency-related transactions, and non-operating gains and losses. Interest expense, net, was $23.3 million and $33.3 million for the years ended August 31, 2020 and 2019, respectively. The decrease in interest expense was due primarily to the interest savings associated with refinancing the previously outstanding senior unsecured notes with funds under the Term Loan Facility, which are subject to lower short-term borrowing rates. We reported net miscellaneous expense of $5.9 million in fiscal 2020 compared with $4.7 million in fiscal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effective income tax rate was 23.5% and 22.2% for the years ended August 31, 2020 and 2019, respectively. The increase in the current fiscal tax rate was due primarily to the recognition in fiscal 2019 of certain research and development cost tax credits, including claims for prior periods, that did not recur in the current fiscal year. Further details regarding income taxes are included in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260"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Statements</w:t>
      </w:r>
      <w:r>
        <w:rPr>
          <w:rFonts w:ascii="Arial" w:cs="Arial" w:eastAsia="Arial" w:hAnsi="Arial"/>
          <w:sz w:val="18"/>
          <w:szCs w:val="18"/>
          <w:color w:val="auto"/>
        </w:rPr>
        <w:t>. We estimate that our effective tax rate for fiscal 2021 will be approximately 23% before any discrete items, assuming the rates in</w:t>
      </w:r>
      <w:r>
        <w:rPr>
          <w:rFonts w:ascii="Arial" w:cs="Arial" w:eastAsia="Arial" w:hAnsi="Arial"/>
          <w:sz w:val="18"/>
          <w:szCs w:val="18"/>
          <w:i w:val="1"/>
          <w:iCs w:val="1"/>
          <w:color w:val="auto"/>
        </w:rPr>
        <w:t xml:space="preserve"> </w:t>
      </w:r>
      <w:r>
        <w:rPr>
          <w:rFonts w:ascii="Arial" w:cs="Arial" w:eastAsia="Arial" w:hAnsi="Arial"/>
          <w:sz w:val="18"/>
          <w:szCs w:val="18"/>
          <w:color w:val="auto"/>
        </w:rPr>
        <w:t>our taxing jurisdictions remain generally consistent throughout the year.</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income for fiscal 2020 decreased $82.1 million, or 24.8%, to $248.3 million from $330.4 million reported for the prior year. The decrease in net income resulted primarily from a decreased operating profit compared to the prior-year period partially offset by lower interest expense and income tax expense. Adjusted net income for fiscal 2020 decreased 14.2% to $ 327.3 million compared with $381.4 million in the year-ago period. Diluted earnings per share for fiscal 2020 was $6.27 compared with $ 8.29 for the prior-year period, which represented a decrease of $2.02, or 24.4%. Adjusted diluted earnings per share for fiscal 2020 was $8.27 compared with $9.57 for the prior-year period, which represented a decrease of $1.30, or 13.6%.</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the execution of our strategy will provide attractive opportunities for profitable growth over the long term. Although we are aggressively managing our response to the recent COVID-19 pandemic, its impact on our results beyond fiscal 2020 is uncertain. We expect weakness in non-residential building activity based on current construction indicators. We believe that the most significant elements of uncertainty due to the COVID-19 pandemic are the intensity and duration of the impact on construction, renovation, pricing, and consumer spending as well as the ability of our sales channels, supply chain, manufacturing, and distribution to continue to operate with minimal disruption beyond fiscal 2020, all of which could negatively impact our financial position, results of operations, cash flows, and outlook. These risks are balanced by our efforts to increase service levels, develop innovative new products, and introduce technology to improve the operations of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Adopted in Fiscal 2020 and Accounting Standards Yet to Be Adopted</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information on recently adopted and upcoming standards.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 and expense during the reporting period. On an ongoing basis, we evaluate our estimates and judgments, including those related to revenue recognition; inventory valuation; depreciation, amortization, and the recoverability of long-lived assets, including goodwill and intangible assets; share-based payment expense; medical, product warranty and recall, and other accruals; retirement benefits; and litigation. We base our estimates and judgments on our substantial historical experience and other relevant factors, the results of which form the basis for making judgments about the carrying values of assets and liabilities that are not readily apparent from other sources. Actual results could differ from those estimates. We discuss the development of accounting estimates with our Audit Committee of the Board of Directors. See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a summary of the accounting policies.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accounting topics represent our critical accounting estimates.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recognize revenue when we transfer control of goods and services to our customers. Revenue is measured as the amount of consideration we expect to receive in exchange for goods and services. In the period of revenue recognition, provisions for certain rebates, sales incentives, product returns, and discounts to customers are estimated and recorded, in most instances, as a reduction of revenue. We also maintain one-time or on-going marketing and trade-promotion programs with certain customers that require us to estimate and accrue the expected costs of such programs. Generally, these items are estimated based on customer agreements, historical trends, and expected demand. For sales with multiple deliverables, significant judgment may be required to determine which performance obligations are distinct and should be accounted for separately. We allocate the expected consideration to be collected to each distinct performance obligation based on its standalone selling price. Standalone selling price is generally estimated using a cost plus margin valuation when no observable input is available.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260"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Actual results could differ from estimates, which would require adjustments to accrued amounts. Please refer to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additional information regarding estimates related to 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Inventories include materials, direct labor, in-bound freight, and related manufacturing overhead and are stated at the lower of cost (on a first-in, first-out or average-cost basis) and net realizable value. We review inventory quantities on hand and record a provision for excess or obsolete inventory primarily based on estimated future demand and current market conditions. A significant change in customer demand, market conditions, or technology could render certain inventory obsolete and thus could have a material adverse impact on our operating results in the period the change occurs.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Through multiple acquisitions, we acquired definite-lived intangible assets consisting primarily of trademarks and trade names associated with specific products, distribution networks, patented technology, non-compete agreements, and customer relationships, which are amortized over their estimated useful lives. Indefinite-lived intangible assets consist of trade names that are expected to generate cash flows indefinitely. Significant estimates and assumptions were used to both identify and determine the initial fair value of these acquired intangible assets, often with the assistance of third party valuation specialists. These assumptions include, but are not limited to, estimated future net sales and profitability, customer attrition rates, royalty rates, and discount rates. Goodwill is calculated as the residual value of an acquisition's purchase price less the value of the identifiable net assets and is thus dependent on the appropriate identification and valuation of the net assets obtained in an acquisition.</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review goodwill and indefinite-lived intangible assets for impairment on an annual basis in the fiscal fourth quarter or on an interim basis if an event occurs or circumstances change that would more likely than not indicate that the fair value of the goodwill or indefinite-lived asset is below its carrying value. An impairment loss for goodwill or an indefinite-lived intangible asset would be recognized based on the difference between the carrying value of the asset and its estimated fair value, which would be determined based on either discounted future cash flows or another appropriate fair value method. The evaluation of goodwill and indefinite-lived intangibles for impairment requires management to use significant judgments and estimates in accordance with U.S. GAAP including, but not limited to, economic, industry, and company-specific qualitative factors, projected future net sales, operating results, and cash flows.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currently believe that the estimates used in the evaluation of goodwill and indefinite-lived intangibles are reasonable, differences between actual and expected net sales, operating results, and cash flows and/or changes in the discount rates or theoretical royalty rates used could cause these assets to be deemed impaired. If this occurs, we are required to record a non-cash charge to earnings for the write-down in the value of such assets. Such charges could have a material adverse effect on our results of operations and financial position but not our cash flows from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business is comprised of one reporting unit with a goodwill balance of $1.1 billion as of August 31, 2020. During fiscal 2020, we utilized a quantitative assessment of the fair value of goodwill as of June 1, 2020. In determining the fair value of the Company’s reporting unit, we used a discounted cash flow analysis, which requires significant assumptions about discount rates as well as short and long-term growth rates. We utilized an estimated discount rate of approximately 10.4% as of June 1, 2020, based on the Capital Asset Pricing Model, which considers the risk-free interest rate, beta, and market risk premium to determine an appropriate discount rate. Short-term growth rates were based on management’s forecasted financial results, which consider key business drivers such as specific revenue growth initiatives, market share changes, growth in our addressable market, and general economic factors such as macroeconomic conditions, credit availability, and interest rates. Short-term growth rates used in the fiscal 2020 impairment analysis reflected additional estimation uncertainty as a result of the COVID-19 pandemic. We calculated the discounted cash flows attributable to our one reporting unit for a 10-year discrete period with a terminal value and compared this calculation to the discounted cash flows generated over a 40-year period to ensure reasonableness. The long-term growth rate used in determining terminal value was estimated at 3.0% and was primarily based on our understanding of projections for expected long-term growth in our addressable market and historical long-term performance. The quantitative goodwill analysis did not result in an impairment charge. Any reasonably likely change in the assumptions used in the analysis, including revenue growth rates and the discount rate, would not cause the carrying value to exceed the estimated fair value for the reporting unit as determined under the goodwill impairment analysis.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260"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indefinite-lived intangible assets consist of 13 trade names with an aggregate carrying value of approximately $174.3 million. We utilized significant assumptions to estimate the fair value of these indefinite-lived trade names using a fair value model based on discounted future cash flows (“fair value model”) in accordance with Accounting Standards Codification (“ASC”) Topic 820, </w:t>
      </w:r>
      <w:r>
        <w:rPr>
          <w:rFonts w:ascii="Arial" w:cs="Arial" w:eastAsia="Arial" w:hAnsi="Arial"/>
          <w:sz w:val="18"/>
          <w:szCs w:val="18"/>
          <w:i w:val="1"/>
          <w:iCs w:val="1"/>
          <w:color w:val="auto"/>
        </w:rPr>
        <w:t>Fair Value Measurements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(“ASC 820”). Future cash flows associated with each of our indefinite-lived trade names are calculated by multiplying a</w:t>
      </w:r>
      <w:r>
        <w:rPr>
          <w:rFonts w:ascii="Arial" w:cs="Arial" w:eastAsia="Arial" w:hAnsi="Arial"/>
          <w:sz w:val="18"/>
          <w:szCs w:val="18"/>
          <w:i w:val="1"/>
          <w:iCs w:val="1"/>
          <w:color w:val="auto"/>
        </w:rPr>
        <w:t xml:space="preserve"> </w:t>
      </w:r>
      <w:r>
        <w:rPr>
          <w:rFonts w:ascii="Arial" w:cs="Arial" w:eastAsia="Arial" w:hAnsi="Arial"/>
          <w:sz w:val="18"/>
          <w:szCs w:val="18"/>
          <w:color w:val="auto"/>
        </w:rPr>
        <w:t>theoretical royalty rate a willing third party would pay for use of the particular trade name by estimated future net sales attributable to the relevant trade name. The present value of the resulting after-tax cash flow is our current estimate of the fair value of the trade names. This fair value model requires us to make several significant assumptions, including estimated future net sales (including short and long-term growth rates), the royalty rate, and the discount rate for each trade name.</w:t>
      </w:r>
    </w:p>
    <w:p>
      <w:pPr>
        <w:spacing w:after="0" w:line="1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Future net sales and short-term growth rates are estimated for each particular trade name based on management’s financial forecasts, which consider key business drivers, such as specific revenue growth initiatives, market share changes, expected growth in our addressable market, and general economic factors, such as macroeconomic conditions, credit availability, and interest rates. Short-term growth rates used in the fiscal 2020 impairment analysis reflected additional estimation uncertainty as a result of the COVID-19 pandemic. The long-term growth rate used in determining terminal value is estimated at 3% and is based primarily on our understanding of projections for expected long-term growth within our addressable market and historical long-term performance. The theoretical royalty rate is estimated primarily using management’s assumptions regarding the amount a willing third party would pay to use the particular trade name and is compared with market information for similar intellectual property within and outside of the industry. If future operating results are unfavorable compared with forecasted amounts, we may be required to reduce the theoretical royalty rate used in the fair value model. A reduction in the theoretical royalty rate would result in lower expected future after-tax cash flows in the valuation model. We utilized a range of estimated discount rates between 10% and 13% as of June 1, 2020, based on the Capital Asset Pricing Model, which considers the current risk-free interest rate, beta, market risk premium, and entity specific size premium.</w:t>
      </w:r>
    </w:p>
    <w:p>
      <w:pPr>
        <w:spacing w:after="0" w:line="11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During fiscal 2020, we performed an evaluation of the fair values of our indefinite-lived trade names. Our expected revenues were based on our fiscal 2021 projections and recent third-party lighting, controls, and building technology solutions market growth estimates for fiscal 2022 through 2025. We also included revenue growth estimates based on current initiatives expected to help improve performance. During fiscal 2020, estimated theoretical royalty rates ranged between 1% and 4%. Based on the results of the indefinite-lived intangible asset analyses, we calculated an impairment charge of $ 1.4 million related to one trade name, which is reflected within </w:t>
      </w:r>
      <w:r>
        <w:rPr>
          <w:rFonts w:ascii="Arial" w:cs="Arial" w:eastAsia="Arial" w:hAnsi="Arial"/>
          <w:sz w:val="18"/>
          <w:szCs w:val="18"/>
          <w:i w:val="1"/>
          <w:iCs w:val="1"/>
          <w:color w:val="auto"/>
        </w:rPr>
        <w:t>Selling, distribution,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administrative expenses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Statements of Comprehensive Income</w:t>
      </w:r>
      <w:r>
        <w:rPr>
          <w:rFonts w:ascii="Arial" w:cs="Arial" w:eastAsia="Arial" w:hAnsi="Arial"/>
          <w:sz w:val="18"/>
          <w:szCs w:val="18"/>
          <w:color w:val="auto"/>
        </w:rPr>
        <w:t>. The impairment analyses of the other 12 indefinite-lived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indicated that their fair values exceeded their carrying values. Any reasonably likely change in the assumptions used in the analyses for our trade names, including revenue growth rates, royalty rates, and discount rates, would not be material to our financial condition or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Definite-Lived Intangible Assets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long-lived assets, including definite-lived intangibles, are reviewed for impairment whenever events or circumstances indicate that the carrying amount of the related asset group may not be recoverable. We evaluate the remaining useful lives of our definite-lived intangible assets on an annual basis in the fiscal fourth quarter and on an interim basis if an event occurs or circumstances change that would warrant a revision to the remaining period of amortization. For each reporting period we consider whether an event occurred or circumstances changed that would more likely than not indicate that the fair value of the definite-lived asset is below its carrying value. We recorded no impairment charges for our definite-lived intangible assets during fiscal 2020, 2019, or 2018.</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self-insure, up to certain limits, traditional risks including workers’ compensation, comprehensive general liability, and auto liability. A provision for claims under this self-insured program, based on our estimate of the aggregate liability for claims incurred, is revised and recorded annually. The estimate is derived from both internal and external sources including, but not limited to, our independent actuary. The actuarial estimates are subject to uncertainty from various sources including, changes in claim reporting patterns, claim settlement patterns, actual claims judicial decisions, legislation, and economic conditions, among others. Although we believe that the actuarial estimates are reasonable, significant differences related to the items noted above could materially affect our self-insurance obligations, future expense, and cash flow. We are also self-insured up to certain limits for certain other insurable risks, primarily physical loss to property and business interruptions resulting from such loss lasting two days or more in duration. Insurance coverage is maintained for catastrophic property and casualty exposures as well as those risks required to be insured by law or contract. We are fully self-insured for certain other types of liabilities, including environmental, product recall, warranty, and patent infringement.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260"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also self-insured for the majority of our medical benefit plans up to certain limits. We estimate our aggregate liability for claims incurred by applying a lag factor to our historical claims and administrative cost experience. The appropriateness of our lag factor is evaluated and revised, if necessary, annually. Although we believe that the current estimates are reasonable, significant differences related to actual claims, claim reporting patterns, plan design, legislation, and general economic conditions could materially affect our medical benefit plan liabilities, future expense, and cash flow.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sponsor domestic and international defined benefit pension plans, defined contribution plans, and other postretirement plans. Assumptions are used to determine the estimated fair value of plan assets, the actuarial value of plan liabilities, and the current and projected costs for these employee benefit plans and include, among other factors, estimated discount rates, expected returns on the pension fund assets, estimated mortality rates, the rates of increase in employee compensation levels, and, for one international plan, retroactive inflationary adjustments. These assumptions are determined based on organizational and market data and are evaluated annually as of the plans’ measurement date. See the </w:t>
      </w:r>
      <w:r>
        <w:rPr>
          <w:rFonts w:ascii="Arial" w:cs="Arial" w:eastAsia="Arial" w:hAnsi="Arial"/>
          <w:sz w:val="18"/>
          <w:szCs w:val="18"/>
          <w:i w:val="1"/>
          <w:iCs w:val="1"/>
          <w:color w:val="auto"/>
        </w:rPr>
        <w:t>Pensions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information on our plans, including the potential impact of changes to certain of these assumptions.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 Expense</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recognize compensation cost relating to share-based payment transactions in the financial statements based on the estimated grant date fair value of the equity instrument issued. We account for stock options, restricted shares, performance shares, and share units representing certain deferrals into the Director Deferred Compensation Plan or the Supplemental Deferred Savings Plan based on the grant-date fair value estimated under the provisions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 See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information on these awards.</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utilize the Black-Scholes model in deriving the fair value estimates of our stock option awards that only have a service requirement, and we utilize the Monte Carlo simulation model to determine grant date fair value estimates of stock options also subject to a market condition. We recognize compensation expense for performance awards based on the probability that the related performance metric will be satisfied. Additionally, we estimate forfeitures of all share-based awards at the time of grant, which are revised in subsequent periods if actual forfeitures differ from initial estimates. Forfeitures are estimated based on historical experience. If factors change causing different assumptions to be made in future periods, estimated compensation expense may differ significantly from that recorded in the current period. See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and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footnotes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 regarding the assumptions used in estimating the fair value of our awards.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products generally have a standard warranty term of five years. We accrue for the estimated amount of future warranty costs when the related revenue is recognized. Estimated future warranty costs are primarily based on historical experience of identified warranty claims. We are fully self-insured for product warranty costs. Historical warranty costs have been within expectations. Although we expect that historical activity will continue to be the best indicator of future warranty costs, there can be no assurance that future warranty costs will not exceed historical amounts. Estimated costs related to product recalls based on a formal campaign soliciting repair or return of that product are accrued when they are deemed to be probable and can be reasonably estimated. If actual future warranty or recall costs exceed recorded amounts, additional accruals may be required, which could have a material adverse impact on our results of operations and cash flow.</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sell certain service-type warranties that extend coverages for products beyond their base warranties. We account for service-type warranties as distinct performance obligations and recognize revenue for these contracts ratably over the life of the additional warranty period. Claims related to service-type warranties are expensed as incurred.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recognize expense for legal claims when payments associated with the claims become probable and can be reasonably estimated. Due to the difficulty in estimating costs of resolving legal claims, actual costs could have a material adverse impact on our results of operations and cash flow.</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260"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This filing contains forward-looking statements within the meaning of the federal securities laws. Statements made herein that may be considered forward-looking include statements incorporating terms such as “expects,” “believes,” “intends,” “anticipates,” and similar terms that relate to future events, performance, or results of the Company. In addition, the Company, or the executive officers on the Company’s behalf, may from time to time make forward-looking statements in reports and other documents we file with the U.S. Securities and Exchange Commission or in connection with oral statements made to the press, current and potential investors, or others. Forward-looking statements include, without limitation: (a) our projections regarding financial performance, liquidity, capital structure, capital expenditures, investments, share repurchases, and dividends; (b) external forecasts projecting the North American lighting and building management solutions market growth rate and growth in our addressable market; (c) expectations about the impact of any changes in demand as well as volatility and uncertainty in general economic conditions; (d) our ability to execute and realize benefits from initiatives related to streamlining our operations, capitalize on growth opportunities, and introduce new lighting and building management solutions; (e) our estimate of our fiscal 2021 effective income tax rate, results of operations, cash flows, and capital spending; (f) our estimate of future amortization expense; (g) our ability to achieve our long-term financial goals and measures and outperform the markets we serve; (h) the impact of changes in the political landscape and related policy changes, including monetary, regulatory, and trade policies; (i) our expectations related to mitigating efforts around recently imposed tariffs; (j) our expectations about the resolution of patent litigation, securities class action, IRS audits, and/or other legal matters; and (k) our expectations of the short-term and long-term impact of the current COVID-19 pandemic. You are cautioned not to place undue reliance on any forward looking statements, which speak only as of the date of this annual report. Except as required by law, we undertake no obligation to publicly update or release any revisions to these forward-looking statements to reflect any events or circumstances after the date of this annual report or to reflect the occurrence of unanticipated events. Our forward-looking statements are subject to certain risks and uncertainties that could cause actual results to differ materially from the historical experience of the organization and management’s present expectations or projections. These risks and uncertainties include, but are not limited to, customer and supplier relationships and prices; competition; ability to realize anticipated benefits from initiatives taken and timing of benefits; market demand; litigation and other contingent liabilities; and economic, political, governmental, and technological factors that have affected us as a company. Also, additional risks that could cause our actual results to differ materially from those expressed in our forward-looking statements are discussed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this Annual Report on Form 10-K, and are specifically incorporated herein by reference.</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industry and market data contained in this report are based either on management’s own estimates or, where indicated, independent industry publications, reports by governmental agencies, or market research firms or other published independent sources and, in each case, are believed by our management to be reasonable estimates. However, industry and market data is subject to change and cannot always be verified with complete certainty due to limits on the availability and reliability of raw data, the voluntary nature of the data gathering process, and other limitations and uncertainties inherent in any statistical survey of market shares. We have not independently verified market and industry data from third-party sources.</w:t>
      </w:r>
    </w:p>
    <w:p>
      <w:pPr>
        <w:spacing w:after="0" w:line="3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i w:val="1"/>
          <w:iCs w:val="1"/>
          <w:color w:val="auto"/>
        </w:rPr>
        <w:t>Quantitative and Qualitative Disclosures about Market Risk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We are exposed to worldwide market risks that may impact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Statements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w:t>
      </w:r>
      <w:r>
        <w:rPr>
          <w:rFonts w:ascii="Arial" w:cs="Arial" w:eastAsia="Arial" w:hAnsi="Arial"/>
          <w:sz w:val="18"/>
          <w:szCs w:val="18"/>
          <w:i w:val="1"/>
          <w:iCs w:val="1"/>
          <w:color w:val="auto"/>
        </w:rPr>
        <w:t xml:space="preserve"> Consolidated Statements of Stockholders' Equity</w:t>
      </w:r>
      <w:r>
        <w:rPr>
          <w:rFonts w:ascii="Arial" w:cs="Arial" w:eastAsia="Arial" w:hAnsi="Arial"/>
          <w:sz w:val="18"/>
          <w:szCs w:val="18"/>
          <w:color w:val="auto"/>
        </w:rPr>
        <w:t>, and</w:t>
      </w:r>
      <w:r>
        <w:rPr>
          <w:rFonts w:ascii="Arial" w:cs="Arial" w:eastAsia="Arial" w:hAnsi="Arial"/>
          <w:sz w:val="18"/>
          <w:szCs w:val="18"/>
          <w:i w:val="1"/>
          <w:iCs w:val="1"/>
          <w:color w:val="auto"/>
        </w:rPr>
        <w:t xml:space="preserve"> Consolidated Statements of Cash Flows </w:t>
      </w:r>
      <w:r>
        <w:rPr>
          <w:rFonts w:ascii="Arial" w:cs="Arial" w:eastAsia="Arial" w:hAnsi="Arial"/>
          <w:sz w:val="18"/>
          <w:szCs w:val="18"/>
          <w:color w:val="auto"/>
        </w:rPr>
        <w:t>due primarily to changing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and foreign exchange rates as well as volatility in commodity prices. The following discussion provides additional information regarding the market risks.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Interest rate fluctuations expose the variable-rate debt of the organization to changes in interest expense and cash flows. Our long-term debt as of August 31, 2019 consisted primarily of fixed rate obligations, whereas we had $399.0 million of variable-rate obligations outstanding as of August 31, 2020, consisting primarily of borrowings under our unsecured delayed draw term loan facility. A 10% increase in market rates at August 31, 2020 would have resulted in $0.5 million of additional after-tax interest expense for the year ended August 31, 2020. See the </w:t>
      </w:r>
      <w:r>
        <w:rPr>
          <w:rFonts w:ascii="Arial" w:cs="Arial" w:eastAsia="Arial" w:hAnsi="Arial"/>
          <w:sz w:val="18"/>
          <w:szCs w:val="18"/>
          <w:i w:val="1"/>
          <w:iCs w:val="1"/>
          <w:color w:val="auto"/>
        </w:rPr>
        <w:t xml:space="preserve">Debt and Lines of Credit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contained in this Form 10-K for additional information.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260"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Rates</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majority of our net sales, expense, and capital purchases are transacted in U.S. dollars. However, exposure with respect to foreign exchange rate fluctuation exists due to our operations in Mexico and Canada, where a significant portion of products sold are produced or sourced from the United States, and, to a lesser extent, in Europe. Based on fiscal 2020 performance, a hypothetical decline in the value of the Canadian dollar in relation to the U.S. dollar of 10% would negatively impact operating profit by approximately $ 10 million, while a hypothetical appreciation of 10% in the value of the Canadian dollar in relation to the U.S. dollar would favorably impact operating profit by approximately $12 million. In addition to products and services sold in Mexico, a significant portion of the goods sold in the United States are manufactured in Mexico. A hypothetical 10% decrease in the value of the Mexican peso in relation to the U.S. dollar would favorably impact operating profit by approximately $11 million, while a hypothetical increase of 10% in the value of the Mexican peso in relation to the U.S. dollar would negatively impact operating profits by approximately $13 million. The individual impacts to the operating profit of hypothetical currency fluctuations in the Canadian dollar and Mexican peso have been calculated in isolation from any potential responses to address such exchange rate changes in our foreign markets.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exposure to foreign currency risk related to our operations in Europe is immaterial and has been excluded from this analysis.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utilize a variety of raw materials and components in our production processes including petroleum-based products, steel, and aluminum. In fiscal 2020, we purchased approximately 70,000 tons of steel and aluminum. We estimate that approximately 7% of raw materials purchased are petroleum-based and that approximately five million gallons of diesel fuel were consumed in fiscal 2020. Failure to effectively manage future increases in the costs of these items could have an adverse impact on our results of operations and cash flow.</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260"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7"/>
        </w:trPr>
        <w:tc>
          <w:tcPr>
            <w:tcW w:w="1056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660" w:type="dxa"/>
            <w:vAlign w:val="bottom"/>
          </w:tcPr>
          <w:p>
            <w:pPr>
              <w:spacing w:after="0"/>
              <w:rPr>
                <w:sz w:val="18"/>
                <w:szCs w:val="18"/>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62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660" w:type="dxa"/>
            <w:vAlign w:val="bottom"/>
          </w:tcPr>
          <w:p>
            <w:pPr>
              <w:spacing w:after="0"/>
              <w:rPr>
                <w:sz w:val="24"/>
                <w:szCs w:val="24"/>
                <w:color w:val="auto"/>
              </w:rPr>
            </w:pPr>
          </w:p>
        </w:tc>
      </w:tr>
      <w:tr>
        <w:trPr>
          <w:trHeight w:val="553"/>
        </w:trPr>
        <w:tc>
          <w:tcPr>
            <w:tcW w:w="940" w:type="dxa"/>
            <w:vAlign w:val="bottom"/>
          </w:tcPr>
          <w:p>
            <w:pPr>
              <w:spacing w:after="0"/>
              <w:rPr>
                <w:sz w:val="24"/>
                <w:szCs w:val="24"/>
                <w:color w:val="auto"/>
              </w:rPr>
            </w:pPr>
          </w:p>
        </w:tc>
        <w:tc>
          <w:tcPr>
            <w:tcW w:w="9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Index to Consolidated Financial Statements</w:t>
            </w:r>
          </w:p>
        </w:tc>
        <w:tc>
          <w:tcPr>
            <w:tcW w:w="660" w:type="dxa"/>
            <w:vAlign w:val="bottom"/>
          </w:tcPr>
          <w:p>
            <w:pPr>
              <w:spacing w:after="0"/>
              <w:rPr>
                <w:sz w:val="24"/>
                <w:szCs w:val="24"/>
                <w:color w:val="auto"/>
              </w:rPr>
            </w:pPr>
          </w:p>
        </w:tc>
      </w:tr>
      <w:tr>
        <w:trPr>
          <w:trHeight w:val="371"/>
        </w:trPr>
        <w:tc>
          <w:tcPr>
            <w:tcW w:w="940" w:type="dxa"/>
            <w:vAlign w:val="bottom"/>
          </w:tcPr>
          <w:p>
            <w:pPr>
              <w:spacing w:after="0"/>
              <w:rPr>
                <w:sz w:val="24"/>
                <w:szCs w:val="24"/>
                <w:color w:val="auto"/>
              </w:rPr>
            </w:pPr>
          </w:p>
        </w:tc>
        <w:tc>
          <w:tcPr>
            <w:tcW w:w="9620" w:type="dxa"/>
            <w:vAlign w:val="bottom"/>
          </w:tcPr>
          <w:p>
            <w:pPr>
              <w:spacing w:after="0"/>
              <w:rPr>
                <w:sz w:val="24"/>
                <w:szCs w:val="24"/>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6"/>
                <w:szCs w:val="16"/>
                <w:b w:val="1"/>
                <w:bCs w:val="1"/>
                <w:color w:val="auto"/>
              </w:rPr>
              <w:t>Page</w:t>
            </w:r>
          </w:p>
        </w:tc>
      </w:tr>
      <w:tr>
        <w:trPr>
          <w:trHeight w:val="243"/>
        </w:trPr>
        <w:tc>
          <w:tcPr>
            <w:tcW w:w="10560" w:type="dxa"/>
            <w:vAlign w:val="bottom"/>
            <w:gridSpan w:val="2"/>
          </w:tcPr>
          <w:p>
            <w:pPr>
              <w:ind w:left="40"/>
              <w:spacing w:after="0"/>
              <w:rPr>
                <w:rFonts w:ascii="Arial" w:cs="Arial" w:eastAsia="Arial" w:hAnsi="Arial"/>
                <w:sz w:val="18"/>
                <w:szCs w:val="18"/>
                <w:color w:val="0000EE"/>
              </w:rPr>
            </w:pPr>
            <w:hyperlink w:anchor="page37">
              <w:r>
                <w:rPr>
                  <w:rFonts w:ascii="Arial" w:cs="Arial" w:eastAsia="Arial" w:hAnsi="Arial"/>
                  <w:sz w:val="18"/>
                  <w:szCs w:val="18"/>
                  <w:color w:val="0000EE"/>
                </w:rPr>
                <w:t>Management’s Report on Internal Control over Financial Reporting</w:t>
              </w:r>
            </w:hyperlink>
          </w:p>
        </w:tc>
        <w:tc>
          <w:tcPr>
            <w:tcW w:w="660" w:type="dxa"/>
            <w:vAlign w:val="bottom"/>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257"/>
        </w:trPr>
        <w:tc>
          <w:tcPr>
            <w:tcW w:w="10560" w:type="dxa"/>
            <w:vAlign w:val="bottom"/>
            <w:gridSpan w:val="2"/>
          </w:tcPr>
          <w:p>
            <w:pPr>
              <w:ind w:left="40"/>
              <w:spacing w:after="0"/>
              <w:rPr>
                <w:rFonts w:ascii="Arial" w:cs="Arial" w:eastAsia="Arial" w:hAnsi="Arial"/>
                <w:sz w:val="18"/>
                <w:szCs w:val="18"/>
                <w:color w:val="0000EE"/>
              </w:rPr>
            </w:pPr>
            <w:hyperlink w:anchor="page38">
              <w:r>
                <w:rPr>
                  <w:rFonts w:ascii="Arial" w:cs="Arial" w:eastAsia="Arial" w:hAnsi="Arial"/>
                  <w:sz w:val="18"/>
                  <w:szCs w:val="18"/>
                  <w:color w:val="0000EE"/>
                </w:rPr>
                <w:t>Reports of Independent Registered Public Accounting Firm</w:t>
              </w:r>
            </w:hyperlink>
          </w:p>
        </w:tc>
        <w:tc>
          <w:tcPr>
            <w:tcW w:w="660" w:type="dxa"/>
            <w:vAlign w:val="bottom"/>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r>
      <w:tr>
        <w:trPr>
          <w:trHeight w:val="257"/>
        </w:trPr>
        <w:tc>
          <w:tcPr>
            <w:tcW w:w="10560" w:type="dxa"/>
            <w:vAlign w:val="bottom"/>
            <w:gridSpan w:val="2"/>
          </w:tcPr>
          <w:p>
            <w:pPr>
              <w:ind w:left="40"/>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Balance Sheets as of August 31, 2020 and 2019</w:t>
              </w:r>
            </w:hyperlink>
          </w:p>
        </w:tc>
        <w:tc>
          <w:tcPr>
            <w:tcW w:w="660" w:type="dxa"/>
            <w:vAlign w:val="bottom"/>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r>
      <w:tr>
        <w:trPr>
          <w:trHeight w:val="257"/>
        </w:trPr>
        <w:tc>
          <w:tcPr>
            <w:tcW w:w="10560" w:type="dxa"/>
            <w:vAlign w:val="bottom"/>
            <w:gridSpan w:val="2"/>
          </w:tcPr>
          <w:p>
            <w:pPr>
              <w:ind w:left="40"/>
              <w:spacing w:after="0"/>
              <w:rPr>
                <w:rFonts w:ascii="Arial" w:cs="Arial" w:eastAsia="Arial" w:hAnsi="Arial"/>
                <w:sz w:val="18"/>
                <w:szCs w:val="18"/>
                <w:color w:val="0000EE"/>
              </w:rPr>
            </w:pPr>
            <w:hyperlink w:anchor="page44">
              <w:r>
                <w:rPr>
                  <w:rFonts w:ascii="Arial" w:cs="Arial" w:eastAsia="Arial" w:hAnsi="Arial"/>
                  <w:sz w:val="18"/>
                  <w:szCs w:val="18"/>
                  <w:color w:val="0000EE"/>
                </w:rPr>
                <w:t>Consolidated Statements of Comprehensive Income for the years ended August 31, 2020, 2019, and 2018</w:t>
              </w:r>
            </w:hyperlink>
          </w:p>
        </w:tc>
        <w:tc>
          <w:tcPr>
            <w:tcW w:w="660" w:type="dxa"/>
            <w:vAlign w:val="bottom"/>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r>
      <w:tr>
        <w:trPr>
          <w:trHeight w:val="256"/>
        </w:trPr>
        <w:tc>
          <w:tcPr>
            <w:tcW w:w="10560" w:type="dxa"/>
            <w:vAlign w:val="bottom"/>
            <w:gridSpan w:val="2"/>
          </w:tcPr>
          <w:p>
            <w:pPr>
              <w:ind w:left="40"/>
              <w:spacing w:after="0"/>
              <w:rPr>
                <w:rFonts w:ascii="Arial" w:cs="Arial" w:eastAsia="Arial" w:hAnsi="Arial"/>
                <w:sz w:val="18"/>
                <w:szCs w:val="18"/>
                <w:color w:val="0000EE"/>
              </w:rPr>
            </w:pPr>
            <w:hyperlink w:anchor="page45">
              <w:r>
                <w:rPr>
                  <w:rFonts w:ascii="Arial" w:cs="Arial" w:eastAsia="Arial" w:hAnsi="Arial"/>
                  <w:sz w:val="18"/>
                  <w:szCs w:val="18"/>
                  <w:color w:val="0000EE"/>
                </w:rPr>
                <w:t>Consolidated Statements of Cash Flows for the years ended August 31, 2020, 2019, and 2018</w:t>
              </w:r>
            </w:hyperlink>
          </w:p>
        </w:tc>
        <w:tc>
          <w:tcPr>
            <w:tcW w:w="660" w:type="dxa"/>
            <w:vAlign w:val="bottom"/>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57"/>
        </w:trPr>
        <w:tc>
          <w:tcPr>
            <w:tcW w:w="10560" w:type="dxa"/>
            <w:vAlign w:val="bottom"/>
            <w:gridSpan w:val="2"/>
          </w:tcPr>
          <w:p>
            <w:pPr>
              <w:ind w:left="40"/>
              <w:spacing w:after="0"/>
              <w:rPr>
                <w:rFonts w:ascii="Arial" w:cs="Arial" w:eastAsia="Arial" w:hAnsi="Arial"/>
                <w:sz w:val="18"/>
                <w:szCs w:val="18"/>
                <w:color w:val="0000EE"/>
              </w:rPr>
            </w:pPr>
            <w:hyperlink w:anchor="page46">
              <w:r>
                <w:rPr>
                  <w:rFonts w:ascii="Arial" w:cs="Arial" w:eastAsia="Arial" w:hAnsi="Arial"/>
                  <w:sz w:val="18"/>
                  <w:szCs w:val="18"/>
                  <w:color w:val="0000EE"/>
                </w:rPr>
                <w:t>Consolidated Statements of Stockholders’ Equity for the years ended August 31, 2020, 2019, and 2018</w:t>
              </w:r>
            </w:hyperlink>
          </w:p>
        </w:tc>
        <w:tc>
          <w:tcPr>
            <w:tcW w:w="660" w:type="dxa"/>
            <w:vAlign w:val="bottom"/>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57"/>
        </w:trPr>
        <w:tc>
          <w:tcPr>
            <w:tcW w:w="10560" w:type="dxa"/>
            <w:vAlign w:val="bottom"/>
            <w:gridSpan w:val="2"/>
          </w:tcPr>
          <w:p>
            <w:pPr>
              <w:ind w:left="40"/>
              <w:spacing w:after="0"/>
              <w:rPr>
                <w:rFonts w:ascii="Arial" w:cs="Arial" w:eastAsia="Arial" w:hAnsi="Arial"/>
                <w:sz w:val="18"/>
                <w:szCs w:val="18"/>
                <w:color w:val="0000EE"/>
              </w:rPr>
            </w:pPr>
            <w:hyperlink w:anchor="page47">
              <w:r>
                <w:rPr>
                  <w:rFonts w:ascii="Arial" w:cs="Arial" w:eastAsia="Arial" w:hAnsi="Arial"/>
                  <w:sz w:val="18"/>
                  <w:szCs w:val="18"/>
                  <w:color w:val="0000EE"/>
                </w:rPr>
                <w:t>Notes to Consolidated Financial Statements</w:t>
              </w:r>
            </w:hyperlink>
          </w:p>
        </w:tc>
        <w:tc>
          <w:tcPr>
            <w:tcW w:w="660" w:type="dxa"/>
            <w:vAlign w:val="bottom"/>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57"/>
        </w:trPr>
        <w:tc>
          <w:tcPr>
            <w:tcW w:w="10560" w:type="dxa"/>
            <w:vAlign w:val="bottom"/>
            <w:gridSpan w:val="2"/>
          </w:tcPr>
          <w:p>
            <w:pPr>
              <w:ind w:left="280"/>
              <w:spacing w:after="0"/>
              <w:rPr>
                <w:rFonts w:ascii="Arial" w:cs="Arial" w:eastAsia="Arial" w:hAnsi="Arial"/>
                <w:sz w:val="18"/>
                <w:szCs w:val="18"/>
                <w:color w:val="0000EE"/>
              </w:rPr>
            </w:pPr>
            <w:hyperlink w:anchor="page47">
              <w:r>
                <w:rPr>
                  <w:rFonts w:ascii="Arial" w:cs="Arial" w:eastAsia="Arial" w:hAnsi="Arial"/>
                  <w:sz w:val="18"/>
                  <w:szCs w:val="18"/>
                  <w:color w:val="0000EE"/>
                </w:rPr>
                <w:t>Note 1 — Description of Business and Basis of Presentation</w:t>
              </w:r>
            </w:hyperlink>
          </w:p>
        </w:tc>
        <w:tc>
          <w:tcPr>
            <w:tcW w:w="660" w:type="dxa"/>
            <w:vAlign w:val="bottom"/>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56"/>
        </w:trPr>
        <w:tc>
          <w:tcPr>
            <w:tcW w:w="10560" w:type="dxa"/>
            <w:vAlign w:val="bottom"/>
            <w:gridSpan w:val="2"/>
          </w:tcPr>
          <w:p>
            <w:pPr>
              <w:ind w:left="280"/>
              <w:spacing w:after="0"/>
              <w:rPr>
                <w:rFonts w:ascii="Arial" w:cs="Arial" w:eastAsia="Arial" w:hAnsi="Arial"/>
                <w:sz w:val="18"/>
                <w:szCs w:val="18"/>
                <w:color w:val="0000EE"/>
              </w:rPr>
            </w:pPr>
            <w:hyperlink w:anchor="page47">
              <w:r>
                <w:rPr>
                  <w:rFonts w:ascii="Arial" w:cs="Arial" w:eastAsia="Arial" w:hAnsi="Arial"/>
                  <w:sz w:val="18"/>
                  <w:szCs w:val="18"/>
                  <w:color w:val="0000EE"/>
                </w:rPr>
                <w:t>Note 2 — Significant Accounting Policies</w:t>
              </w:r>
            </w:hyperlink>
          </w:p>
        </w:tc>
        <w:tc>
          <w:tcPr>
            <w:tcW w:w="660" w:type="dxa"/>
            <w:vAlign w:val="bottom"/>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57"/>
        </w:trPr>
        <w:tc>
          <w:tcPr>
            <w:tcW w:w="10560" w:type="dxa"/>
            <w:vAlign w:val="bottom"/>
            <w:gridSpan w:val="2"/>
          </w:tcPr>
          <w:p>
            <w:pPr>
              <w:ind w:left="280"/>
              <w:spacing w:after="0"/>
              <w:rPr>
                <w:rFonts w:ascii="Arial" w:cs="Arial" w:eastAsia="Arial" w:hAnsi="Arial"/>
                <w:sz w:val="18"/>
                <w:szCs w:val="18"/>
                <w:color w:val="0000EE"/>
              </w:rPr>
            </w:pPr>
            <w:hyperlink w:anchor="page54">
              <w:r>
                <w:rPr>
                  <w:rFonts w:ascii="Arial" w:cs="Arial" w:eastAsia="Arial" w:hAnsi="Arial"/>
                  <w:sz w:val="18"/>
                  <w:szCs w:val="18"/>
                  <w:color w:val="0000EE"/>
                </w:rPr>
                <w:t>Note 3 — New Accounting Pronouncements</w:t>
              </w:r>
            </w:hyperlink>
          </w:p>
        </w:tc>
        <w:tc>
          <w:tcPr>
            <w:tcW w:w="660" w:type="dxa"/>
            <w:vAlign w:val="bottom"/>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257"/>
        </w:trPr>
        <w:tc>
          <w:tcPr>
            <w:tcW w:w="10560" w:type="dxa"/>
            <w:vAlign w:val="bottom"/>
            <w:gridSpan w:val="2"/>
          </w:tcPr>
          <w:p>
            <w:pPr>
              <w:ind w:left="280"/>
              <w:spacing w:after="0"/>
              <w:rPr>
                <w:rFonts w:ascii="Arial" w:cs="Arial" w:eastAsia="Arial" w:hAnsi="Arial"/>
                <w:sz w:val="18"/>
                <w:szCs w:val="18"/>
                <w:color w:val="0000EE"/>
              </w:rPr>
            </w:pPr>
            <w:hyperlink w:anchor="page55">
              <w:r>
                <w:rPr>
                  <w:rFonts w:ascii="Arial" w:cs="Arial" w:eastAsia="Arial" w:hAnsi="Arial"/>
                  <w:sz w:val="18"/>
                  <w:szCs w:val="18"/>
                  <w:color w:val="0000EE"/>
                </w:rPr>
                <w:t>Note 4 — Acquisitions</w:t>
              </w:r>
            </w:hyperlink>
          </w:p>
        </w:tc>
        <w:tc>
          <w:tcPr>
            <w:tcW w:w="660" w:type="dxa"/>
            <w:vAlign w:val="bottom"/>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53</w:t>
              </w:r>
            </w:hyperlink>
          </w:p>
        </w:tc>
      </w:tr>
      <w:tr>
        <w:trPr>
          <w:trHeight w:val="257"/>
        </w:trPr>
        <w:tc>
          <w:tcPr>
            <w:tcW w:w="10560" w:type="dxa"/>
            <w:vAlign w:val="bottom"/>
            <w:gridSpan w:val="2"/>
          </w:tcPr>
          <w:p>
            <w:pPr>
              <w:ind w:left="280"/>
              <w:spacing w:after="0"/>
              <w:rPr>
                <w:rFonts w:ascii="Arial" w:cs="Arial" w:eastAsia="Arial" w:hAnsi="Arial"/>
                <w:sz w:val="18"/>
                <w:szCs w:val="18"/>
                <w:color w:val="0000EE"/>
              </w:rPr>
            </w:pPr>
            <w:hyperlink w:anchor="page57">
              <w:r>
                <w:rPr>
                  <w:rFonts w:ascii="Arial" w:cs="Arial" w:eastAsia="Arial" w:hAnsi="Arial"/>
                  <w:sz w:val="18"/>
                  <w:szCs w:val="18"/>
                  <w:color w:val="0000EE"/>
                </w:rPr>
                <w:t>Note 5 — Fair Value Measurements</w:t>
              </w:r>
            </w:hyperlink>
          </w:p>
        </w:tc>
        <w:tc>
          <w:tcPr>
            <w:tcW w:w="660" w:type="dxa"/>
            <w:vAlign w:val="bottom"/>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257"/>
        </w:trPr>
        <w:tc>
          <w:tcPr>
            <w:tcW w:w="10560" w:type="dxa"/>
            <w:vAlign w:val="bottom"/>
            <w:gridSpan w:val="2"/>
          </w:tcPr>
          <w:p>
            <w:pPr>
              <w:ind w:left="280"/>
              <w:spacing w:after="0"/>
              <w:rPr>
                <w:rFonts w:ascii="Arial" w:cs="Arial" w:eastAsia="Arial" w:hAnsi="Arial"/>
                <w:sz w:val="18"/>
                <w:szCs w:val="18"/>
                <w:color w:val="0000EE"/>
              </w:rPr>
            </w:pPr>
            <w:hyperlink w:anchor="page58">
              <w:r>
                <w:rPr>
                  <w:rFonts w:ascii="Arial" w:cs="Arial" w:eastAsia="Arial" w:hAnsi="Arial"/>
                  <w:sz w:val="18"/>
                  <w:szCs w:val="18"/>
                  <w:color w:val="0000EE"/>
                </w:rPr>
                <w:t>Note 6 — Leases</w:t>
              </w:r>
            </w:hyperlink>
          </w:p>
        </w:tc>
        <w:tc>
          <w:tcPr>
            <w:tcW w:w="660" w:type="dxa"/>
            <w:vAlign w:val="bottom"/>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56</w:t>
              </w:r>
            </w:hyperlink>
          </w:p>
        </w:tc>
      </w:tr>
      <w:tr>
        <w:trPr>
          <w:trHeight w:val="256"/>
        </w:trPr>
        <w:tc>
          <w:tcPr>
            <w:tcW w:w="10560" w:type="dxa"/>
            <w:vAlign w:val="bottom"/>
            <w:gridSpan w:val="2"/>
          </w:tcPr>
          <w:p>
            <w:pPr>
              <w:ind w:left="280"/>
              <w:spacing w:after="0"/>
              <w:rPr>
                <w:rFonts w:ascii="Arial" w:cs="Arial" w:eastAsia="Arial" w:hAnsi="Arial"/>
                <w:sz w:val="18"/>
                <w:szCs w:val="18"/>
                <w:color w:val="0000EE"/>
              </w:rPr>
            </w:pPr>
            <w:hyperlink w:anchor="page59">
              <w:r>
                <w:rPr>
                  <w:rFonts w:ascii="Arial" w:cs="Arial" w:eastAsia="Arial" w:hAnsi="Arial"/>
                  <w:sz w:val="18"/>
                  <w:szCs w:val="18"/>
                  <w:color w:val="0000EE"/>
                </w:rPr>
                <w:t>Note 7 — Debt and Lines of Credit</w:t>
              </w:r>
            </w:hyperlink>
          </w:p>
        </w:tc>
        <w:tc>
          <w:tcPr>
            <w:tcW w:w="660" w:type="dxa"/>
            <w:vAlign w:val="bottom"/>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57</w:t>
              </w:r>
            </w:hyperlink>
          </w:p>
        </w:tc>
      </w:tr>
      <w:tr>
        <w:trPr>
          <w:trHeight w:val="257"/>
        </w:trPr>
        <w:tc>
          <w:tcPr>
            <w:tcW w:w="10560" w:type="dxa"/>
            <w:vAlign w:val="bottom"/>
            <w:gridSpan w:val="2"/>
          </w:tcPr>
          <w:p>
            <w:pPr>
              <w:ind w:left="280"/>
              <w:spacing w:after="0"/>
              <w:rPr>
                <w:rFonts w:ascii="Arial" w:cs="Arial" w:eastAsia="Arial" w:hAnsi="Arial"/>
                <w:sz w:val="18"/>
                <w:szCs w:val="18"/>
                <w:color w:val="0000EE"/>
              </w:rPr>
            </w:pPr>
            <w:hyperlink w:anchor="page60">
              <w:r>
                <w:rPr>
                  <w:rFonts w:ascii="Arial" w:cs="Arial" w:eastAsia="Arial" w:hAnsi="Arial"/>
                  <w:sz w:val="18"/>
                  <w:szCs w:val="18"/>
                  <w:color w:val="0000EE"/>
                </w:rPr>
                <w:t>Note 8 — Commitments and Contingencies</w:t>
              </w:r>
            </w:hyperlink>
          </w:p>
        </w:tc>
        <w:tc>
          <w:tcPr>
            <w:tcW w:w="660" w:type="dxa"/>
            <w:vAlign w:val="bottom"/>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58</w:t>
              </w:r>
            </w:hyperlink>
          </w:p>
        </w:tc>
      </w:tr>
      <w:tr>
        <w:trPr>
          <w:trHeight w:val="257"/>
        </w:trPr>
        <w:tc>
          <w:tcPr>
            <w:tcW w:w="10560" w:type="dxa"/>
            <w:vAlign w:val="bottom"/>
            <w:gridSpan w:val="2"/>
          </w:tcPr>
          <w:p>
            <w:pPr>
              <w:ind w:left="280"/>
              <w:spacing w:after="0"/>
              <w:rPr>
                <w:rFonts w:ascii="Arial" w:cs="Arial" w:eastAsia="Arial" w:hAnsi="Arial"/>
                <w:sz w:val="18"/>
                <w:szCs w:val="18"/>
                <w:color w:val="0000EE"/>
              </w:rPr>
            </w:pPr>
            <w:hyperlink w:anchor="page63">
              <w:r>
                <w:rPr>
                  <w:rFonts w:ascii="Arial" w:cs="Arial" w:eastAsia="Arial" w:hAnsi="Arial"/>
                  <w:sz w:val="18"/>
                  <w:szCs w:val="18"/>
                  <w:color w:val="0000EE"/>
                </w:rPr>
                <w:t>Note 9 — Revenue Recognition</w:t>
              </w:r>
            </w:hyperlink>
          </w:p>
        </w:tc>
        <w:tc>
          <w:tcPr>
            <w:tcW w:w="660" w:type="dxa"/>
            <w:vAlign w:val="bottom"/>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61</w:t>
              </w:r>
            </w:hyperlink>
          </w:p>
        </w:tc>
      </w:tr>
      <w:tr>
        <w:trPr>
          <w:trHeight w:val="257"/>
        </w:trPr>
        <w:tc>
          <w:tcPr>
            <w:tcW w:w="10560" w:type="dxa"/>
            <w:vAlign w:val="bottom"/>
            <w:gridSpan w:val="2"/>
          </w:tcPr>
          <w:p>
            <w:pPr>
              <w:ind w:left="280"/>
              <w:spacing w:after="0"/>
              <w:rPr>
                <w:rFonts w:ascii="Arial" w:cs="Arial" w:eastAsia="Arial" w:hAnsi="Arial"/>
                <w:sz w:val="18"/>
                <w:szCs w:val="18"/>
                <w:color w:val="0000EE"/>
              </w:rPr>
            </w:pPr>
            <w:hyperlink w:anchor="page65">
              <w:r>
                <w:rPr>
                  <w:rFonts w:ascii="Arial" w:cs="Arial" w:eastAsia="Arial" w:hAnsi="Arial"/>
                  <w:sz w:val="18"/>
                  <w:szCs w:val="18"/>
                  <w:color w:val="0000EE"/>
                </w:rPr>
                <w:t>Note 10 — Share-based Payments</w:t>
              </w:r>
            </w:hyperlink>
          </w:p>
        </w:tc>
        <w:tc>
          <w:tcPr>
            <w:tcW w:w="660" w:type="dxa"/>
            <w:vAlign w:val="bottom"/>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63</w:t>
              </w:r>
            </w:hyperlink>
          </w:p>
        </w:tc>
      </w:tr>
      <w:tr>
        <w:trPr>
          <w:trHeight w:val="256"/>
        </w:trPr>
        <w:tc>
          <w:tcPr>
            <w:tcW w:w="10560" w:type="dxa"/>
            <w:vAlign w:val="bottom"/>
            <w:gridSpan w:val="2"/>
          </w:tcPr>
          <w:p>
            <w:pPr>
              <w:ind w:left="280"/>
              <w:spacing w:after="0"/>
              <w:rPr>
                <w:rFonts w:ascii="Arial" w:cs="Arial" w:eastAsia="Arial" w:hAnsi="Arial"/>
                <w:sz w:val="18"/>
                <w:szCs w:val="18"/>
                <w:color w:val="0000EE"/>
              </w:rPr>
            </w:pPr>
            <w:hyperlink w:anchor="page68">
              <w:r>
                <w:rPr>
                  <w:rFonts w:ascii="Arial" w:cs="Arial" w:eastAsia="Arial" w:hAnsi="Arial"/>
                  <w:sz w:val="18"/>
                  <w:szCs w:val="18"/>
                  <w:color w:val="0000EE"/>
                </w:rPr>
                <w:t>Note 11 — Pension and Defined Contribution Plans</w:t>
              </w:r>
            </w:hyperlink>
          </w:p>
        </w:tc>
        <w:tc>
          <w:tcPr>
            <w:tcW w:w="660" w:type="dxa"/>
            <w:vAlign w:val="bottom"/>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66</w:t>
              </w:r>
            </w:hyperlink>
          </w:p>
        </w:tc>
      </w:tr>
      <w:tr>
        <w:trPr>
          <w:trHeight w:val="257"/>
        </w:trPr>
        <w:tc>
          <w:tcPr>
            <w:tcW w:w="10560" w:type="dxa"/>
            <w:vAlign w:val="bottom"/>
            <w:gridSpan w:val="2"/>
          </w:tcPr>
          <w:p>
            <w:pPr>
              <w:ind w:left="280"/>
              <w:spacing w:after="0"/>
              <w:rPr>
                <w:rFonts w:ascii="Arial" w:cs="Arial" w:eastAsia="Arial" w:hAnsi="Arial"/>
                <w:sz w:val="18"/>
                <w:szCs w:val="18"/>
                <w:color w:val="0000EE"/>
              </w:rPr>
            </w:pPr>
            <w:hyperlink w:anchor="page74">
              <w:r>
                <w:rPr>
                  <w:rFonts w:ascii="Arial" w:cs="Arial" w:eastAsia="Arial" w:hAnsi="Arial"/>
                  <w:sz w:val="18"/>
                  <w:szCs w:val="18"/>
                  <w:color w:val="0000EE"/>
                </w:rPr>
                <w:t>Note 12 — Special Charges</w:t>
              </w:r>
            </w:hyperlink>
          </w:p>
        </w:tc>
        <w:tc>
          <w:tcPr>
            <w:tcW w:w="660" w:type="dxa"/>
            <w:vAlign w:val="bottom"/>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72</w:t>
              </w:r>
            </w:hyperlink>
          </w:p>
        </w:tc>
      </w:tr>
      <w:tr>
        <w:trPr>
          <w:trHeight w:val="257"/>
        </w:trPr>
        <w:tc>
          <w:tcPr>
            <w:tcW w:w="10560" w:type="dxa"/>
            <w:vAlign w:val="bottom"/>
            <w:gridSpan w:val="2"/>
          </w:tcPr>
          <w:p>
            <w:pPr>
              <w:ind w:left="280"/>
              <w:spacing w:after="0"/>
              <w:rPr>
                <w:rFonts w:ascii="Arial" w:cs="Arial" w:eastAsia="Arial" w:hAnsi="Arial"/>
                <w:sz w:val="18"/>
                <w:szCs w:val="18"/>
                <w:color w:val="0000EE"/>
              </w:rPr>
            </w:pPr>
            <w:hyperlink w:anchor="page75">
              <w:r>
                <w:rPr>
                  <w:rFonts w:ascii="Arial" w:cs="Arial" w:eastAsia="Arial" w:hAnsi="Arial"/>
                  <w:sz w:val="18"/>
                  <w:szCs w:val="18"/>
                  <w:color w:val="0000EE"/>
                </w:rPr>
                <w:t>Note 13 — Common Stock and Related Matters</w:t>
              </w:r>
            </w:hyperlink>
          </w:p>
        </w:tc>
        <w:tc>
          <w:tcPr>
            <w:tcW w:w="660" w:type="dxa"/>
            <w:vAlign w:val="bottom"/>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74</w:t>
              </w:r>
            </w:hyperlink>
          </w:p>
        </w:tc>
      </w:tr>
      <w:tr>
        <w:trPr>
          <w:trHeight w:val="257"/>
        </w:trPr>
        <w:tc>
          <w:tcPr>
            <w:tcW w:w="10560" w:type="dxa"/>
            <w:vAlign w:val="bottom"/>
            <w:gridSpan w:val="2"/>
          </w:tcPr>
          <w:p>
            <w:pPr>
              <w:ind w:left="280"/>
              <w:spacing w:after="0"/>
              <w:rPr>
                <w:rFonts w:ascii="Arial" w:cs="Arial" w:eastAsia="Arial" w:hAnsi="Arial"/>
                <w:sz w:val="18"/>
                <w:szCs w:val="18"/>
                <w:color w:val="0000EE"/>
              </w:rPr>
            </w:pPr>
            <w:hyperlink w:anchor="page76">
              <w:r>
                <w:rPr>
                  <w:rFonts w:ascii="Arial" w:cs="Arial" w:eastAsia="Arial" w:hAnsi="Arial"/>
                  <w:sz w:val="18"/>
                  <w:szCs w:val="18"/>
                  <w:color w:val="0000EE"/>
                </w:rPr>
                <w:t>Note 14 — Income Taxes</w:t>
              </w:r>
            </w:hyperlink>
          </w:p>
        </w:tc>
        <w:tc>
          <w:tcPr>
            <w:tcW w:w="660" w:type="dxa"/>
            <w:vAlign w:val="bottom"/>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74</w:t>
              </w:r>
            </w:hyperlink>
          </w:p>
        </w:tc>
      </w:tr>
      <w:tr>
        <w:trPr>
          <w:trHeight w:val="256"/>
        </w:trPr>
        <w:tc>
          <w:tcPr>
            <w:tcW w:w="10560" w:type="dxa"/>
            <w:vAlign w:val="bottom"/>
            <w:gridSpan w:val="2"/>
          </w:tcPr>
          <w:p>
            <w:pPr>
              <w:ind w:left="280"/>
              <w:spacing w:after="0"/>
              <w:rPr>
                <w:rFonts w:ascii="Arial" w:cs="Arial" w:eastAsia="Arial" w:hAnsi="Arial"/>
                <w:sz w:val="18"/>
                <w:szCs w:val="18"/>
                <w:color w:val="0000EE"/>
              </w:rPr>
            </w:pPr>
            <w:hyperlink w:anchor="page79">
              <w:r>
                <w:rPr>
                  <w:rFonts w:ascii="Arial" w:cs="Arial" w:eastAsia="Arial" w:hAnsi="Arial"/>
                  <w:sz w:val="18"/>
                  <w:szCs w:val="18"/>
                  <w:color w:val="0000EE"/>
                </w:rPr>
                <w:t>Note 15 — Supplemental Disaggregated Information</w:t>
              </w:r>
            </w:hyperlink>
          </w:p>
        </w:tc>
        <w:tc>
          <w:tcPr>
            <w:tcW w:w="660" w:type="dxa"/>
            <w:vAlign w:val="bottom"/>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77</w:t>
              </w:r>
            </w:hyperlink>
          </w:p>
        </w:tc>
      </w:tr>
      <w:tr>
        <w:trPr>
          <w:trHeight w:val="257"/>
        </w:trPr>
        <w:tc>
          <w:tcPr>
            <w:tcW w:w="10560" w:type="dxa"/>
            <w:vAlign w:val="bottom"/>
            <w:gridSpan w:val="2"/>
          </w:tcPr>
          <w:p>
            <w:pPr>
              <w:ind w:left="280"/>
              <w:spacing w:after="0"/>
              <w:rPr>
                <w:rFonts w:ascii="Arial" w:cs="Arial" w:eastAsia="Arial" w:hAnsi="Arial"/>
                <w:sz w:val="18"/>
                <w:szCs w:val="18"/>
                <w:color w:val="0000EE"/>
              </w:rPr>
            </w:pPr>
            <w:hyperlink w:anchor="page79">
              <w:r>
                <w:rPr>
                  <w:rFonts w:ascii="Arial" w:cs="Arial" w:eastAsia="Arial" w:hAnsi="Arial"/>
                  <w:sz w:val="18"/>
                  <w:szCs w:val="18"/>
                  <w:color w:val="0000EE"/>
                </w:rPr>
                <w:t>Note 16 — Subsequent Event</w:t>
              </w:r>
            </w:hyperlink>
          </w:p>
        </w:tc>
        <w:tc>
          <w:tcPr>
            <w:tcW w:w="660" w:type="dxa"/>
            <w:vAlign w:val="bottom"/>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77</w:t>
              </w:r>
            </w:hyperlink>
          </w:p>
        </w:tc>
      </w:tr>
      <w:tr>
        <w:trPr>
          <w:trHeight w:val="256"/>
        </w:trPr>
        <w:tc>
          <w:tcPr>
            <w:tcW w:w="10560" w:type="dxa"/>
            <w:vAlign w:val="bottom"/>
            <w:gridSpan w:val="2"/>
          </w:tcPr>
          <w:p>
            <w:pPr>
              <w:ind w:left="280"/>
              <w:spacing w:after="0"/>
              <w:rPr>
                <w:rFonts w:ascii="Arial" w:cs="Arial" w:eastAsia="Arial" w:hAnsi="Arial"/>
                <w:sz w:val="18"/>
                <w:szCs w:val="18"/>
                <w:color w:val="0000EE"/>
              </w:rPr>
            </w:pPr>
            <w:hyperlink w:anchor="page80">
              <w:r>
                <w:rPr>
                  <w:rFonts w:ascii="Arial" w:cs="Arial" w:eastAsia="Arial" w:hAnsi="Arial"/>
                  <w:sz w:val="18"/>
                  <w:szCs w:val="18"/>
                  <w:color w:val="0000EE"/>
                </w:rPr>
                <w:t>Note 17 — Quarterly Financial Data (Unaudited)</w:t>
              </w:r>
            </w:hyperlink>
          </w:p>
        </w:tc>
        <w:tc>
          <w:tcPr>
            <w:tcW w:w="660" w:type="dxa"/>
            <w:vAlign w:val="bottom"/>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r>
      <w:tr>
        <w:trPr>
          <w:trHeight w:val="662"/>
        </w:trPr>
        <w:tc>
          <w:tcPr>
            <w:tcW w:w="940" w:type="dxa"/>
            <w:vAlign w:val="bottom"/>
          </w:tcPr>
          <w:p>
            <w:pPr>
              <w:spacing w:after="0"/>
              <w:rPr>
                <w:sz w:val="24"/>
                <w:szCs w:val="24"/>
                <w:color w:val="auto"/>
              </w:rPr>
            </w:pPr>
          </w:p>
        </w:tc>
        <w:tc>
          <w:tcPr>
            <w:tcW w:w="9620" w:type="dxa"/>
            <w:vAlign w:val="bottom"/>
          </w:tcPr>
          <w:p>
            <w:pPr>
              <w:jc w:val="right"/>
              <w:ind w:right="4750"/>
              <w:spacing w:after="0"/>
              <w:rPr>
                <w:sz w:val="20"/>
                <w:szCs w:val="20"/>
                <w:color w:val="auto"/>
              </w:rPr>
            </w:pPr>
            <w:r>
              <w:rPr>
                <w:rFonts w:ascii="Arial" w:cs="Arial" w:eastAsia="Arial" w:hAnsi="Arial"/>
                <w:sz w:val="18"/>
                <w:szCs w:val="18"/>
                <w:color w:val="auto"/>
              </w:rPr>
              <w:t>34</w:t>
            </w:r>
          </w:p>
        </w:tc>
        <w:tc>
          <w:tcPr>
            <w:tcW w:w="660" w:type="dxa"/>
            <w:vAlign w:val="bottom"/>
          </w:tcPr>
          <w:p>
            <w:pPr>
              <w:spacing w:after="0"/>
              <w:rPr>
                <w:sz w:val="24"/>
                <w:szCs w:val="24"/>
                <w:color w:val="auto"/>
              </w:rPr>
            </w:pPr>
          </w:p>
        </w:tc>
      </w:tr>
    </w:tbl>
    <w:p>
      <w:pPr>
        <w:sectPr>
          <w:pgSz w:w="11900" w:h="16838" w:orient="portrait"/>
          <w:cols w:equalWidth="0" w:num="1">
            <w:col w:w="11220"/>
          </w:cols>
          <w:pgMar w:left="320" w:top="260" w:right="3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management of Acuity Brands, Inc. is responsible for establishing and maintaining adequate internal control over financial reporting. Internal control over financial reporting is defined in Rule 13a-15(f) and 15d-15(f) promulgated under the Securities Exchange Act of 1934.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August 31, 2020. In making this assessment, the Company’s management used the criteria set forth by the Committee of Sponsoring Organizations of the Treadway Commission (“COSO”) in Internal Control-Integrated Framework (2013 Framework). Based on this assessment, management believes that, as of August 31, 2020, the Company’s internal control over financial reporting is effective.</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Management’s assessment of and conclusion on the effectiveness of internal control over financial reporting did not include the internal controls of the acquired businesses of The Luminaires Group and LocusLabs, Inc. (collectively, the “2020 Acquisitions”), which are included in the Company’s consolidated financial statements as of August 31, 2020 and for the period from the respective acquisition dates through August 31, 2020. As of August 31, 2020, the 2020 Acquisitions constituted less than 3% and 8% of the Company’s tangible assets and net tangible assets, respectively. For the year ended August 31, 2020, the 2020 Acquisitions constituted less than 3% and 2% of the Company's net sales and pre-tax income, respectively.</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independent registered public accounting firm has issued an audit report on their audit of the Company’s internal control over financial reporting. This report dated October 23, 2020 is included within this Form 10-K.</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0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/s/ NEIL M. ASHE</w:t>
            </w:r>
          </w:p>
        </w:tc>
        <w:tc>
          <w:tcPr>
            <w:tcW w:w="340" w:type="dxa"/>
            <w:vAlign w:val="bottom"/>
          </w:tcPr>
          <w:p>
            <w:pPr>
              <w:spacing w:after="0"/>
              <w:rPr>
                <w:sz w:val="19"/>
                <w:szCs w:val="19"/>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KAREN J. HOLCOM</w:t>
            </w:r>
          </w:p>
        </w:tc>
      </w:tr>
      <w:tr>
        <w:trPr>
          <w:trHeight w:val="207"/>
        </w:trPr>
        <w:tc>
          <w:tcPr>
            <w:tcW w:w="5400" w:type="dxa"/>
            <w:vAlign w:val="bottom"/>
          </w:tcPr>
          <w:p>
            <w:pPr>
              <w:jc w:val="center"/>
              <w:ind w:left="110"/>
              <w:spacing w:after="0"/>
              <w:rPr>
                <w:sz w:val="20"/>
                <w:szCs w:val="20"/>
                <w:color w:val="auto"/>
              </w:rPr>
            </w:pPr>
            <w:r>
              <w:rPr>
                <w:rFonts w:ascii="Arial" w:cs="Arial" w:eastAsia="Arial" w:hAnsi="Arial"/>
                <w:sz w:val="18"/>
                <w:szCs w:val="18"/>
                <w:b w:val="1"/>
                <w:bCs w:val="1"/>
                <w:color w:val="auto"/>
              </w:rPr>
              <w:t>Neil M. Ashe</w:t>
            </w:r>
          </w:p>
        </w:tc>
        <w:tc>
          <w:tcPr>
            <w:tcW w:w="340" w:type="dxa"/>
            <w:vAlign w:val="bottom"/>
          </w:tcPr>
          <w:p>
            <w:pPr>
              <w:spacing w:after="0"/>
              <w:rPr>
                <w:sz w:val="17"/>
                <w:szCs w:val="17"/>
                <w:color w:val="auto"/>
              </w:rPr>
            </w:pP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9"/>
              </w:rPr>
              <w:t>Karen J. Holcom</w:t>
            </w:r>
          </w:p>
        </w:tc>
      </w:tr>
      <w:tr>
        <w:trPr>
          <w:trHeight w:val="203"/>
        </w:trPr>
        <w:tc>
          <w:tcPr>
            <w:tcW w:w="5400" w:type="dxa"/>
            <w:vAlign w:val="bottom"/>
          </w:tcPr>
          <w:p>
            <w:pPr>
              <w:jc w:val="center"/>
              <w:ind w:left="110"/>
              <w:spacing w:after="0" w:line="202" w:lineRule="exact"/>
              <w:rPr>
                <w:sz w:val="20"/>
                <w:szCs w:val="20"/>
                <w:color w:val="auto"/>
              </w:rPr>
            </w:pPr>
            <w:r>
              <w:rPr>
                <w:rFonts w:ascii="Arial" w:cs="Arial" w:eastAsia="Arial" w:hAnsi="Arial"/>
                <w:sz w:val="18"/>
                <w:szCs w:val="18"/>
                <w:b w:val="1"/>
                <w:bCs w:val="1"/>
                <w:color w:val="auto"/>
              </w:rPr>
              <w:t>President and</w:t>
            </w:r>
          </w:p>
        </w:tc>
        <w:tc>
          <w:tcPr>
            <w:tcW w:w="340" w:type="dxa"/>
            <w:vAlign w:val="bottom"/>
          </w:tcPr>
          <w:p>
            <w:pPr>
              <w:spacing w:after="0"/>
              <w:rPr>
                <w:sz w:val="17"/>
                <w:szCs w:val="17"/>
                <w:color w:val="auto"/>
              </w:rPr>
            </w:pPr>
          </w:p>
        </w:tc>
        <w:tc>
          <w:tcPr>
            <w:tcW w:w="5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Senior Vice President and</w:t>
            </w:r>
          </w:p>
        </w:tc>
      </w:tr>
      <w:tr>
        <w:trPr>
          <w:trHeight w:val="239"/>
        </w:trPr>
        <w:tc>
          <w:tcPr>
            <w:tcW w:w="540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Chief Executive Officer</w:t>
            </w:r>
          </w:p>
        </w:tc>
        <w:tc>
          <w:tcPr>
            <w:tcW w:w="34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9"/>
              </w:rPr>
              <w:t>Chief Financial Officer</w:t>
            </w:r>
          </w:p>
        </w:tc>
      </w:tr>
      <w:tr>
        <w:trPr>
          <w:trHeight w:val="878"/>
        </w:trPr>
        <w:tc>
          <w:tcPr>
            <w:tcW w:w="54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c>
          <w:tcPr>
            <w:tcW w:w="5500" w:type="dxa"/>
            <w:vAlign w:val="bottom"/>
          </w:tcPr>
          <w:p>
            <w:pPr>
              <w:spacing w:after="0"/>
              <w:rPr>
                <w:sz w:val="24"/>
                <w:szCs w:val="24"/>
                <w:color w:val="auto"/>
              </w:rPr>
            </w:pPr>
          </w:p>
        </w:tc>
      </w:tr>
    </w:tbl>
    <w:p>
      <w:pPr>
        <w:sectPr>
          <w:pgSz w:w="11900" w:h="16838" w:orient="portrait"/>
          <w:cols w:equalWidth="0" w:num="1">
            <w:col w:w="11240"/>
          </w:cols>
          <w:pgMar w:left="320" w:top="260"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Acuity Brands,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Acuity Brands, Inc. (the Company) as of August 31, 2020 and 2019, the related consolidated statements of comprehensive income, cash flows and stockholders’ equity for each of the three years in the period ended August 31, 2020,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August 31, 2020 and 2019, and the results of its operations and its cash flows for each of the three years in the period ended August 31, 2020, in conformity with U.S. generally accepted accounting principles.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August 31, 2020, based on criteria established in Internal Control-Integrated Framework issued by the Committee of Sponsoring Organizations of the Treadway Commission (2013 framework), and our report dated October 23, 2020 expressed an unqualified opinion thereon.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260"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Indefinite-Lived Trade Names</w:t>
      </w:r>
    </w:p>
    <w:p>
      <w:pPr>
        <w:sectPr>
          <w:pgSz w:w="11900" w:h="16838" w:orient="portrait"/>
          <w:cols w:equalWidth="0" w:num="1">
            <w:col w:w="11220"/>
          </w:cols>
          <w:pgMar w:left="320" w:top="260" w:right="359" w:bottom="1440" w:gutter="0" w:footer="0" w:header="0"/>
        </w:sectPr>
      </w:pPr>
    </w:p>
    <w:p>
      <w:pPr>
        <w:spacing w:after="0" w:line="308" w:lineRule="exact"/>
        <w:rPr>
          <w:sz w:val="20"/>
          <w:szCs w:val="20"/>
          <w:color w:val="auto"/>
        </w:rPr>
      </w:pPr>
    </w:p>
    <w:p>
      <w:pPr>
        <w:ind w:left="40"/>
        <w:spacing w:after="0" w:line="26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At August 31, 2020, the Company’s indefinite-lived intangible assets consisted of thirteen trade names with an aggregate carrying value of approximately $ 174.3 million. As explained in Note 2 to the consolidated financial statements, the Company tests indefinite-lived trade names for impairment on an annual basis or more frequently as facts and circumstances change. If the carrying amount exceeds the estimated fair value, an impairment loss would be recorded in the amount equal to the excess.</w:t>
      </w:r>
    </w:p>
    <w:p>
      <w:pPr>
        <w:spacing w:after="0" w:line="189" w:lineRule="exact"/>
        <w:rPr>
          <w:sz w:val="20"/>
          <w:szCs w:val="20"/>
          <w:color w:val="auto"/>
        </w:rPr>
      </w:pPr>
    </w:p>
    <w:p>
      <w:pPr>
        <w:sectPr>
          <w:pgSz w:w="11900" w:h="16838" w:orient="portrait"/>
          <w:cols w:equalWidth="0" w:num="2">
            <w:col w:w="1440" w:space="180"/>
            <w:col w:w="9600"/>
          </w:cols>
          <w:pgMar w:left="320" w:top="260" w:right="359" w:bottom="1440" w:gutter="0" w:footer="0" w:header="0"/>
          <w:type w:val="continuous"/>
        </w:sectPr>
      </w:pPr>
    </w:p>
    <w:p>
      <w:pPr>
        <w:jc w:val="both"/>
        <w:ind w:left="1620"/>
        <w:spacing w:after="0" w:line="237" w:lineRule="auto"/>
        <w:rPr>
          <w:sz w:val="20"/>
          <w:szCs w:val="20"/>
          <w:color w:val="auto"/>
        </w:rPr>
      </w:pPr>
      <w:r>
        <w:rPr>
          <w:rFonts w:ascii="Arial" w:cs="Arial" w:eastAsia="Arial" w:hAnsi="Arial"/>
          <w:sz w:val="18"/>
          <w:szCs w:val="18"/>
          <w:color w:val="auto"/>
        </w:rPr>
        <w:t>Auditing the Company’s impairment tests for indefinite-lived trade names was especially complex due to the judgmental nature of the significant assumptions used in the determination of estimated fair values for trade names. The Company estimates the fair values of trade names using a fair value model based on discounted future cash flows. Significant assumptions used to estimate the value of the trade names included estimated future net sales (including short- and long-term growth rates), discount rates and royalty rates, all of which are forward-looking and could be affected by economic, industry and company-specific qualitative factors. Short-term growth rates reflect increased estimation uncertainty as a result of the COVID-19 pandemic.</w:t>
      </w:r>
    </w:p>
    <w:p>
      <w:pPr>
        <w:spacing w:after="0" w:line="225" w:lineRule="exact"/>
        <w:rPr>
          <w:sz w:val="20"/>
          <w:szCs w:val="20"/>
          <w:color w:val="auto"/>
        </w:rPr>
      </w:pPr>
    </w:p>
    <w:p>
      <w:pPr>
        <w:ind w:left="40" w:right="20"/>
        <w:spacing w:after="0" w:line="253" w:lineRule="auto"/>
        <w:rPr>
          <w:sz w:val="20"/>
          <w:szCs w:val="20"/>
          <w:color w:val="auto"/>
        </w:rPr>
      </w:pPr>
      <w:r>
        <w:rPr>
          <w:rFonts w:ascii="Arial" w:cs="Arial" w:eastAsia="Arial" w:hAnsi="Arial"/>
          <w:sz w:val="18"/>
          <w:szCs w:val="18"/>
          <w:i w:val="1"/>
          <w:iCs w:val="1"/>
          <w:color w:val="auto"/>
        </w:rPr>
        <w:t xml:space="preserve">How We </w:t>
      </w:r>
      <w:r>
        <w:rPr>
          <w:rFonts w:ascii="Arial" w:cs="Arial" w:eastAsia="Arial" w:hAnsi="Arial"/>
          <w:sz w:val="18"/>
          <w:szCs w:val="18"/>
          <w:color w:val="auto"/>
        </w:rPr>
        <w:t>We obtained an understanding, evaluated the design and tested the operating effectiveness of controls over the</w:t>
      </w:r>
      <w:r>
        <w:rPr>
          <w:rFonts w:ascii="Arial" w:cs="Arial" w:eastAsia="Arial" w:hAnsi="Arial"/>
          <w:sz w:val="18"/>
          <w:szCs w:val="18"/>
          <w:i w:val="1"/>
          <w:iCs w:val="1"/>
          <w:color w:val="auto"/>
        </w:rPr>
        <w:t xml:space="preserve"> Addressed the </w:t>
      </w:r>
      <w:r>
        <w:rPr>
          <w:rFonts w:ascii="Arial" w:cs="Arial" w:eastAsia="Arial" w:hAnsi="Arial"/>
          <w:sz w:val="18"/>
          <w:szCs w:val="18"/>
          <w:color w:val="auto"/>
        </w:rPr>
        <w:t>Company’s annual impairment process. This included testing controls over management’s review of the discounted cash</w:t>
      </w:r>
    </w:p>
    <w:p>
      <w:pPr>
        <w:sectPr>
          <w:pgSz w:w="11900" w:h="16838" w:orient="portrait"/>
          <w:cols w:equalWidth="0" w:num="1">
            <w:col w:w="11220"/>
          </w:cols>
          <w:pgMar w:left="320" w:top="260" w:right="359" w:bottom="1440" w:gutter="0" w:footer="0" w:header="0"/>
          <w:type w:val="continuous"/>
        </w:sectPr>
      </w:pPr>
    </w:p>
    <w:p>
      <w:pPr>
        <w:ind w:left="40"/>
        <w:spacing w:after="0" w:line="235" w:lineRule="auto"/>
        <w:rPr>
          <w:sz w:val="20"/>
          <w:szCs w:val="20"/>
          <w:color w:val="auto"/>
        </w:rPr>
      </w:pPr>
      <w:r>
        <w:rPr>
          <w:rFonts w:ascii="Arial" w:cs="Arial" w:eastAsia="Arial" w:hAnsi="Arial"/>
          <w:sz w:val="18"/>
          <w:szCs w:val="18"/>
          <w:i w:val="1"/>
          <w:iCs w:val="1"/>
          <w:color w:val="auto"/>
        </w:rPr>
        <w:t xml:space="preserve">Matter in Our Audit </w:t>
      </w:r>
      <w:r>
        <w:rPr>
          <w:rFonts w:ascii="Arial" w:cs="Arial" w:eastAsia="Arial" w:hAnsi="Arial"/>
          <w:sz w:val="18"/>
          <w:szCs w:val="18"/>
          <w:color w:val="auto"/>
        </w:rPr>
        <w:t>flow model, including the significant assumptions described above.</w:t>
      </w:r>
    </w:p>
    <w:p>
      <w:pPr>
        <w:spacing w:after="0" w:line="189" w:lineRule="exact"/>
        <w:rPr>
          <w:sz w:val="20"/>
          <w:szCs w:val="20"/>
          <w:color w:val="auto"/>
        </w:rPr>
      </w:pPr>
    </w:p>
    <w:p>
      <w:pPr>
        <w:jc w:val="both"/>
        <w:ind w:left="1620"/>
        <w:spacing w:after="0" w:line="236" w:lineRule="auto"/>
        <w:rPr>
          <w:sz w:val="20"/>
          <w:szCs w:val="20"/>
          <w:color w:val="auto"/>
        </w:rPr>
      </w:pPr>
      <w:r>
        <w:rPr>
          <w:rFonts w:ascii="Arial" w:cs="Arial" w:eastAsia="Arial" w:hAnsi="Arial"/>
          <w:sz w:val="18"/>
          <w:szCs w:val="18"/>
          <w:color w:val="auto"/>
        </w:rPr>
        <w:t>To test the fair values of the Company’s indefinite-lived trade names, our audit procedures included, among others, evaluating the Company’s use of the discounted cash flow model, the completeness and accuracy of the underlying data and the significant assumptions described above. We compared the significant assumptions to current industry, market and economic trends, including the impact of the COVID-19 pandemic, the Company’s historical results and other relevant factors. We involved our valuation specialists to assist in evaluating the Company’s discount rates and royalty rates. In addition, we considered the accuracy of the Company’s historical projections of net sales compared to actual net sales. We also performed a sensitivity analysis to evaluate the potential change in the fair values of the trade names resulting from changes in the significant assumptions.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Intangible Assets Resulting from the Acquisition of The Luminaires Group</w:t>
      </w:r>
    </w:p>
    <w:p>
      <w:pPr>
        <w:spacing w:after="0" w:line="292" w:lineRule="exact"/>
        <w:rPr>
          <w:sz w:val="20"/>
          <w:szCs w:val="20"/>
          <w:color w:val="auto"/>
        </w:rPr>
      </w:pPr>
    </w:p>
    <w:p>
      <w:pPr>
        <w:ind w:left="40"/>
        <w:spacing w:after="0"/>
        <w:tabs>
          <w:tab w:leader="none" w:pos="160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8"/>
          <w:szCs w:val="18"/>
          <w:color w:val="auto"/>
        </w:rPr>
        <w:t>As described in Note 4 to the consolidated financial statements, the Company acquired all equity interests of The</w:t>
      </w:r>
    </w:p>
    <w:p>
      <w:pPr>
        <w:spacing w:after="0" w:line="14" w:lineRule="exact"/>
        <w:rPr>
          <w:sz w:val="20"/>
          <w:szCs w:val="20"/>
          <w:color w:val="auto"/>
        </w:rPr>
      </w:pPr>
    </w:p>
    <w:p>
      <w:pPr>
        <w:jc w:val="both"/>
        <w:ind w:left="1620" w:hanging="1579"/>
        <w:spacing w:after="0" w:line="238" w:lineRule="auto"/>
        <w:tabs>
          <w:tab w:leader="none" w:pos="160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Luminaires Group (“TLG”) in September 2019. The Company preliminarily accounted for the acquisition as a business combination by recognizing the assets acquired and liabilities assumed at their estimated acquisition-date fair values. Among the assets acquired, the Company recognized identifiable intangible assets, which primarily consisted of indefinite-lived marketing-based intangible assets and definite-lived customer-based intangible assets.</w:t>
      </w:r>
    </w:p>
    <w:p>
      <w:pPr>
        <w:spacing w:after="0" w:line="191" w:lineRule="exact"/>
        <w:rPr>
          <w:sz w:val="20"/>
          <w:szCs w:val="20"/>
          <w:color w:val="auto"/>
        </w:rPr>
      </w:pPr>
    </w:p>
    <w:p>
      <w:pPr>
        <w:jc w:val="both"/>
        <w:ind w:left="1620"/>
        <w:spacing w:after="0" w:line="237" w:lineRule="auto"/>
        <w:rPr>
          <w:sz w:val="20"/>
          <w:szCs w:val="20"/>
          <w:color w:val="auto"/>
        </w:rPr>
      </w:pPr>
      <w:r>
        <w:rPr>
          <w:rFonts w:ascii="Arial" w:cs="Arial" w:eastAsia="Arial" w:hAnsi="Arial"/>
          <w:sz w:val="18"/>
          <w:szCs w:val="18"/>
          <w:color w:val="auto"/>
        </w:rPr>
        <w:t>Auditing management's accounting for the acquisition of TLG involved especially subjective judgments and complex analyses related to the fair value estimates of the indefinite-lived marketing-related intangible assets and definite-lived customer-based intangibles assets due to the significant estimation uncertainty in determining the fair values of these assets. The estimate of fair value of the acquired indefinite-lived marketing-related intangible assets is sensitive to changes in assumptions impacting the discounted future cash flows of the acquired business. The estimate of fair value of the acquired definite-lived customer-based intangible assets is also sensitive to changes in assumptions impacting the discounted future cash flows of the acquired business.</w:t>
      </w:r>
    </w:p>
    <w:p>
      <w:pPr>
        <w:spacing w:after="0" w:line="189" w:lineRule="exact"/>
        <w:rPr>
          <w:sz w:val="20"/>
          <w:szCs w:val="20"/>
          <w:color w:val="auto"/>
        </w:rPr>
      </w:pPr>
    </w:p>
    <w:p>
      <w:pPr>
        <w:jc w:val="both"/>
        <w:ind w:left="1620"/>
        <w:spacing w:after="0" w:line="238" w:lineRule="auto"/>
        <w:rPr>
          <w:sz w:val="20"/>
          <w:szCs w:val="20"/>
          <w:color w:val="auto"/>
        </w:rPr>
      </w:pPr>
      <w:r>
        <w:rPr>
          <w:rFonts w:ascii="Arial" w:cs="Arial" w:eastAsia="Arial" w:hAnsi="Arial"/>
          <w:sz w:val="18"/>
          <w:szCs w:val="18"/>
          <w:color w:val="auto"/>
        </w:rPr>
        <w:t>The significant assumptions used to estimate the fair value of the indefinite-lived marketing-related intangible assets include revenue growth rates, estimated royalty rates and discount rates. The significant assumptions used to estimate the fair value of the definite-lived customer-based intangible assets include revenue growth rates, customer attrition rates, profitability margins, and discount rates, which are affected by expectations about future market and economic conditions.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260" w:right="3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left="40"/>
        <w:spacing w:after="0" w:line="245" w:lineRule="auto"/>
        <w:rPr>
          <w:sz w:val="20"/>
          <w:szCs w:val="20"/>
          <w:color w:val="auto"/>
        </w:rPr>
      </w:pPr>
      <w:r>
        <w:rPr>
          <w:rFonts w:ascii="Arial" w:cs="Arial" w:eastAsia="Arial" w:hAnsi="Arial"/>
          <w:sz w:val="18"/>
          <w:szCs w:val="18"/>
          <w:i w:val="1"/>
          <w:iCs w:val="1"/>
          <w:color w:val="auto"/>
        </w:rPr>
        <w:t xml:space="preserve">How We </w:t>
      </w:r>
      <w:r>
        <w:rPr>
          <w:rFonts w:ascii="Arial" w:cs="Arial" w:eastAsia="Arial" w:hAnsi="Arial"/>
          <w:sz w:val="18"/>
          <w:szCs w:val="18"/>
          <w:color w:val="auto"/>
        </w:rPr>
        <w:t>We obtained an understanding, evaluated the design and tested the operating effectiveness of controls over the</w:t>
      </w:r>
      <w:r>
        <w:rPr>
          <w:rFonts w:ascii="Arial" w:cs="Arial" w:eastAsia="Arial" w:hAnsi="Arial"/>
          <w:sz w:val="18"/>
          <w:szCs w:val="18"/>
          <w:i w:val="1"/>
          <w:iCs w:val="1"/>
          <w:color w:val="auto"/>
        </w:rPr>
        <w:t xml:space="preserve"> Addressed the </w:t>
      </w:r>
      <w:r>
        <w:rPr>
          <w:rFonts w:ascii="Arial" w:cs="Arial" w:eastAsia="Arial" w:hAnsi="Arial"/>
          <w:sz w:val="18"/>
          <w:szCs w:val="18"/>
          <w:color w:val="auto"/>
        </w:rPr>
        <w:t>Company’s acquisition process, including controls over management’s review of the assumptions and methodologies</w:t>
      </w:r>
    </w:p>
    <w:p>
      <w:pPr>
        <w:jc w:val="both"/>
        <w:ind w:left="1620" w:hanging="1578"/>
        <w:spacing w:after="0"/>
        <w:rPr>
          <w:sz w:val="20"/>
          <w:szCs w:val="20"/>
          <w:color w:val="auto"/>
        </w:rPr>
      </w:pPr>
      <w:r>
        <w:rPr>
          <w:rFonts w:ascii="Arial" w:cs="Arial" w:eastAsia="Arial" w:hAnsi="Arial"/>
          <w:sz w:val="18"/>
          <w:szCs w:val="18"/>
          <w:i w:val="1"/>
          <w:iCs w:val="1"/>
          <w:color w:val="auto"/>
        </w:rPr>
        <w:t xml:space="preserve">Matter in Our Audit </w:t>
      </w:r>
      <w:r>
        <w:rPr>
          <w:rFonts w:ascii="Arial" w:cs="Arial" w:eastAsia="Arial" w:hAnsi="Arial"/>
          <w:sz w:val="18"/>
          <w:szCs w:val="18"/>
          <w:color w:val="auto"/>
        </w:rPr>
        <w:t>used in the calculation of fair value of indefinite-lived marketing-related intangible assets and definite-lived customer-based intangible assets, as well as the Company’s review of the completeness and accuracy of the data used in the Company’s analysis.</w:t>
      </w:r>
    </w:p>
    <w:p>
      <w:pPr>
        <w:spacing w:after="0" w:line="189" w:lineRule="exact"/>
        <w:rPr>
          <w:sz w:val="20"/>
          <w:szCs w:val="20"/>
          <w:color w:val="auto"/>
        </w:rPr>
      </w:pPr>
    </w:p>
    <w:p>
      <w:pPr>
        <w:jc w:val="both"/>
        <w:ind w:left="1620"/>
        <w:spacing w:after="0" w:line="236" w:lineRule="auto"/>
        <w:rPr>
          <w:sz w:val="20"/>
          <w:szCs w:val="20"/>
          <w:color w:val="auto"/>
        </w:rPr>
      </w:pPr>
      <w:r>
        <w:rPr>
          <w:rFonts w:ascii="Arial" w:cs="Arial" w:eastAsia="Arial" w:hAnsi="Arial"/>
          <w:sz w:val="18"/>
          <w:szCs w:val="18"/>
          <w:color w:val="auto"/>
        </w:rPr>
        <w:t>To test the estimated fair value of the indefinite-lived marketing-based intangible assets and definite-lived customer-based intangible assets, we performed audit procedures that included, among others, assessing valuation methodologies and testing the significant assumptions and underlying data used by the Company. For example, we evaluated the reasonableness of management’s forecasted revenues and profitability margins used in the fair value estimates by comparing those assumptions to the historical results of TLG and current industry, market and economic forecasts. We also involved our valuation specialists to evaluate the valuation methodologies and the reasonableness of the discount rate and royalty rate assumptions used by management in the estimates. As part of this evaluation, we compared the discount rate and royalty rate assumptions to market data. In addition, we performed a sensitivity analysis on the significant assumptions to evaluate the change in the fair values of the indefinite-lived marketing-based intangible assets and definite-lived customer-based intangible assets that would result from the changes in assumptions.</w:t>
      </w:r>
    </w:p>
    <w:p>
      <w:pPr>
        <w:spacing w:after="0" w:line="200" w:lineRule="exact"/>
        <w:rPr>
          <w:sz w:val="20"/>
          <w:szCs w:val="20"/>
          <w:color w:val="auto"/>
        </w:rPr>
      </w:pPr>
    </w:p>
    <w:p>
      <w:pPr>
        <w:spacing w:after="0" w:line="262"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Ernst &amp; Young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320" w:top="260" w:right="3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Acuity Brands,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audited Acuity Brands, Inc.’s internal control over financial reporting as of August 31, 2020, based on criteria established in Internal Control-Integrated Framework issued by the Committee of Sponsoring Organizations of the Treadway Commission (2013 framework) (the COSO criteria). In our opinion, Acuity Brands, Inc. (the Company) maintained, in all material respects, effective internal control over financial reporting as of August 31, 2020, based on the COSO criteria.</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the acquired businesses of The Luminaires Group and LocusLabs, Inc. (collectively, the 2020 Acquisitions), which are included in the 2020 consolidated financial statements of the Company and constituted less than 3% and 8% of tangible assets and net tangible assets, respectively, as of August 31, 2020 and less than 3% and 2% of net sales and pre-tax income, respectively, for the year then ended. Our audit of internal control over financial reporting of the Company also did not include an evaluation of the internal control over financial reporting of the 2020 Acquisitions.</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August 31, 2020 and 2019, the related consolidated statements of comprehensive income, cash flows and stockholders’ equity for each of the three years in the period ended August 31, 2020, and the related notes and financial statement schedule listed in the Index at Item 15(a) and our report dated October 23, 2020 expressed an unqualified opinion thereon.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260"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31"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23,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260"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August 31,</w:t>
            </w:r>
          </w:p>
        </w:tc>
        <w:tc>
          <w:tcPr>
            <w:tcW w:w="840" w:type="dxa"/>
            <w:vAlign w:val="bottom"/>
            <w:tcBorders>
              <w:bottom w:val="single" w:sz="8" w:color="auto"/>
            </w:tcBorders>
          </w:tcPr>
          <w:p>
            <w:pPr>
              <w:spacing w:after="0"/>
              <w:rPr>
                <w:sz w:val="17"/>
                <w:szCs w:val="17"/>
                <w:color w:val="auto"/>
              </w:rPr>
            </w:pPr>
          </w:p>
        </w:tc>
      </w:tr>
      <w:tr>
        <w:trPr>
          <w:trHeight w:val="264"/>
        </w:trPr>
        <w:tc>
          <w:tcPr>
            <w:tcW w:w="86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r>
      <w:tr>
        <w:trPr>
          <w:trHeight w:val="270"/>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8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560.7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461.0</w:t>
            </w:r>
          </w:p>
        </w:tc>
      </w:tr>
      <w:tr>
        <w:trPr>
          <w:trHeight w:val="264"/>
        </w:trPr>
        <w:tc>
          <w:tcPr>
            <w:tcW w:w="8660" w:type="dxa"/>
            <w:vAlign w:val="bottom"/>
          </w:tcPr>
          <w:p>
            <w:pPr>
              <w:ind w:left="180"/>
              <w:spacing w:after="0"/>
              <w:rPr>
                <w:sz w:val="20"/>
                <w:szCs w:val="20"/>
                <w:color w:val="auto"/>
              </w:rPr>
            </w:pPr>
            <w:r>
              <w:rPr>
                <w:rFonts w:ascii="Arial" w:cs="Arial" w:eastAsia="Arial" w:hAnsi="Arial"/>
                <w:sz w:val="14"/>
                <w:szCs w:val="14"/>
                <w:color w:val="auto"/>
              </w:rPr>
              <w:t>Accounts receivable, less reserve for doubtful accounts of $2.6 and $1.0, respectively</w:t>
            </w:r>
          </w:p>
        </w:tc>
        <w:tc>
          <w:tcPr>
            <w:tcW w:w="2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500.3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561.0</w:t>
            </w:r>
          </w:p>
        </w:tc>
      </w:tr>
      <w:tr>
        <w:trPr>
          <w:trHeight w:val="276"/>
        </w:trPr>
        <w:tc>
          <w:tcPr>
            <w:tcW w:w="8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340.8</w:t>
            </w:r>
          </w:p>
        </w:tc>
      </w:tr>
      <w:tr>
        <w:trPr>
          <w:trHeight w:val="264"/>
        </w:trPr>
        <w:tc>
          <w:tcPr>
            <w:tcW w:w="86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Prepayments and other current assets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79.0</w:t>
            </w:r>
          </w:p>
        </w:tc>
      </w:tr>
      <w:tr>
        <w:trPr>
          <w:trHeight w:val="256"/>
        </w:trPr>
        <w:tc>
          <w:tcPr>
            <w:tcW w:w="8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1,439.7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1,441.8</w:t>
            </w: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2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270.5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277.3</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1,080.0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967.3</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605.9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466.0</w:t>
            </w: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2.3</w:t>
            </w:r>
          </w:p>
        </w:tc>
      </w:tr>
      <w:tr>
        <w:trPr>
          <w:trHeight w:val="270"/>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long-term assets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r>
      <w:tr>
        <w:trPr>
          <w:trHeight w:val="283"/>
        </w:trPr>
        <w:tc>
          <w:tcPr>
            <w:tcW w:w="86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3,491.7</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3,172.4</w:t>
            </w:r>
          </w:p>
        </w:tc>
      </w:tr>
      <w:tr>
        <w:trPr>
          <w:trHeight w:val="251"/>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8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338.8</w:t>
            </w:r>
          </w:p>
        </w:tc>
      </w:tr>
      <w:tr>
        <w:trPr>
          <w:trHeight w:val="264"/>
        </w:trPr>
        <w:tc>
          <w:tcPr>
            <w:tcW w:w="8660" w:type="dxa"/>
            <w:vAlign w:val="bottom"/>
          </w:tcPr>
          <w:p>
            <w:pPr>
              <w:ind w:left="180"/>
              <w:spacing w:after="0"/>
              <w:rPr>
                <w:sz w:val="20"/>
                <w:szCs w:val="20"/>
                <w:color w:val="auto"/>
              </w:rPr>
            </w:pPr>
            <w:r>
              <w:rPr>
                <w:rFonts w:ascii="Arial" w:cs="Arial" w:eastAsia="Arial" w:hAnsi="Arial"/>
                <w:sz w:val="14"/>
                <w:szCs w:val="14"/>
                <w:color w:val="auto"/>
              </w:rPr>
              <w:t>Current maturities of debt</w:t>
            </w:r>
          </w:p>
        </w:tc>
        <w:tc>
          <w:tcPr>
            <w:tcW w:w="2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9.1</w:t>
            </w:r>
          </w:p>
        </w:tc>
      </w:tr>
      <w:tr>
        <w:trPr>
          <w:trHeight w:val="276"/>
        </w:trPr>
        <w:tc>
          <w:tcPr>
            <w:tcW w:w="8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operating lease liabilities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660" w:type="dxa"/>
            <w:vAlign w:val="bottom"/>
          </w:tcPr>
          <w:p>
            <w:pPr>
              <w:ind w:left="180"/>
              <w:spacing w:after="0"/>
              <w:rPr>
                <w:sz w:val="20"/>
                <w:szCs w:val="20"/>
                <w:color w:val="auto"/>
              </w:rPr>
            </w:pPr>
            <w:r>
              <w:rPr>
                <w:rFonts w:ascii="Arial" w:cs="Arial" w:eastAsia="Arial" w:hAnsi="Arial"/>
                <w:sz w:val="14"/>
                <w:szCs w:val="14"/>
                <w:color w:val="auto"/>
              </w:rPr>
              <w:t>Accrued compensation</w:t>
            </w:r>
          </w:p>
        </w:tc>
        <w:tc>
          <w:tcPr>
            <w:tcW w:w="2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85.4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73.2</w:t>
            </w:r>
          </w:p>
        </w:tc>
      </w:tr>
      <w:tr>
        <w:trPr>
          <w:trHeight w:val="270"/>
        </w:trPr>
        <w:tc>
          <w:tcPr>
            <w:tcW w:w="8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accrued liabilities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175.0</w:t>
            </w:r>
          </w:p>
        </w:tc>
      </w:tr>
      <w:tr>
        <w:trPr>
          <w:trHeight w:val="250"/>
        </w:trPr>
        <w:tc>
          <w:tcPr>
            <w:tcW w:w="8660" w:type="dxa"/>
            <w:vAlign w:val="bottom"/>
          </w:tcPr>
          <w:p>
            <w:pPr>
              <w:ind w:left="28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617.6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596.1</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376.8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347.5</w:t>
            </w: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Long-term operating lease liabilities</w:t>
            </w:r>
          </w:p>
        </w:tc>
        <w:tc>
          <w:tcPr>
            <w:tcW w:w="2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pension liabilities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99.7</w:t>
            </w: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94.9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92.7</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Self-insurance liabilities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r>
      <w:tr>
        <w:trPr>
          <w:trHeight w:val="264"/>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long-term liabilities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110.7</w:t>
            </w:r>
          </w:p>
        </w:tc>
      </w:tr>
      <w:tr>
        <w:trPr>
          <w:trHeight w:val="256"/>
        </w:trPr>
        <w:tc>
          <w:tcPr>
            <w:tcW w:w="8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1,364.2</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1,253.5</w:t>
            </w:r>
          </w:p>
        </w:tc>
      </w:tr>
      <w:tr>
        <w:trPr>
          <w:trHeight w:val="244"/>
        </w:trPr>
        <w:tc>
          <w:tcPr>
            <w:tcW w:w="8660" w:type="dxa"/>
            <w:vAlign w:val="bottom"/>
          </w:tcPr>
          <w:p>
            <w:pPr>
              <w:ind w:left="4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64"/>
        </w:trPr>
        <w:tc>
          <w:tcPr>
            <w:tcW w:w="8660" w:type="dxa"/>
            <w:vAlign w:val="bottom"/>
          </w:tcPr>
          <w:p>
            <w:pPr>
              <w:ind w:left="180"/>
              <w:spacing w:after="0"/>
              <w:rPr>
                <w:sz w:val="20"/>
                <w:szCs w:val="20"/>
                <w:color w:val="auto"/>
              </w:rPr>
            </w:pPr>
            <w:r>
              <w:rPr>
                <w:rFonts w:ascii="Arial" w:cs="Arial" w:eastAsia="Arial" w:hAnsi="Arial"/>
                <w:sz w:val="14"/>
                <w:szCs w:val="14"/>
                <w:color w:val="auto"/>
              </w:rPr>
              <w:t>Preferred stock, $0.01 par value; 50,000,000 shares authorized; none issued</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$0.01 par value; 500,000,000 shares authorized; 53,885,165 and 53,778,155 issued, respectively</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r>
      <w:tr>
        <w:trPr>
          <w:trHeight w:val="264"/>
        </w:trPr>
        <w:tc>
          <w:tcPr>
            <w:tcW w:w="8660" w:type="dxa"/>
            <w:vAlign w:val="bottom"/>
          </w:tcPr>
          <w:p>
            <w:pPr>
              <w:ind w:left="180"/>
              <w:spacing w:after="0"/>
              <w:rPr>
                <w:sz w:val="20"/>
                <w:szCs w:val="20"/>
                <w:color w:val="auto"/>
              </w:rPr>
            </w:pPr>
            <w:r>
              <w:rPr>
                <w:rFonts w:ascii="Arial" w:cs="Arial" w:eastAsia="Arial" w:hAnsi="Arial"/>
                <w:sz w:val="14"/>
                <w:szCs w:val="14"/>
                <w:color w:val="auto"/>
              </w:rPr>
              <w:t>Paid-in capital</w:t>
            </w:r>
          </w:p>
        </w:tc>
        <w:tc>
          <w:tcPr>
            <w:tcW w:w="2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963.6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930.0</w:t>
            </w:r>
          </w:p>
        </w:tc>
      </w:tr>
      <w:tr>
        <w:trPr>
          <w:trHeight w:val="276"/>
        </w:trPr>
        <w:tc>
          <w:tcPr>
            <w:tcW w:w="8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Retained earnings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2,523.3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2,295.8</w:t>
            </w:r>
          </w:p>
        </w:tc>
      </w:tr>
      <w:tr>
        <w:trPr>
          <w:trHeight w:val="264"/>
        </w:trPr>
        <w:tc>
          <w:tcPr>
            <w:tcW w:w="8660" w:type="dxa"/>
            <w:vAlign w:val="bottom"/>
          </w:tcPr>
          <w:p>
            <w:pPr>
              <w:ind w:left="18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(132.7)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(151.4)</w:t>
            </w:r>
          </w:p>
        </w:tc>
      </w:tr>
      <w:tr>
        <w:trPr>
          <w:trHeight w:val="270"/>
        </w:trPr>
        <w:tc>
          <w:tcPr>
            <w:tcW w:w="8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at cost — 15,012,449 and 14,325,197 shares, respectively</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(1,227.2)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(1,156.0)</w:t>
            </w:r>
          </w:p>
        </w:tc>
      </w:tr>
      <w:tr>
        <w:trPr>
          <w:trHeight w:val="250"/>
        </w:trPr>
        <w:tc>
          <w:tcPr>
            <w:tcW w:w="86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2,127.5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1,918.9</w:t>
            </w:r>
          </w:p>
        </w:tc>
      </w:tr>
      <w:tr>
        <w:trPr>
          <w:trHeight w:val="243"/>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3,491.7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3,172.4</w:t>
            </w:r>
          </w:p>
        </w:tc>
      </w:tr>
      <w:tr>
        <w:trPr>
          <w:trHeight w:val="20"/>
        </w:trPr>
        <w:tc>
          <w:tcPr>
            <w:tcW w:w="8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i w:val="1"/>
          <w:iCs w:val="1"/>
          <w:color w:val="auto"/>
        </w:rPr>
        <w:t>Notes to Consolidated Financial Statements</w:t>
      </w:r>
      <w:r>
        <w:rPr>
          <w:rFonts w:ascii="Arial" w:cs="Arial" w:eastAsia="Arial" w:hAnsi="Arial"/>
          <w:sz w:val="16"/>
          <w:szCs w:val="16"/>
          <w:color w:val="auto"/>
        </w:rPr>
        <w:t xml:space="preserve"> are an integral part of these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260"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August 31,</w:t>
            </w:r>
          </w:p>
        </w:tc>
        <w:tc>
          <w:tcPr>
            <w:tcW w:w="1040" w:type="dxa"/>
            <w:vAlign w:val="bottom"/>
            <w:tcBorders>
              <w:bottom w:val="single" w:sz="8" w:color="auto"/>
            </w:tcBorders>
          </w:tcPr>
          <w:p>
            <w:pPr>
              <w:spacing w:after="0"/>
              <w:rPr>
                <w:sz w:val="19"/>
                <w:szCs w:val="19"/>
                <w:color w:val="auto"/>
              </w:rPr>
            </w:pPr>
          </w:p>
        </w:tc>
      </w:tr>
      <w:tr>
        <w:trPr>
          <w:trHeight w:val="263"/>
        </w:trPr>
        <w:tc>
          <w:tcPr>
            <w:tcW w:w="69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257"/>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3,326.3</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3,672.7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3,680.1</w:t>
            </w:r>
          </w:p>
        </w:tc>
      </w:tr>
      <w:tr>
        <w:trPr>
          <w:trHeight w:val="263"/>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products sold</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1,923.9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2,193.0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2,194.7</w:t>
            </w:r>
          </w:p>
        </w:tc>
      </w:tr>
      <w:tr>
        <w:trPr>
          <w:trHeight w:val="257"/>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1,479.7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1,485.4</w:t>
            </w:r>
          </w:p>
        </w:tc>
      </w:tr>
      <w:tr>
        <w:trPr>
          <w:trHeight w:val="260"/>
        </w:trPr>
        <w:tc>
          <w:tcPr>
            <w:tcW w:w="6980" w:type="dxa"/>
            <w:vAlign w:val="bottom"/>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1,015.0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1,019.0</w:t>
            </w:r>
          </w:p>
        </w:tc>
      </w:tr>
      <w:tr>
        <w:trPr>
          <w:trHeight w:val="27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Special charges</w:t>
            </w: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r>
      <w:tr>
        <w:trPr>
          <w:trHeight w:val="247"/>
        </w:trPr>
        <w:tc>
          <w:tcPr>
            <w:tcW w:w="6980" w:type="dxa"/>
            <w:vAlign w:val="bottom"/>
          </w:tcPr>
          <w:p>
            <w:pPr>
              <w:ind w:left="40"/>
              <w:spacing w:after="0"/>
              <w:rPr>
                <w:sz w:val="20"/>
                <w:szCs w:val="20"/>
                <w:color w:val="auto"/>
              </w:rPr>
            </w:pPr>
            <w:r>
              <w:rPr>
                <w:rFonts w:ascii="Arial" w:cs="Arial" w:eastAsia="Arial" w:hAnsi="Arial"/>
                <w:sz w:val="16"/>
                <w:szCs w:val="16"/>
                <w:color w:val="auto"/>
              </w:rPr>
              <w:t>Operating profit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460.8</w:t>
            </w:r>
          </w:p>
        </w:tc>
      </w:tr>
      <w:tr>
        <w:trPr>
          <w:trHeight w:val="28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0"/>
        </w:trPr>
        <w:tc>
          <w:tcPr>
            <w:tcW w:w="698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33.5</w:t>
            </w:r>
          </w:p>
        </w:tc>
      </w:tr>
      <w:tr>
        <w:trPr>
          <w:trHeight w:val="273"/>
        </w:trPr>
        <w:tc>
          <w:tcPr>
            <w:tcW w:w="6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Miscellaneous expense, net</w:t>
            </w: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50"/>
        </w:trPr>
        <w:tc>
          <w:tcPr>
            <w:tcW w:w="69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other expense</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34.9</w:t>
            </w:r>
          </w:p>
        </w:tc>
      </w:tr>
      <w:tr>
        <w:trPr>
          <w:trHeight w:val="257"/>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424.9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425.9</w:t>
            </w:r>
          </w:p>
        </w:tc>
      </w:tr>
      <w:tr>
        <w:trPr>
          <w:trHeight w:val="263"/>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76.3</w:t>
            </w:r>
          </w:p>
        </w:tc>
      </w:tr>
      <w:tr>
        <w:trPr>
          <w:trHeight w:val="24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330.4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349.6</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80"/>
        </w:trPr>
        <w:tc>
          <w:tcPr>
            <w:tcW w:w="6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per share:</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93"/>
        </w:trPr>
        <w:tc>
          <w:tcPr>
            <w:tcW w:w="6980" w:type="dxa"/>
            <w:vAlign w:val="bottom"/>
          </w:tcPr>
          <w:p>
            <w:pPr>
              <w:ind w:left="180"/>
              <w:spacing w:after="0"/>
              <w:rPr>
                <w:sz w:val="20"/>
                <w:szCs w:val="20"/>
                <w:color w:val="auto"/>
              </w:rPr>
            </w:pPr>
            <w:r>
              <w:rPr>
                <w:rFonts w:ascii="Arial" w:cs="Arial" w:eastAsia="Arial" w:hAnsi="Arial"/>
                <w:sz w:val="16"/>
                <w:szCs w:val="16"/>
                <w:color w:val="auto"/>
              </w:rPr>
              <w:t>Basic earnings per share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6.29</w:t>
            </w:r>
          </w:p>
        </w:tc>
        <w:tc>
          <w:tcPr>
            <w:tcW w:w="5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8.54</w:t>
            </w:r>
          </w:p>
        </w:tc>
      </w:tr>
      <w:tr>
        <w:trPr>
          <w:trHeight w:val="224"/>
        </w:trPr>
        <w:tc>
          <w:tcPr>
            <w:tcW w:w="6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weighted average number of shares outstanding</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40.9</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4"/>
        </w:trPr>
        <w:tc>
          <w:tcPr>
            <w:tcW w:w="6980" w:type="dxa"/>
            <w:vAlign w:val="bottom"/>
          </w:tcPr>
          <w:p>
            <w:pPr>
              <w:ind w:left="180"/>
              <w:spacing w:after="0"/>
              <w:rPr>
                <w:sz w:val="20"/>
                <w:szCs w:val="20"/>
                <w:color w:val="auto"/>
              </w:rPr>
            </w:pPr>
            <w:r>
              <w:rPr>
                <w:rFonts w:ascii="Arial" w:cs="Arial" w:eastAsia="Arial" w:hAnsi="Arial"/>
                <w:sz w:val="16"/>
                <w:szCs w:val="16"/>
                <w:color w:val="auto"/>
              </w:rPr>
              <w:t>Diluted earnings per share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6.27</w:t>
            </w:r>
          </w:p>
        </w:tc>
        <w:tc>
          <w:tcPr>
            <w:tcW w:w="5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8.52</w:t>
            </w:r>
          </w:p>
        </w:tc>
      </w:tr>
      <w:tr>
        <w:trPr>
          <w:trHeight w:val="223"/>
        </w:trPr>
        <w:tc>
          <w:tcPr>
            <w:tcW w:w="6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weighted average number of shares outstanding</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41.0</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3"/>
        </w:trPr>
        <w:tc>
          <w:tcPr>
            <w:tcW w:w="6980" w:type="dxa"/>
            <w:vAlign w:val="bottom"/>
          </w:tcPr>
          <w:p>
            <w:pPr>
              <w:ind w:left="40"/>
              <w:spacing w:after="0"/>
              <w:rPr>
                <w:sz w:val="20"/>
                <w:szCs w:val="20"/>
                <w:color w:val="auto"/>
              </w:rPr>
            </w:pPr>
            <w:r>
              <w:rPr>
                <w:rFonts w:ascii="Arial" w:cs="Arial" w:eastAsia="Arial" w:hAnsi="Arial"/>
                <w:sz w:val="16"/>
                <w:szCs w:val="16"/>
                <w:color w:val="auto"/>
              </w:rPr>
              <w:t>Dividends declared per share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0.52</w:t>
            </w:r>
          </w:p>
        </w:tc>
        <w:tc>
          <w:tcPr>
            <w:tcW w:w="5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0.52</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0.52</w:t>
            </w:r>
          </w:p>
        </w:tc>
      </w:tr>
      <w:tr>
        <w:trPr>
          <w:trHeight w:val="281"/>
        </w:trPr>
        <w:tc>
          <w:tcPr>
            <w:tcW w:w="698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r>
      <w:tr>
        <w:trPr>
          <w:trHeight w:val="260"/>
        </w:trPr>
        <w:tc>
          <w:tcPr>
            <w:tcW w:w="69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330.4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349.6</w:t>
            </w:r>
          </w:p>
        </w:tc>
      </w:tr>
      <w:tr>
        <w:trPr>
          <w:trHeight w:val="260"/>
        </w:trPr>
        <w:tc>
          <w:tcPr>
            <w:tcW w:w="6980" w:type="dxa"/>
            <w:vAlign w:val="bottom"/>
          </w:tcPr>
          <w:p>
            <w:pPr>
              <w:ind w:left="40"/>
              <w:spacing w:after="0"/>
              <w:rPr>
                <w:sz w:val="20"/>
                <w:szCs w:val="20"/>
                <w:color w:val="auto"/>
              </w:rPr>
            </w:pPr>
            <w:r>
              <w:rPr>
                <w:rFonts w:ascii="Arial" w:cs="Arial" w:eastAsia="Arial" w:hAnsi="Arial"/>
                <w:sz w:val="16"/>
                <w:szCs w:val="16"/>
                <w:color w:val="auto"/>
              </w:rPr>
              <w:t>Other comprehensive income (loss) items:</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6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r>
      <w:tr>
        <w:trPr>
          <w:trHeight w:val="264"/>
        </w:trPr>
        <w:tc>
          <w:tcPr>
            <w:tcW w:w="6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Defined benefit plans, net of tax</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w:t>
            </w:r>
          </w:p>
        </w:tc>
      </w:tr>
      <w:tr>
        <w:trPr>
          <w:trHeight w:val="250"/>
        </w:trPr>
        <w:tc>
          <w:tcPr>
            <w:tcW w:w="6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items, net of tax</w:t>
            </w: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40"/>
        </w:trPr>
        <w:tc>
          <w:tcPr>
            <w:tcW w:w="69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267.0</w:t>
            </w:r>
          </w:p>
        </w:tc>
        <w:tc>
          <w:tcPr>
            <w:tcW w:w="5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293.8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345.6</w:t>
            </w:r>
          </w:p>
        </w:tc>
      </w:tr>
      <w:tr>
        <w:trPr>
          <w:trHeight w:val="20"/>
        </w:trPr>
        <w:tc>
          <w:tcPr>
            <w:tcW w:w="6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260"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August 31,</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6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6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248.3</w:t>
            </w:r>
          </w:p>
        </w:tc>
        <w:tc>
          <w:tcPr>
            <w:tcW w:w="12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330.4</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349.6</w:t>
            </w:r>
          </w:p>
        </w:tc>
        <w:tc>
          <w:tcPr>
            <w:tcW w:w="0" w:type="dxa"/>
            <w:vAlign w:val="bottom"/>
          </w:tcPr>
          <w:p>
            <w:pPr>
              <w:spacing w:after="0"/>
              <w:rPr>
                <w:sz w:val="1"/>
                <w:szCs w:val="1"/>
                <w:color w:val="auto"/>
              </w:rPr>
            </w:pPr>
          </w:p>
        </w:tc>
      </w:tr>
      <w:tr>
        <w:trPr>
          <w:trHeight w:val="280"/>
        </w:trPr>
        <w:tc>
          <w:tcPr>
            <w:tcW w:w="7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6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101.1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80"/>
        </w:trPr>
        <w:tc>
          <w:tcPr>
            <w:tcW w:w="7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Share-based payment expense</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60"/>
        </w:trPr>
        <w:tc>
          <w:tcPr>
            <w:tcW w:w="7640" w:type="dxa"/>
            <w:vAlign w:val="bottom"/>
          </w:tcPr>
          <w:p>
            <w:pPr>
              <w:ind w:left="280"/>
              <w:spacing w:after="0"/>
              <w:rPr>
                <w:sz w:val="20"/>
                <w:szCs w:val="20"/>
                <w:color w:val="auto"/>
              </w:rPr>
            </w:pPr>
            <w:r>
              <w:rPr>
                <w:rFonts w:ascii="Arial" w:cs="Arial" w:eastAsia="Arial" w:hAnsi="Arial"/>
                <w:sz w:val="16"/>
                <w:szCs w:val="16"/>
                <w:color w:val="auto"/>
              </w:rPr>
              <w:t>Loss on the sale or disposal of property, plant, and equipment</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80"/>
        </w:trPr>
        <w:tc>
          <w:tcPr>
            <w:tcW w:w="7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 impairments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64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80"/>
        </w:trPr>
        <w:tc>
          <w:tcPr>
            <w:tcW w:w="7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sale of business</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60"/>
        </w:trPr>
        <w:tc>
          <w:tcPr>
            <w:tcW w:w="7640" w:type="dxa"/>
            <w:vAlign w:val="bottom"/>
          </w:tcPr>
          <w:p>
            <w:pPr>
              <w:ind w:left="28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74.5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97.7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80"/>
        </w:trPr>
        <w:tc>
          <w:tcPr>
            <w:tcW w:w="7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60"/>
        </w:trPr>
        <w:tc>
          <w:tcPr>
            <w:tcW w:w="7640" w:type="dxa"/>
            <w:vAlign w:val="bottom"/>
          </w:tcPr>
          <w:p>
            <w:pPr>
              <w:ind w:left="280"/>
              <w:spacing w:after="0"/>
              <w:rPr>
                <w:sz w:val="20"/>
                <w:szCs w:val="20"/>
                <w:color w:val="auto"/>
              </w:rPr>
            </w:pPr>
            <w:r>
              <w:rPr>
                <w:rFonts w:ascii="Arial" w:cs="Arial" w:eastAsia="Arial" w:hAnsi="Arial"/>
                <w:sz w:val="16"/>
                <w:szCs w:val="16"/>
                <w:color w:val="auto"/>
              </w:rPr>
              <w:t>Prepayments and other current assets</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80"/>
        </w:trPr>
        <w:tc>
          <w:tcPr>
            <w:tcW w:w="7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63"/>
        </w:trPr>
        <w:tc>
          <w:tcPr>
            <w:tcW w:w="76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504.8</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494.7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351.5</w:t>
            </w:r>
          </w:p>
        </w:tc>
        <w:tc>
          <w:tcPr>
            <w:tcW w:w="0" w:type="dxa"/>
            <w:vAlign w:val="bottom"/>
          </w:tcPr>
          <w:p>
            <w:pPr>
              <w:spacing w:after="0"/>
              <w:rPr>
                <w:sz w:val="1"/>
                <w:szCs w:val="1"/>
                <w:color w:val="auto"/>
              </w:rPr>
            </w:pPr>
          </w:p>
        </w:tc>
      </w:tr>
      <w:tr>
        <w:trPr>
          <w:trHeight w:val="240"/>
        </w:trPr>
        <w:tc>
          <w:tcPr>
            <w:tcW w:w="76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7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60"/>
        </w:trPr>
        <w:tc>
          <w:tcPr>
            <w:tcW w:w="7640" w:type="dxa"/>
            <w:vAlign w:val="bottom"/>
          </w:tcPr>
          <w:p>
            <w:pPr>
              <w:ind w:left="280"/>
              <w:spacing w:after="0"/>
              <w:rPr>
                <w:sz w:val="20"/>
                <w:szCs w:val="20"/>
                <w:color w:val="auto"/>
              </w:rPr>
            </w:pPr>
            <w:r>
              <w:rPr>
                <w:rFonts w:ascii="Arial" w:cs="Arial" w:eastAsia="Arial" w:hAnsi="Arial"/>
                <w:sz w:val="16"/>
                <w:szCs w:val="16"/>
                <w:color w:val="auto"/>
              </w:rPr>
              <w:t>Proceeds from sale of property, plant, and equipment</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Acquisition of businesses, net of cash acquired</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w:t>
            </w:r>
          </w:p>
        </w:tc>
        <w:tc>
          <w:tcPr>
            <w:tcW w:w="0" w:type="dxa"/>
            <w:vAlign w:val="bottom"/>
          </w:tcPr>
          <w:p>
            <w:pPr>
              <w:spacing w:after="0"/>
              <w:rPr>
                <w:sz w:val="1"/>
                <w:szCs w:val="1"/>
                <w:color w:val="auto"/>
              </w:rPr>
            </w:pPr>
          </w:p>
        </w:tc>
      </w:tr>
      <w:tr>
        <w:trPr>
          <w:trHeight w:val="260"/>
        </w:trPr>
        <w:tc>
          <w:tcPr>
            <w:tcW w:w="7640" w:type="dxa"/>
            <w:vAlign w:val="bottom"/>
          </w:tcPr>
          <w:p>
            <w:pPr>
              <w:ind w:left="280"/>
              <w:spacing w:after="0"/>
              <w:rPr>
                <w:sz w:val="20"/>
                <w:szCs w:val="20"/>
                <w:color w:val="auto"/>
              </w:rPr>
            </w:pPr>
            <w:r>
              <w:rPr>
                <w:rFonts w:ascii="Arial" w:cs="Arial" w:eastAsia="Arial" w:hAnsi="Arial"/>
                <w:sz w:val="16"/>
                <w:szCs w:val="16"/>
                <w:color w:val="auto"/>
              </w:rPr>
              <w:t>Proceeds from sale of business</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3"/>
        </w:trPr>
        <w:tc>
          <w:tcPr>
            <w:tcW w:w="7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cash used for investing activities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w:t>
            </w: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640" w:type="dxa"/>
            <w:vAlign w:val="bottom"/>
          </w:tcPr>
          <w:p>
            <w:pPr>
              <w:ind w:left="280"/>
              <w:spacing w:after="0"/>
              <w:rPr>
                <w:sz w:val="20"/>
                <w:szCs w:val="20"/>
                <w:color w:val="auto"/>
              </w:rPr>
            </w:pPr>
            <w:r>
              <w:rPr>
                <w:rFonts w:ascii="Arial" w:cs="Arial" w:eastAsia="Arial" w:hAnsi="Arial"/>
                <w:sz w:val="16"/>
                <w:szCs w:val="16"/>
                <w:color w:val="auto"/>
              </w:rPr>
              <w:t>Borrowings on credit facility</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395.4</w:t>
            </w:r>
          </w:p>
        </w:tc>
        <w:tc>
          <w:tcPr>
            <w:tcW w:w="0" w:type="dxa"/>
            <w:vAlign w:val="bottom"/>
          </w:tcPr>
          <w:p>
            <w:pPr>
              <w:spacing w:after="0"/>
              <w:rPr>
                <w:sz w:val="1"/>
                <w:szCs w:val="1"/>
                <w:color w:val="auto"/>
              </w:rPr>
            </w:pPr>
          </w:p>
        </w:tc>
      </w:tr>
      <w:tr>
        <w:trPr>
          <w:trHeight w:val="280"/>
        </w:trPr>
        <w:tc>
          <w:tcPr>
            <w:tcW w:w="7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Repayments of borrowings on credit facility</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(395.4)</w:t>
            </w:r>
          </w:p>
        </w:tc>
        <w:tc>
          <w:tcPr>
            <w:tcW w:w="0" w:type="dxa"/>
            <w:vAlign w:val="bottom"/>
          </w:tcPr>
          <w:p>
            <w:pPr>
              <w:spacing w:after="0"/>
              <w:rPr>
                <w:sz w:val="1"/>
                <w:szCs w:val="1"/>
                <w:color w:val="auto"/>
              </w:rPr>
            </w:pPr>
          </w:p>
        </w:tc>
      </w:tr>
      <w:tr>
        <w:trPr>
          <w:trHeight w:val="260"/>
        </w:trPr>
        <w:tc>
          <w:tcPr>
            <w:tcW w:w="7640" w:type="dxa"/>
            <w:vAlign w:val="bottom"/>
          </w:tcPr>
          <w:p>
            <w:pPr>
              <w:ind w:left="280"/>
              <w:spacing w:after="0"/>
              <w:rPr>
                <w:sz w:val="20"/>
                <w:szCs w:val="20"/>
                <w:color w:val="auto"/>
              </w:rPr>
            </w:pPr>
            <w:r>
              <w:rPr>
                <w:rFonts w:ascii="Arial" w:cs="Arial" w:eastAsia="Arial" w:hAnsi="Arial"/>
                <w:sz w:val="16"/>
                <w:szCs w:val="16"/>
                <w:color w:val="auto"/>
              </w:rPr>
              <w:t>Repayments of long-term debt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(350.7)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80"/>
        </w:trPr>
        <w:tc>
          <w:tcPr>
            <w:tcW w:w="7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Repurchases of common stock</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(298.4)</w:t>
            </w:r>
          </w:p>
        </w:tc>
        <w:tc>
          <w:tcPr>
            <w:tcW w:w="0" w:type="dxa"/>
            <w:vAlign w:val="bottom"/>
          </w:tcPr>
          <w:p>
            <w:pPr>
              <w:spacing w:after="0"/>
              <w:rPr>
                <w:sz w:val="1"/>
                <w:szCs w:val="1"/>
                <w:color w:val="auto"/>
              </w:rPr>
            </w:pPr>
          </w:p>
        </w:tc>
      </w:tr>
      <w:tr>
        <w:trPr>
          <w:trHeight w:val="260"/>
        </w:trPr>
        <w:tc>
          <w:tcPr>
            <w:tcW w:w="7640" w:type="dxa"/>
            <w:vAlign w:val="bottom"/>
          </w:tcPr>
          <w:p>
            <w:pPr>
              <w:ind w:left="280"/>
              <w:spacing w:after="0"/>
              <w:rPr>
                <w:sz w:val="20"/>
                <w:szCs w:val="20"/>
                <w:color w:val="auto"/>
              </w:rPr>
            </w:pPr>
            <w:r>
              <w:rPr>
                <w:rFonts w:ascii="Arial" w:cs="Arial" w:eastAsia="Arial" w:hAnsi="Arial"/>
                <w:sz w:val="16"/>
                <w:szCs w:val="16"/>
                <w:color w:val="auto"/>
              </w:rPr>
              <w:t>Proceeds from stock option exercises and other</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80"/>
        </w:trPr>
        <w:tc>
          <w:tcPr>
            <w:tcW w:w="7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Payments of taxes withheld on net settlement of equity awards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Dividends paid</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50"/>
        </w:trPr>
        <w:tc>
          <w:tcPr>
            <w:tcW w:w="76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Net cash used for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(326.7)</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56"/>
        </w:trPr>
        <w:tc>
          <w:tcPr>
            <w:tcW w:w="7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331.9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461.0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129.1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311.1</w:t>
            </w:r>
          </w:p>
        </w:tc>
        <w:tc>
          <w:tcPr>
            <w:tcW w:w="0" w:type="dxa"/>
            <w:vAlign w:val="bottom"/>
          </w:tcPr>
          <w:p>
            <w:pPr>
              <w:spacing w:after="0"/>
              <w:rPr>
                <w:sz w:val="1"/>
                <w:szCs w:val="1"/>
                <w:color w:val="auto"/>
              </w:rPr>
            </w:pPr>
          </w:p>
        </w:tc>
      </w:tr>
      <w:tr>
        <w:trPr>
          <w:trHeight w:val="24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560.7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129.1</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40"/>
              <w:spacing w:after="0"/>
              <w:rPr>
                <w:sz w:val="20"/>
                <w:szCs w:val="20"/>
                <w:color w:val="auto"/>
              </w:rPr>
            </w:pPr>
            <w:r>
              <w:rPr>
                <w:rFonts w:ascii="Arial" w:cs="Arial" w:eastAsia="Arial" w:hAnsi="Arial"/>
                <w:sz w:val="16"/>
                <w:szCs w:val="16"/>
                <w:color w:val="auto"/>
              </w:rPr>
              <w:t>Supplemental cash flow information:</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7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paid</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126.6</w:t>
            </w:r>
          </w:p>
        </w:tc>
        <w:tc>
          <w:tcPr>
            <w:tcW w:w="0" w:type="dxa"/>
            <w:vAlign w:val="bottom"/>
          </w:tcPr>
          <w:p>
            <w:pPr>
              <w:spacing w:after="0"/>
              <w:rPr>
                <w:sz w:val="1"/>
                <w:szCs w:val="1"/>
                <w:color w:val="auto"/>
              </w:rPr>
            </w:pPr>
          </w:p>
        </w:tc>
      </w:tr>
      <w:tr>
        <w:trPr>
          <w:trHeight w:val="250"/>
        </w:trPr>
        <w:tc>
          <w:tcPr>
            <w:tcW w:w="7640" w:type="dxa"/>
            <w:vAlign w:val="bottom"/>
          </w:tcPr>
          <w:p>
            <w:pPr>
              <w:ind w:left="280"/>
              <w:spacing w:after="0"/>
              <w:rPr>
                <w:sz w:val="20"/>
                <w:szCs w:val="20"/>
                <w:color w:val="auto"/>
              </w:rPr>
            </w:pPr>
            <w:r>
              <w:rPr>
                <w:rFonts w:ascii="Arial" w:cs="Arial" w:eastAsia="Arial" w:hAnsi="Arial"/>
                <w:sz w:val="16"/>
                <w:szCs w:val="16"/>
                <w:color w:val="auto"/>
              </w:rPr>
              <w:t>Interest paid</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260"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840" w:type="dxa"/>
            <w:vAlign w:val="bottom"/>
          </w:tcPr>
          <w:p>
            <w:pPr>
              <w:spacing w:after="0"/>
              <w:rPr>
                <w:sz w:val="15"/>
                <w:szCs w:val="15"/>
                <w:color w:val="auto"/>
              </w:rPr>
            </w:pPr>
          </w:p>
        </w:tc>
        <w:tc>
          <w:tcPr>
            <w:tcW w:w="1860" w:type="dxa"/>
            <w:vAlign w:val="bottom"/>
            <w:gridSpan w:val="5"/>
          </w:tcPr>
          <w:p>
            <w:pPr>
              <w:ind w:left="20"/>
              <w:spacing w:after="0"/>
              <w:rPr>
                <w:sz w:val="20"/>
                <w:szCs w:val="20"/>
                <w:color w:val="auto"/>
              </w:rPr>
            </w:pPr>
            <w:r>
              <w:rPr>
                <w:rFonts w:ascii="Arial" w:cs="Arial" w:eastAsia="Arial" w:hAnsi="Arial"/>
                <w:sz w:val="13"/>
                <w:szCs w:val="13"/>
                <w:b w:val="1"/>
                <w:bCs w:val="1"/>
                <w:color w:val="auto"/>
              </w:rPr>
              <w:t>Common Stock Outstanding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27"/>
        </w:trPr>
        <w:tc>
          <w:tcPr>
            <w:tcW w:w="48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27" w:lineRule="exact"/>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4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Treasury</w:t>
            </w:r>
          </w:p>
        </w:tc>
        <w:tc>
          <w:tcPr>
            <w:tcW w:w="660" w:type="dxa"/>
            <w:vAlign w:val="bottom"/>
          </w:tcPr>
          <w:p>
            <w:pPr>
              <w:spacing w:after="0"/>
              <w:rPr>
                <w:sz w:val="11"/>
                <w:szCs w:val="11"/>
                <w:color w:val="auto"/>
              </w:rPr>
            </w:pPr>
          </w:p>
        </w:tc>
      </w:tr>
      <w:tr>
        <w:trPr>
          <w:trHeight w:val="135"/>
        </w:trPr>
        <w:tc>
          <w:tcPr>
            <w:tcW w:w="4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Stock, at</w:t>
            </w:r>
          </w:p>
        </w:tc>
        <w:tc>
          <w:tcPr>
            <w:tcW w:w="660" w:type="dxa"/>
            <w:vAlign w:val="bottom"/>
          </w:tcPr>
          <w:p>
            <w:pPr>
              <w:spacing w:after="0"/>
              <w:rPr>
                <w:sz w:val="11"/>
                <w:szCs w:val="11"/>
                <w:color w:val="auto"/>
              </w:rPr>
            </w:pPr>
          </w:p>
        </w:tc>
      </w:tr>
      <w:tr>
        <w:trPr>
          <w:trHeight w:val="177"/>
        </w:trPr>
        <w:tc>
          <w:tcPr>
            <w:tcW w:w="4840" w:type="dxa"/>
            <w:vAlign w:val="bottom"/>
          </w:tcPr>
          <w:p>
            <w:pPr>
              <w:spacing w:after="0"/>
              <w:rPr>
                <w:sz w:val="15"/>
                <w:szCs w:val="15"/>
                <w:color w:val="auto"/>
              </w:rPr>
            </w:pPr>
          </w:p>
        </w:tc>
        <w:tc>
          <w:tcPr>
            <w:tcW w:w="92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Loss Items</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660" w:type="dxa"/>
            <w:vAlign w:val="bottom"/>
          </w:tcPr>
          <w:p>
            <w:pPr>
              <w:jc w:val="right"/>
              <w:ind w:right="117"/>
              <w:spacing w:after="0"/>
              <w:rPr>
                <w:sz w:val="20"/>
                <w:szCs w:val="20"/>
                <w:color w:val="auto"/>
              </w:rPr>
            </w:pPr>
            <w:r>
              <w:rPr>
                <w:rFonts w:ascii="Arial" w:cs="Arial" w:eastAsia="Arial" w:hAnsi="Arial"/>
                <w:sz w:val="13"/>
                <w:szCs w:val="13"/>
                <w:b w:val="1"/>
                <w:bCs w:val="1"/>
                <w:color w:val="auto"/>
              </w:rPr>
              <w:t>Total</w:t>
            </w:r>
          </w:p>
        </w:tc>
      </w:tr>
      <w:tr>
        <w:trPr>
          <w:trHeight w:val="257"/>
        </w:trPr>
        <w:tc>
          <w:tcPr>
            <w:tcW w:w="4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August 31, 2017</w:t>
            </w:r>
          </w:p>
        </w:tc>
        <w:tc>
          <w:tcPr>
            <w:tcW w:w="8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41.8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0.5</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881.0</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1,659.9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(99.7)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(776.1)</w:t>
            </w:r>
          </w:p>
        </w:tc>
        <w:tc>
          <w:tcPr>
            <w:tcW w:w="10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9"/>
              </w:rPr>
              <w:t>$ 1,665.6</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349.6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349.6</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Reclassification of stranded tax effects of the Tax Cuts and Jobs Act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Share-based payment amortization, issuances, and cancellations</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23.7</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0.6</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dividends of $0.52 per share paid on common stock</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Stock options exercised</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w:t>
            </w:r>
          </w:p>
        </w:tc>
      </w:tr>
      <w:tr>
        <w:trPr>
          <w:trHeight w:val="271"/>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Repurchases of common stock</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(298.4)</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(298.4)</w:t>
            </w:r>
          </w:p>
        </w:tc>
      </w:tr>
      <w:tr>
        <w:trPr>
          <w:trHeight w:val="249"/>
        </w:trPr>
        <w:tc>
          <w:tcPr>
            <w:tcW w:w="4840" w:type="dxa"/>
            <w:vAlign w:val="bottom"/>
          </w:tcPr>
          <w:p>
            <w:pPr>
              <w:ind w:left="40"/>
              <w:spacing w:after="0"/>
              <w:rPr>
                <w:sz w:val="20"/>
                <w:szCs w:val="20"/>
                <w:color w:val="auto"/>
              </w:rPr>
            </w:pPr>
            <w:r>
              <w:rPr>
                <w:rFonts w:ascii="Arial" w:cs="Arial" w:eastAsia="Arial" w:hAnsi="Arial"/>
                <w:sz w:val="13"/>
                <w:szCs w:val="13"/>
                <w:color w:val="auto"/>
              </w:rPr>
              <w:t>Balance, August 31, 2018</w:t>
            </w: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40.0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0.5</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906.3</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1,999.2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(114.8)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(1,074.4)</w:t>
            </w:r>
          </w:p>
        </w:tc>
        <w:tc>
          <w:tcPr>
            <w:tcW w:w="100" w:type="dxa"/>
            <w:vAlign w:val="bottom"/>
          </w:tcPr>
          <w:p>
            <w:pPr>
              <w:spacing w:after="0"/>
              <w:rPr>
                <w:sz w:val="21"/>
                <w:szCs w:val="21"/>
                <w:color w:val="auto"/>
              </w:rPr>
            </w:pPr>
          </w:p>
        </w:tc>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1,716.8</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330.4</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Other comprehensive loss</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(36.6)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(36.6)</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Share-based payment amortization, issuances, and cancellations</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23.1</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0.6</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dividends of $0.52 per share paid on common stock</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Repurchases of common stock</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(81.6)</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(81.6)</w:t>
            </w:r>
          </w:p>
        </w:tc>
      </w:tr>
      <w:tr>
        <w:trPr>
          <w:trHeight w:val="271"/>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ASC 606 adjustments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r>
      <w:tr>
        <w:trPr>
          <w:trHeight w:val="249"/>
        </w:trPr>
        <w:tc>
          <w:tcPr>
            <w:tcW w:w="4840" w:type="dxa"/>
            <w:vAlign w:val="bottom"/>
          </w:tcPr>
          <w:p>
            <w:pPr>
              <w:ind w:left="40"/>
              <w:spacing w:after="0"/>
              <w:rPr>
                <w:sz w:val="20"/>
                <w:szCs w:val="20"/>
                <w:color w:val="auto"/>
              </w:rPr>
            </w:pPr>
            <w:r>
              <w:rPr>
                <w:rFonts w:ascii="Arial" w:cs="Arial" w:eastAsia="Arial" w:hAnsi="Arial"/>
                <w:sz w:val="13"/>
                <w:szCs w:val="13"/>
                <w:color w:val="auto"/>
              </w:rPr>
              <w:t>Balance, August 31, 2019</w:t>
            </w: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39.5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0.5</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930.0</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2,295.8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(151.4)</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(1,156.0)</w:t>
            </w:r>
          </w:p>
        </w:tc>
        <w:tc>
          <w:tcPr>
            <w:tcW w:w="100" w:type="dxa"/>
            <w:vAlign w:val="bottom"/>
          </w:tcPr>
          <w:p>
            <w:pPr>
              <w:spacing w:after="0"/>
              <w:rPr>
                <w:sz w:val="21"/>
                <w:szCs w:val="21"/>
                <w:color w:val="auto"/>
              </w:rPr>
            </w:pPr>
          </w:p>
        </w:tc>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1,918.9</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248.3</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Other comprehensive income</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18.7</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Share-based payment amortization, issuances, and cancellations</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32.7</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0.8</w:t>
            </w:r>
          </w:p>
        </w:tc>
      </w:tr>
      <w:tr>
        <w:trPr>
          <w:trHeight w:val="278"/>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dividends of $0.52 per share paid on common stock</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r>
      <w:tr>
        <w:trPr>
          <w:trHeight w:val="262"/>
        </w:trPr>
        <w:tc>
          <w:tcPr>
            <w:tcW w:w="4840" w:type="dxa"/>
            <w:vAlign w:val="bottom"/>
          </w:tcPr>
          <w:p>
            <w:pPr>
              <w:ind w:left="180"/>
              <w:spacing w:after="0"/>
              <w:rPr>
                <w:sz w:val="20"/>
                <w:szCs w:val="20"/>
                <w:color w:val="auto"/>
              </w:rPr>
            </w:pPr>
            <w:r>
              <w:rPr>
                <w:rFonts w:ascii="Arial" w:cs="Arial" w:eastAsia="Arial" w:hAnsi="Arial"/>
                <w:sz w:val="13"/>
                <w:szCs w:val="13"/>
                <w:color w:val="auto"/>
              </w:rPr>
              <w:t>Stock options exercised</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0.1</w:t>
            </w:r>
          </w:p>
        </w:tc>
      </w:tr>
      <w:tr>
        <w:trPr>
          <w:trHeight w:val="271"/>
        </w:trPr>
        <w:tc>
          <w:tcPr>
            <w:tcW w:w="48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Repurchases of common stock</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(71.2)</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(71.2)</w:t>
            </w:r>
          </w:p>
        </w:tc>
      </w:tr>
      <w:tr>
        <w:trPr>
          <w:trHeight w:val="242"/>
        </w:trPr>
        <w:tc>
          <w:tcPr>
            <w:tcW w:w="4840" w:type="dxa"/>
            <w:vAlign w:val="bottom"/>
          </w:tcPr>
          <w:p>
            <w:pPr>
              <w:ind w:left="40"/>
              <w:spacing w:after="0"/>
              <w:rPr>
                <w:sz w:val="20"/>
                <w:szCs w:val="20"/>
                <w:color w:val="auto"/>
              </w:rPr>
            </w:pPr>
            <w:r>
              <w:rPr>
                <w:rFonts w:ascii="Arial" w:cs="Arial" w:eastAsia="Arial" w:hAnsi="Arial"/>
                <w:sz w:val="13"/>
                <w:szCs w:val="13"/>
                <w:color w:val="auto"/>
              </w:rPr>
              <w:t>Balance, August 31, 2020</w:t>
            </w:r>
          </w:p>
        </w:tc>
        <w:tc>
          <w:tcPr>
            <w:tcW w:w="8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38.9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0.5</w:t>
            </w:r>
          </w:p>
        </w:tc>
        <w:tc>
          <w:tcPr>
            <w:tcW w:w="1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963.6</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2,523.3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(132.7)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(1,227.2)</w:t>
            </w:r>
          </w:p>
        </w:tc>
        <w:tc>
          <w:tcPr>
            <w:tcW w:w="10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99"/>
              </w:rPr>
              <w:t>$ 2,127.5</w:t>
            </w:r>
          </w:p>
        </w:tc>
      </w:tr>
      <w:tr>
        <w:trPr>
          <w:trHeight w:val="20"/>
        </w:trPr>
        <w:tc>
          <w:tcPr>
            <w:tcW w:w="48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260"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Acuity Brands, Inc. (“Acuity Brands”) is the parent company of Acuity Brands Lighting, Inc. (“ABL”) and other wholly-owned subsidiaries (Acuity Brands, ABL, and such other subsidiaries are collectively referred to herein as “we,” “our,” “us,” “the Company,” or similar references) and was incorporated in 2001 under the laws of the State of Delaware. We are a market-leading industrial technology company that develops, manufactures, and provides lighting and building technology solutions and services for commercial, institutional, industrial, infrastructure, and residential applications throughout North America and select international markets. Our lighting and building technology solutions include devices such as luminaires, lighting controls, controls for various building systems, power supplies, prismatic skylights, and drivers, as well as integrated systems designed to optimize energy efficiency and comfort for various indoor and outdoor applications. Additionally, we continue to evolve Atrius as the intelligent building platform upon which a host of problem-solving applications can be deployed. Our solution, built on our local operating system, delivers increased efficiency and productivity by solving facility, operational, and line of business problems through location awareness. We have one reportable segment serving the North American lighting market and select international markets.</w:t>
      </w:r>
    </w:p>
    <w:p>
      <w:pPr>
        <w:spacing w:after="0" w:line="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We have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Brands and its wholly-owned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include the accounts of Acuity Brands and its wholly-owned subsidiaries after elimination of intercompany transactions and accounts.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recognize revenue when we transfer control of goods and services to our customers. Revenue is measured as the amount of consideration we expect to receive in exchange for goods and services and is recognized net of allowances for rebates, sales incentives, product returns, service-type warranties, and discounts to customers. Please refer to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for additional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in excess of daily requirements is invested in time deposits and marketable securities and is included in the accompanying balance sheets at fair value. We consider time deposits and marketable securities with an original maturity of three months or less when purchased to be cash equivalents.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 accounts receivable at net realizable value. This value includes a reserve for doubtful accounts to reflect losses anticipated on accounts receivable balances. The allowance is based on historical write-offs, an analysis of past due accounts based on the contractual terms of the receivables, and the economic status of customers, if known. We believe that the allowance is sufficient to cover uncollectible amounts; however, there can be no assurance that unanticipated future business conditions of customers will not have a negative impact on our results of operations.</w:t>
      </w:r>
    </w:p>
    <w:p>
      <w:pPr>
        <w:spacing w:after="0" w:line="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Prior to the adoption of the new revenue accounting standard </w:t>
      </w:r>
      <w:r>
        <w:rPr>
          <w:rFonts w:ascii="Arial" w:cs="Arial" w:eastAsia="Arial" w:hAnsi="Arial"/>
          <w:sz w:val="18"/>
          <w:szCs w:val="18"/>
          <w:i w:val="1"/>
          <w:iCs w:val="1"/>
          <w:color w:val="auto"/>
        </w:rPr>
        <w:t>Accounting Standards Codification</w:t>
      </w:r>
      <w:r>
        <w:rPr>
          <w:rFonts w:ascii="Arial" w:cs="Arial" w:eastAsia="Arial" w:hAnsi="Arial"/>
          <w:sz w:val="18"/>
          <w:szCs w:val="18"/>
          <w:color w:val="auto"/>
        </w:rPr>
        <w:t xml:space="preserve"> (“ASC”) </w:t>
      </w:r>
      <w:r>
        <w:rPr>
          <w:rFonts w:ascii="Arial" w:cs="Arial" w:eastAsia="Arial" w:hAnsi="Arial"/>
          <w:sz w:val="18"/>
          <w:szCs w:val="18"/>
          <w:i w:val="1"/>
          <w:iCs w:val="1"/>
          <w:color w:val="auto"/>
        </w:rPr>
        <w:t>606, 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on September 1, 2018, we recorded reserves for product returns, cash discounts, and other deductions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as a reduction to our outstanding receivables. As of September 1, 2019, we had a total reserve balance of $23.4 million. Since the adoption of ASC 606, estimated liabilities for returns,</w:t>
      </w:r>
    </w:p>
    <w:p>
      <w:pPr>
        <w:sectPr>
          <w:pgSz w:w="11900" w:h="16838" w:orient="portrait"/>
          <w:cols w:equalWidth="0" w:num="1">
            <w:col w:w="11240"/>
          </w:cols>
          <w:pgMar w:left="320" w:top="140" w:right="3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240"/>
          </w:cols>
          <w:pgMar w:left="320" w:top="140"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cash discounts, and other deductions are reflected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within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rather than as reductions to our trade receivables. Refer to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for additional information.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Concentrations of credit risk with respect to receivables, which are typically unsecured, are generally limited due to the wide variety of customers and markets using our lighting and building technology solutions as well as their dispersion across many different geographic areas. One customer accounted for approximately 10% of receivables at August 31, 2020, 2019, and 2018. No single customer accounted for more than 10% of net sales in fiscal 2020, 2019, or 2018.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5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Certain prior-period amounts have been reclassified to conform to the current year presentation. No material reclassifications occurred during the current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5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We have evaluated subsequent events for recognition and disclosure for occurrences and transactions after the date of the consolidated financial statements as of August 31, 2020. See </w:t>
      </w:r>
      <w:r>
        <w:rPr>
          <w:rFonts w:ascii="Arial" w:cs="Arial" w:eastAsia="Arial" w:hAnsi="Arial"/>
          <w:sz w:val="18"/>
          <w:szCs w:val="18"/>
          <w:i w:val="1"/>
          <w:iCs w:val="1"/>
          <w:color w:val="auto"/>
        </w:rPr>
        <w:t>Subsequent Event</w:t>
      </w:r>
      <w:r>
        <w:rPr>
          <w:rFonts w:ascii="Arial" w:cs="Arial" w:eastAsia="Arial" w:hAnsi="Arial"/>
          <w:sz w:val="18"/>
          <w:szCs w:val="18"/>
          <w:color w:val="auto"/>
        </w:rPr>
        <w:t xml:space="preserve"> footnote for additional details.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Inventories include materials, direct labor, inbound freight, and related manufacturing overhead, are stated at the lower of cost (on a first-in, first-out or average cost basis) and net realizable value, and consist of the following as of the dates presented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6"/>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Raw materials, supplies, and work in process</w:t>
            </w:r>
            <w:r>
              <w:rPr>
                <w:rFonts w:ascii="Arial" w:cs="Arial" w:eastAsia="Arial" w:hAnsi="Arial"/>
                <w:sz w:val="21"/>
                <w:szCs w:val="21"/>
                <w:color w:val="auto"/>
                <w:vertAlign w:val="superscript"/>
              </w:rPr>
              <w:t>(1)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179.4</w:t>
            </w: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Finished goods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199.1</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183.7</w:t>
            </w:r>
          </w:p>
        </w:tc>
        <w:tc>
          <w:tcPr>
            <w:tcW w:w="0" w:type="dxa"/>
            <w:vAlign w:val="bottom"/>
          </w:tcPr>
          <w:p>
            <w:pPr>
              <w:spacing w:after="0"/>
              <w:rPr>
                <w:sz w:val="1"/>
                <w:szCs w:val="1"/>
                <w:color w:val="auto"/>
              </w:rPr>
            </w:pPr>
          </w:p>
        </w:tc>
      </w:tr>
      <w:tr>
        <w:trPr>
          <w:trHeight w:val="256"/>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Inventories excluding reserves</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369.4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363.1</w:t>
            </w: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Reserves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4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320.1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340.8</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60" w:right="460" w:hanging="328"/>
        <w:spacing w:after="0" w:line="217" w:lineRule="auto"/>
        <w:tabs>
          <w:tab w:leader="none" w:pos="6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review inventory quantities on hand and record a provision for excess or obsolete inventory primarily based on estimated future demand and current market conditions. A significant change in customer demand or market conditions could render certain inventory obsolete and could have a material adverse impact on our operating results in the period the change occurs.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classify assets as held for sale upon the development and approval of a plan for disposal, when the sale of the asset is probable, and transfer of the asset is expected to be completed within one year. We cease the depreciation and amortization of the assets at the date of approval. During the year ended August 31, 2020, we classified three buildings as held for sale with a total carrying value of $ 4.1 million, within </w:t>
      </w:r>
      <w:r>
        <w:rPr>
          <w:rFonts w:ascii="Arial" w:cs="Arial" w:eastAsia="Arial" w:hAnsi="Arial"/>
          <w:sz w:val="18"/>
          <w:szCs w:val="18"/>
          <w:i w:val="1"/>
          <w:iCs w:val="1"/>
          <w:color w:val="auto"/>
        </w:rPr>
        <w:t>Prepayments and other current assets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We did not have any assets classified as held for sale as of August 31, 2019. We concluded the carrying value of these assets approximated or exceeded their fair values less costs to sell.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Goodwill amounted to $1.1 billion and $967.3 million as of August 31, 2020 and 2019, respectively. The changes in the carrying amount of goodwill during the periods presented are summarized as follows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Carrying Amount</w:t>
            </w:r>
          </w:p>
        </w:tc>
      </w:tr>
      <w:tr>
        <w:trPr>
          <w:trHeight w:val="243"/>
        </w:trPr>
        <w:tc>
          <w:tcPr>
            <w:tcW w:w="9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August 31, 2018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970.6</w:t>
            </w:r>
          </w:p>
        </w:tc>
      </w:tr>
      <w:tr>
        <w:trPr>
          <w:trHeight w:val="233"/>
        </w:trPr>
        <w:tc>
          <w:tcPr>
            <w:tcW w:w="9440" w:type="dxa"/>
            <w:vAlign w:val="bottom"/>
          </w:tcPr>
          <w:p>
            <w:pPr>
              <w:ind w:left="40"/>
              <w:spacing w:after="0"/>
              <w:rPr>
                <w:sz w:val="20"/>
                <w:szCs w:val="20"/>
                <w:color w:val="auto"/>
              </w:rPr>
            </w:pPr>
            <w:r>
              <w:rPr>
                <w:rFonts w:ascii="Arial" w:cs="Arial" w:eastAsia="Arial" w:hAnsi="Arial"/>
                <w:sz w:val="16"/>
                <w:szCs w:val="16"/>
                <w:color w:val="auto"/>
              </w:rPr>
              <w:t>Additions from an acquired business</w:t>
            </w: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253"/>
        </w:trPr>
        <w:tc>
          <w:tcPr>
            <w:tcW w:w="9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provisional amounts from acquired businesses</w:t>
            </w: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7"/>
        </w:trPr>
        <w:tc>
          <w:tcPr>
            <w:tcW w:w="9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43"/>
        </w:trPr>
        <w:tc>
          <w:tcPr>
            <w:tcW w:w="9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August 31, 2019</w:t>
            </w: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967.3</w:t>
            </w:r>
          </w:p>
        </w:tc>
      </w:tr>
      <w:tr>
        <w:trPr>
          <w:trHeight w:val="233"/>
        </w:trPr>
        <w:tc>
          <w:tcPr>
            <w:tcW w:w="9440" w:type="dxa"/>
            <w:vAlign w:val="bottom"/>
          </w:tcPr>
          <w:p>
            <w:pPr>
              <w:ind w:left="40"/>
              <w:spacing w:after="0"/>
              <w:rPr>
                <w:sz w:val="20"/>
                <w:szCs w:val="20"/>
                <w:color w:val="auto"/>
              </w:rPr>
            </w:pPr>
            <w:r>
              <w:rPr>
                <w:rFonts w:ascii="Arial" w:cs="Arial" w:eastAsia="Arial" w:hAnsi="Arial"/>
                <w:sz w:val="16"/>
                <w:szCs w:val="16"/>
                <w:color w:val="auto"/>
              </w:rPr>
              <w:t>Additions from acquired businesses</w:t>
            </w: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147.8</w:t>
            </w:r>
          </w:p>
        </w:tc>
      </w:tr>
      <w:tr>
        <w:trPr>
          <w:trHeight w:val="253"/>
        </w:trPr>
        <w:tc>
          <w:tcPr>
            <w:tcW w:w="9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provisional amounts from acquired businesses</w:t>
            </w: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r>
      <w:tr>
        <w:trPr>
          <w:trHeight w:val="237"/>
        </w:trPr>
        <w:tc>
          <w:tcPr>
            <w:tcW w:w="9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w:t>
            </w:r>
          </w:p>
        </w:tc>
      </w:tr>
      <w:tr>
        <w:trPr>
          <w:trHeight w:val="24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August 31,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1,080.0</w:t>
            </w:r>
          </w:p>
        </w:tc>
      </w:tr>
      <w:tr>
        <w:trPr>
          <w:trHeight w:val="20"/>
        </w:trPr>
        <w:tc>
          <w:tcPr>
            <w:tcW w:w="9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Summarized information for our acquired intangible assets is as follows as of the dates presented (in millions except amortization periods):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August 31,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63"/>
        </w:trPr>
        <w:tc>
          <w:tcPr>
            <w:tcW w:w="3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2020</w:t>
            </w:r>
          </w:p>
        </w:tc>
        <w:tc>
          <w:tcPr>
            <w:tcW w:w="12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1240" w:type="dxa"/>
            <w:vAlign w:val="bottom"/>
            <w:tcBorders>
              <w:bottom w:val="single" w:sz="8" w:color="auto"/>
            </w:tcBorders>
          </w:tcPr>
          <w:p>
            <w:pPr>
              <w:spacing w:after="0"/>
              <w:rPr>
                <w:sz w:val="22"/>
                <w:szCs w:val="22"/>
                <w:color w:val="auto"/>
              </w:rPr>
            </w:pPr>
          </w:p>
        </w:tc>
      </w:tr>
      <w:tr>
        <w:trPr>
          <w:trHeight w:val="162"/>
        </w:trPr>
        <w:tc>
          <w:tcPr>
            <w:tcW w:w="3380" w:type="dxa"/>
            <w:vAlign w:val="bottom"/>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 Average</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3380" w:type="dxa"/>
            <w:vAlign w:val="bottom"/>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Amortization Period</w:t>
            </w:r>
          </w:p>
        </w:tc>
        <w:tc>
          <w:tcPr>
            <w:tcW w:w="16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08"/>
              <w:spacing w:after="0"/>
              <w:rPr>
                <w:sz w:val="20"/>
                <w:szCs w:val="20"/>
                <w:color w:val="auto"/>
              </w:rPr>
            </w:pPr>
            <w:r>
              <w:rPr>
                <w:rFonts w:ascii="Arial" w:cs="Arial" w:eastAsia="Arial" w:hAnsi="Arial"/>
                <w:sz w:val="14"/>
                <w:szCs w:val="14"/>
                <w:b w:val="1"/>
                <w:bCs w:val="1"/>
                <w:color w:val="auto"/>
              </w:rPr>
              <w:t>Accumulated</w:t>
            </w:r>
          </w:p>
        </w:tc>
      </w:tr>
      <w:tr>
        <w:trPr>
          <w:trHeight w:val="196"/>
        </w:trPr>
        <w:tc>
          <w:tcPr>
            <w:tcW w:w="338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in Years</w:t>
            </w:r>
          </w:p>
        </w:tc>
        <w:tc>
          <w:tcPr>
            <w:tcW w:w="160" w:type="dxa"/>
            <w:vAlign w:val="bottom"/>
          </w:tcPr>
          <w:p>
            <w:pPr>
              <w:spacing w:after="0"/>
              <w:rPr>
                <w:sz w:val="17"/>
                <w:szCs w:val="17"/>
                <w:color w:val="auto"/>
              </w:rPr>
            </w:pPr>
          </w:p>
        </w:tc>
        <w:tc>
          <w:tcPr>
            <w:tcW w:w="1220" w:type="dxa"/>
            <w:vAlign w:val="bottom"/>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7"/>
                <w:szCs w:val="17"/>
                <w:color w:val="auto"/>
              </w:rPr>
            </w:pPr>
          </w:p>
        </w:tc>
        <w:tc>
          <w:tcPr>
            <w:tcW w:w="1180" w:type="dxa"/>
            <w:vAlign w:val="bottom"/>
          </w:tcPr>
          <w:p>
            <w:pPr>
              <w:jc w:val="right"/>
              <w:ind w:right="26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208"/>
              <w:spacing w:after="0"/>
              <w:rPr>
                <w:sz w:val="20"/>
                <w:szCs w:val="20"/>
                <w:color w:val="auto"/>
              </w:rPr>
            </w:pPr>
            <w:r>
              <w:rPr>
                <w:rFonts w:ascii="Arial" w:cs="Arial" w:eastAsia="Arial" w:hAnsi="Arial"/>
                <w:sz w:val="14"/>
                <w:szCs w:val="14"/>
                <w:b w:val="1"/>
                <w:bCs w:val="1"/>
                <w:color w:val="auto"/>
              </w:rPr>
              <w:t>Amortization</w:t>
            </w:r>
          </w:p>
        </w:tc>
      </w:tr>
      <w:tr>
        <w:trPr>
          <w:trHeight w:val="270"/>
        </w:trPr>
        <w:tc>
          <w:tcPr>
            <w:tcW w:w="3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Definite-lived intangible assets:</w:t>
            </w:r>
          </w:p>
        </w:tc>
        <w:tc>
          <w:tcPr>
            <w:tcW w:w="1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4"/>
        </w:trPr>
        <w:tc>
          <w:tcPr>
            <w:tcW w:w="3380" w:type="dxa"/>
            <w:vAlign w:val="bottom"/>
          </w:tcPr>
          <w:p>
            <w:pPr>
              <w:ind w:left="180"/>
              <w:spacing w:after="0"/>
              <w:rPr>
                <w:sz w:val="20"/>
                <w:szCs w:val="20"/>
                <w:color w:val="auto"/>
              </w:rPr>
            </w:pPr>
            <w:r>
              <w:rPr>
                <w:rFonts w:ascii="Arial" w:cs="Arial" w:eastAsia="Arial" w:hAnsi="Arial"/>
                <w:sz w:val="14"/>
                <w:szCs w:val="14"/>
                <w:color w:val="auto"/>
              </w:rPr>
              <w:t>Patents and patented technology</w:t>
            </w:r>
          </w:p>
        </w:tc>
        <w:tc>
          <w:tcPr>
            <w:tcW w:w="1580" w:type="dxa"/>
            <w:vAlign w:val="bottom"/>
          </w:tcPr>
          <w:p>
            <w:pPr>
              <w:jc w:val="center"/>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163.6</w:t>
            </w:r>
          </w:p>
        </w:tc>
        <w:tc>
          <w:tcPr>
            <w:tcW w:w="4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(89.5)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135.7</w:t>
            </w:r>
          </w:p>
        </w:tc>
        <w:tc>
          <w:tcPr>
            <w:tcW w:w="4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(72.9)</w:t>
            </w:r>
          </w:p>
        </w:tc>
      </w:tr>
      <w:tr>
        <w:trPr>
          <w:trHeight w:val="276"/>
        </w:trPr>
        <w:tc>
          <w:tcPr>
            <w:tcW w:w="3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Trademarks and trade names</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r>
      <w:tr>
        <w:trPr>
          <w:trHeight w:val="264"/>
        </w:trPr>
        <w:tc>
          <w:tcPr>
            <w:tcW w:w="3380" w:type="dxa"/>
            <w:vAlign w:val="bottom"/>
          </w:tcPr>
          <w:p>
            <w:pPr>
              <w:ind w:left="180"/>
              <w:spacing w:after="0"/>
              <w:rPr>
                <w:sz w:val="20"/>
                <w:szCs w:val="20"/>
                <w:color w:val="auto"/>
              </w:rPr>
            </w:pPr>
            <w:r>
              <w:rPr>
                <w:rFonts w:ascii="Arial" w:cs="Arial" w:eastAsia="Arial" w:hAnsi="Arial"/>
                <w:sz w:val="14"/>
                <w:szCs w:val="14"/>
                <w:color w:val="auto"/>
              </w:rPr>
              <w:t>Distribution network</w:t>
            </w:r>
          </w:p>
        </w:tc>
        <w:tc>
          <w:tcPr>
            <w:tcW w:w="1580" w:type="dxa"/>
            <w:vAlign w:val="bottom"/>
          </w:tcPr>
          <w:p>
            <w:pPr>
              <w:jc w:val="center"/>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(39.7)</w:t>
            </w:r>
          </w:p>
        </w:tc>
      </w:tr>
      <w:tr>
        <w:trPr>
          <w:trHeight w:val="270"/>
        </w:trPr>
        <w:tc>
          <w:tcPr>
            <w:tcW w:w="3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Customer relationships</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421.4</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299.2</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w:t>
            </w:r>
          </w:p>
        </w:tc>
      </w:tr>
      <w:tr>
        <w:trPr>
          <w:trHeight w:val="283"/>
        </w:trPr>
        <w:tc>
          <w:tcPr>
            <w:tcW w:w="3380" w:type="dxa"/>
            <w:vAlign w:val="bottom"/>
          </w:tcPr>
          <w:p>
            <w:pPr>
              <w:ind w:left="380"/>
              <w:spacing w:after="0"/>
              <w:rPr>
                <w:sz w:val="20"/>
                <w:szCs w:val="20"/>
                <w:color w:val="auto"/>
              </w:rPr>
            </w:pPr>
            <w:r>
              <w:rPr>
                <w:rFonts w:ascii="Arial" w:cs="Arial" w:eastAsia="Arial" w:hAnsi="Arial"/>
                <w:sz w:val="14"/>
                <w:szCs w:val="14"/>
                <w:color w:val="auto"/>
              </w:rPr>
              <w:t>Total definite-lived intangible assets</w:t>
            </w:r>
          </w:p>
        </w:tc>
        <w:tc>
          <w:tcPr>
            <w:tcW w:w="1580" w:type="dxa"/>
            <w:vAlign w:val="bottom"/>
          </w:tcPr>
          <w:p>
            <w:pPr>
              <w:jc w:val="center"/>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674.0</w:t>
            </w:r>
          </w:p>
        </w:tc>
        <w:tc>
          <w:tcPr>
            <w:tcW w:w="4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(242.4)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523.9</w:t>
            </w:r>
          </w:p>
        </w:tc>
        <w:tc>
          <w:tcPr>
            <w:tcW w:w="4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(199.2)</w:t>
            </w:r>
          </w:p>
        </w:tc>
      </w:tr>
      <w:tr>
        <w:trPr>
          <w:trHeight w:val="210"/>
        </w:trPr>
        <w:tc>
          <w:tcPr>
            <w:tcW w:w="3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Indefinite-lived trade names</w:t>
            </w: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174.3</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141.3</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0"/>
        </w:trPr>
        <w:tc>
          <w:tcPr>
            <w:tcW w:w="3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Through multiple acquisitions, we acquired definite-lived intangible assets consisting primarily of trademarks and trade names associated with specific products, distribution networks, patented technology, non-compete agreements, and customer relationships, which are amortized over their estimated useful lives. Indefinite-lived intangible assets consist of trade names that are expected to generate cash flows indefinitely. Significant estimates and assumptions were used to determine the initial fair value of these acquired intangible assets, including estimated future short-term and long-term net sales and profitability, customer attrition rates, royalty rates, and discount rates. Certain of our intangible assets are attributable to foreign operations and are impacted by currency translation due to movements in foreign currency rates year over year.</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recorded amortization expense of $41.7 million, $30.8 million, and $28.5 million related to acquired intangible assets during fiscal 2020, 2019, and 2018, respectively. Amortization expense is generally recorded on a straight-line basis and is expected to be approximately $40.7 million in fiscal 2021, $40.6 million in fiscal 2022, $40.3 million in fiscal 2023, $40.1 million in fiscal 2024, and $33.3 million in fiscal 2025.</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test goodwill and indefinite-lived intangible assets for impairment on an annual basis or more frequently as facts and circumstances change, as required by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(“ASC 350”). ASC 350 allows for an optional qualitative analysis for goodwill to determine the likelihood of impairment. If the qualitative review results in a more likely than not probability of impairment, a quantitative analysis is required. The qualitative step may be bypassed entirely in favor of a quantitative test. The quantitative analysis identifies impairments by comparing the fair value of a reporting unit with its carrying value, including goodwill. The fair values can be determined based on a combination of valuation techniques including the expected present value of future cash flows, a market multiple approach, and a comparable transaction approach. If the fair value of a reporting unit exceeds its carrying value,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goodwill is not considered impaired. Conversely, if the carrying value of a reporting unit exceeds its fair value, an impairment charge for the difference is recorded.</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fiscal 2020, we used a quantitative analysis based on discounted future cash flows to determine the likelihood of impairment for our one reporting unit. In fiscal 2019 and 2018, we used a qualitative fair value analysis to determine the likelihood of goodwill impairment. The analysis for goodwill did not result in an impairment charge during fiscal 2020, 2019, or 2018.</w:t>
      </w:r>
    </w:p>
    <w:p>
      <w:pPr>
        <w:spacing w:after="0" w:line="1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The impairment test for indefinite-lived trade names consists of comparing the fair value of a trade name with its carrying value. If the carrying amount exceeds the estimated fair value, an impairment loss would be recorded in the amount of the excess. We estimate the fair value of indefinite-lived trade names using a fair value model based on discounted future cash flows. Significant assumptions, including estimated future net sales, royalty rates, and discount rates, are used in the determination of estimated fair value for indefinite-lived trade names. Based on the results of the indefinite-lived intangible asset analyses for fiscal 2020, we recorded an impairment charge of $1.4 million related to one trade name 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w:t>
      </w:r>
      <w:r>
        <w:rPr>
          <w:rFonts w:ascii="Arial" w:cs="Arial" w:eastAsia="Arial" w:hAnsi="Arial"/>
          <w:sz w:val="18"/>
          <w:szCs w:val="18"/>
          <w:color w:val="auto"/>
        </w:rPr>
        <w:t>The impairment analyses of the other 12 indefinite-lived intangible assets indicated that their fair values exceeded their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values. Any reasonably likely change in the assumptions used in the analyses for our trade names would not be material to our financial condition or results of operations.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Short-term growth rates used in the fiscal 2020 our impairment analyses reflected additional estimation uncertainty as a result of the COVID-19 pandemic.</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Based on the results of the indefinite-lived intangible asset analyses performed in fiscal 2019 and 2018, we concluded that our analyses supported the indefinite-lived trade names' values; therefore, no impairment charges were recorded during those periods.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assets consist of the following as of the dates presented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6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7"/>
        </w:trPr>
        <w:tc>
          <w:tcPr>
            <w:tcW w:w="8660" w:type="dxa"/>
            <w:vAlign w:val="bottom"/>
            <w:shd w:val="clear" w:color="auto" w:fill="CCEEFF"/>
          </w:tcPr>
          <w:p>
            <w:pPr>
              <w:spacing w:after="0"/>
              <w:rPr>
                <w:sz w:val="20"/>
                <w:szCs w:val="20"/>
                <w:color w:val="auto"/>
              </w:rPr>
            </w:pPr>
            <w:r>
              <w:rPr>
                <w:rFonts w:ascii="Arial" w:cs="Arial" w:eastAsia="Arial" w:hAnsi="Arial"/>
                <w:sz w:val="16"/>
                <w:szCs w:val="16"/>
                <w:color w:val="auto"/>
              </w:rPr>
              <w:t>Deferred contract costs</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6"/>
              </w:rPr>
              <w:t>12.3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70"/>
        </w:trPr>
        <w:tc>
          <w:tcPr>
            <w:tcW w:w="8660" w:type="dxa"/>
            <w:vAlign w:val="bottom"/>
          </w:tcPr>
          <w:p>
            <w:pPr>
              <w:ind w:left="40"/>
              <w:spacing w:after="0"/>
              <w:rPr>
                <w:sz w:val="20"/>
                <w:szCs w:val="20"/>
                <w:color w:val="auto"/>
              </w:rPr>
            </w:pPr>
            <w:r>
              <w:rPr>
                <w:rFonts w:ascii="Arial" w:cs="Arial" w:eastAsia="Arial" w:hAnsi="Arial"/>
                <w:sz w:val="16"/>
                <w:szCs w:val="16"/>
                <w:color w:val="auto"/>
              </w:rPr>
              <w:t>Investments in unconsolidated affiliates</w:t>
            </w:r>
            <w:r>
              <w:rPr>
                <w:rFonts w:ascii="Arial" w:cs="Arial" w:eastAsia="Arial" w:hAnsi="Arial"/>
                <w:sz w:val="21"/>
                <w:szCs w:val="21"/>
                <w:color w:val="auto"/>
                <w:vertAlign w:val="superscript"/>
              </w:rPr>
              <w:t>(1)</w:t>
            </w:r>
          </w:p>
        </w:tc>
        <w:tc>
          <w:tcPr>
            <w:tcW w:w="820" w:type="dxa"/>
            <w:vAlign w:val="bottom"/>
          </w:tcPr>
          <w:p>
            <w:pPr>
              <w:spacing w:after="0"/>
              <w:rPr>
                <w:sz w:val="23"/>
                <w:szCs w:val="23"/>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credits</w:t>
            </w:r>
            <w:r>
              <w:rPr>
                <w:rFonts w:ascii="Arial" w:cs="Arial" w:eastAsia="Arial" w:hAnsi="Arial"/>
                <w:sz w:val="21"/>
                <w:szCs w:val="21"/>
                <w:color w:val="auto"/>
                <w:vertAlign w:val="superscript"/>
              </w:rPr>
              <w:t>(2)</w:t>
            </w:r>
          </w:p>
        </w:tc>
        <w:tc>
          <w:tcPr>
            <w:tcW w:w="8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8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3"/>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long-term assets</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6"/>
              </w:rPr>
              <w:t>29.5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66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jc w:val="both"/>
        <w:ind w:left="660" w:hanging="328"/>
        <w:spacing w:after="0" w:line="220" w:lineRule="auto"/>
        <w:tabs>
          <w:tab w:leader="none" w:pos="6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We hold equity investments in two unconsolidated affiliates. These strategic investments represent less than a 20% ownership interest in each of the privately-held affiliates, and we do not maintain power over or control of the entities. We measure these investments at cost less any impairment adjusted for observable price changes, if any.</w:t>
      </w:r>
    </w:p>
    <w:p>
      <w:pPr>
        <w:spacing w:after="0" w:line="1" w:lineRule="exact"/>
        <w:rPr>
          <w:rFonts w:ascii="Arial" w:cs="Arial" w:eastAsia="Arial" w:hAnsi="Arial"/>
          <w:sz w:val="18"/>
          <w:szCs w:val="18"/>
          <w:color w:val="auto"/>
          <w:vertAlign w:val="superscript"/>
        </w:rPr>
      </w:pPr>
    </w:p>
    <w:p>
      <w:pPr>
        <w:ind w:left="660" w:hanging="328"/>
        <w:spacing w:after="0" w:line="187" w:lineRule="auto"/>
        <w:tabs>
          <w:tab w:leader="none" w:pos="6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Amount represents research and development tax credit receivables related to certain amended prior year tax returns.</w:t>
      </w:r>
    </w:p>
    <w:p>
      <w:pPr>
        <w:jc w:val="both"/>
        <w:ind w:left="660" w:hanging="328"/>
        <w:spacing w:after="0" w:line="225" w:lineRule="auto"/>
        <w:tabs>
          <w:tab w:leader="none" w:pos="6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Amounts primarily include deferred debt issuance costs related to our credit facilities and company-owned life insurance investments. We maintain life insurance policies on 64 former employees primarily to satisfy obligations under certain deferred compensation plans. These company-owned life insurance policies are presented net of loans that are secured by these policies. This program is frozen, and no new policies were issued in the three-year period ended August 31, 2020.</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consist of the following as of the dates presented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9"/>
                <w:szCs w:val="19"/>
                <w:color w:val="auto"/>
              </w:rPr>
            </w:pPr>
          </w:p>
        </w:tc>
      </w:tr>
      <w:tr>
        <w:trPr>
          <w:trHeight w:val="263"/>
        </w:trPr>
        <w:tc>
          <w:tcPr>
            <w:tcW w:w="8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257"/>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 and postretirement benefits other than pensions</w:t>
            </w:r>
            <w:r>
              <w:rPr>
                <w:rFonts w:ascii="Arial" w:cs="Arial" w:eastAsia="Arial" w:hAnsi="Arial"/>
                <w:sz w:val="21"/>
                <w:szCs w:val="21"/>
                <w:color w:val="auto"/>
                <w:vertAlign w:val="superscript"/>
              </w:rPr>
              <w:t>(1)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41.6</w:t>
            </w:r>
          </w:p>
        </w:tc>
      </w:tr>
      <w:tr>
        <w:trPr>
          <w:trHeight w:val="260"/>
        </w:trPr>
        <w:tc>
          <w:tcPr>
            <w:tcW w:w="8440" w:type="dxa"/>
            <w:vAlign w:val="bottom"/>
          </w:tcPr>
          <w:p>
            <w:pPr>
              <w:ind w:left="40"/>
              <w:spacing w:after="0"/>
              <w:rPr>
                <w:sz w:val="20"/>
                <w:szCs w:val="20"/>
                <w:color w:val="auto"/>
              </w:rPr>
            </w:pPr>
            <w:r>
              <w:rPr>
                <w:rFonts w:ascii="Arial" w:cs="Arial" w:eastAsia="Arial" w:hAnsi="Arial"/>
                <w:sz w:val="16"/>
                <w:szCs w:val="16"/>
                <w:color w:val="auto"/>
              </w:rPr>
              <w:t>Service-type warranties</w:t>
            </w: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46.3</w:t>
            </w:r>
          </w:p>
        </w:tc>
      </w:tr>
      <w:tr>
        <w:trPr>
          <w:trHeight w:val="280"/>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Unrecognized tax position liabilities, including interest</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r>
      <w:tr>
        <w:trPr>
          <w:trHeight w:val="270"/>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r>
      <w:tr>
        <w:trPr>
          <w:trHeight w:val="23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long-term liabilities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110.7</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82" w:lineRule="exact"/>
        <w:rPr>
          <w:sz w:val="20"/>
          <w:szCs w:val="20"/>
          <w:color w:val="auto"/>
        </w:rPr>
      </w:pPr>
    </w:p>
    <w:p>
      <w:pPr>
        <w:jc w:val="both"/>
        <w:ind w:left="660" w:hanging="328"/>
        <w:spacing w:after="0" w:line="225" w:lineRule="auto"/>
        <w:tabs>
          <w:tab w:leader="none" w:pos="6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We maintain several non-qualified retirement plans for the benefit of eligible employees, primarily deferred compensation plans. The deferred compensation plans provide for elective deferrals of an eligible employee’s compensation and, in some cases, matching contributions by the organization. In addition, one plan provides an automatic contribution of 3% of an eligible employee’s compensation. We maintain life insurance policies on certain former officers and other key employees as a means of satisfying a portion of these obligations.</w:t>
      </w:r>
    </w:p>
    <w:p>
      <w:pPr>
        <w:spacing w:after="0" w:line="1" w:lineRule="exact"/>
        <w:rPr>
          <w:rFonts w:ascii="Arial" w:cs="Arial" w:eastAsia="Arial" w:hAnsi="Arial"/>
          <w:sz w:val="18"/>
          <w:szCs w:val="18"/>
          <w:color w:val="auto"/>
          <w:vertAlign w:val="superscript"/>
        </w:rPr>
      </w:pPr>
    </w:p>
    <w:p>
      <w:pPr>
        <w:ind w:left="660" w:hanging="328"/>
        <w:spacing w:after="0" w:line="187" w:lineRule="auto"/>
        <w:tabs>
          <w:tab w:leader="none" w:pos="6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footnote for more information.</w:t>
      </w:r>
    </w:p>
    <w:p>
      <w:pPr>
        <w:ind w:left="660" w:hanging="328"/>
        <w:spacing w:after="0" w:line="199" w:lineRule="auto"/>
        <w:tabs>
          <w:tab w:leader="none" w:pos="6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Amount primarily includes fees owed for licensing certain intellectual property.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Fees and Costs</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We include shipping and handling fees billed to customers in </w:t>
      </w:r>
      <w:r>
        <w:rPr>
          <w:rFonts w:ascii="Arial" w:cs="Arial" w:eastAsia="Arial" w:hAnsi="Arial"/>
          <w:sz w:val="18"/>
          <w:szCs w:val="18"/>
          <w:i w:val="1"/>
          <w:iCs w:val="1"/>
          <w:color w:val="auto"/>
        </w:rPr>
        <w:t>Net sales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Shipping and handling costs associated with inbound freight and freight between manufacturing facilities and distribution centers are generally recorded in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Other shipping and handling costs are included 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and totaled $121.9 million, $138.4 million, and $154.9 million in fiscal 2020, 2019, and 2018,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recognize compensation cost relating to share-based payment transactions in the financial statements based on the estimated grant date fair value of the equity instrument issued. We account for stock options, restricted shares, performance units, and share units representing certain deferrals into the Nonemployee Director Deferred Compensation Plan (the “Director Plan”) or the Supplemental Deferred Savings Plan (“SDSP”) (both of which are discussed further 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based on the grant-date fair value estimated under the current provisions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Share-based payment expense includes expense related to restricted stock, performance units, options issued, and share units deferred into the Director Plan. We recorded $38.2 million, $29.2 million, and $32.3 million of share-based payment expense for the years ended August 31, 2020, 2019, and 2018, respectively. The total income tax benefit recognized for share-based payment expense was $6.6 million, $6.5 million, and $8.4 million for the years ended August 31, 2020, 2019, and 2018, respectively. We account for any awards with graded vesting on a straight-line basis. Additionally, forfeitures of share-based awards are estimated based on historical experience at the time of grant and are revised in subsequent periods if actual forfeitures differ from initial estimates. We did not capitalize any expense related to share-based payments and have recorded share-based payment expense, net of estimated forfeitures, in </w:t>
      </w:r>
      <w:r>
        <w:rPr>
          <w:rFonts w:ascii="Arial" w:cs="Arial" w:eastAsia="Arial" w:hAnsi="Arial"/>
          <w:sz w:val="18"/>
          <w:szCs w:val="18"/>
          <w:i w:val="1"/>
          <w:iCs w:val="1"/>
          <w:color w:val="auto"/>
        </w:rPr>
        <w:t>Selling, distribution,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administrative expenses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Statements of Comprehensive Income</w:t>
      </w:r>
      <w:r>
        <w:rPr>
          <w:rFonts w:ascii="Arial" w:cs="Arial" w:eastAsia="Arial" w:hAnsi="Arial"/>
          <w:sz w:val="18"/>
          <w:szCs w:val="18"/>
          <w:color w:val="auto"/>
        </w:rPr>
        <w:t>.</w:t>
      </w:r>
    </w:p>
    <w:p>
      <w:pPr>
        <w:spacing w:after="0" w:line="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Excess tax benefits and/or expense related to share-based payment awards are reported within </w:t>
      </w:r>
      <w:r>
        <w:rPr>
          <w:rFonts w:ascii="Arial" w:cs="Arial" w:eastAsia="Arial" w:hAnsi="Arial"/>
          <w:sz w:val="18"/>
          <w:szCs w:val="18"/>
          <w:i w:val="1"/>
          <w:iCs w:val="1"/>
          <w:color w:val="auto"/>
        </w:rPr>
        <w:t>Income tax expense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of Comprehensive Income</w:t>
      </w:r>
      <w:r>
        <w:rPr>
          <w:rFonts w:ascii="Arial" w:cs="Arial" w:eastAsia="Arial" w:hAnsi="Arial"/>
          <w:sz w:val="18"/>
          <w:szCs w:val="18"/>
          <w:color w:val="auto"/>
        </w:rPr>
        <w:t>. We recognized net excess tax expense related to share-based payment cost of $1.4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$1.6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$0.8 million for the years ended August 31, 2020, 2019, and 2018,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Property, plant, and equipment is initially recorded at cost and depreciated principally on a straight-line basis using estimated useful lives of plant and equipment (10 to 40 years for buildings and related improvements and 3 to 15 years for machinery and equipment) for financial reporting purposes. Accelerated depreciation methods are used for income tax purposes. Leasehold improvements are amortized over the shorter of the life of the lease or the estimated useful life of the improvement. Depreciation expense amounted to $ 59.4 million, $57.5 million, and $51.8 million during fiscal 2020, 2019, and 2018, respectively. The balance in property, plant, and equipment consisted of the following as of the dates presented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6"/>
                <w:szCs w:val="16"/>
                <w:b w:val="1"/>
                <w:bCs w:val="1"/>
                <w:color w:val="auto"/>
              </w:rPr>
              <w:t>August 31,</w:t>
            </w:r>
          </w:p>
        </w:tc>
        <w:tc>
          <w:tcPr>
            <w:tcW w:w="1340" w:type="dxa"/>
            <w:vAlign w:val="bottom"/>
            <w:tcBorders>
              <w:bottom w:val="single" w:sz="8" w:color="auto"/>
            </w:tcBorders>
          </w:tcPr>
          <w:p>
            <w:pPr>
              <w:spacing w:after="0"/>
              <w:rPr>
                <w:sz w:val="19"/>
                <w:szCs w:val="19"/>
                <w:color w:val="auto"/>
              </w:rPr>
            </w:pPr>
          </w:p>
        </w:tc>
      </w:tr>
      <w:tr>
        <w:trPr>
          <w:trHeight w:val="263"/>
        </w:trPr>
        <w:tc>
          <w:tcPr>
            <w:tcW w:w="73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91"/>
              <w:spacing w:after="0"/>
              <w:rPr>
                <w:sz w:val="20"/>
                <w:szCs w:val="20"/>
                <w:color w:val="auto"/>
              </w:rPr>
            </w:pPr>
            <w:r>
              <w:rPr>
                <w:rFonts w:ascii="Arial" w:cs="Arial" w:eastAsia="Arial" w:hAnsi="Arial"/>
                <w:sz w:val="16"/>
                <w:szCs w:val="16"/>
                <w:b w:val="1"/>
                <w:bCs w:val="1"/>
                <w:color w:val="auto"/>
              </w:rPr>
              <w:t>2019</w:t>
            </w:r>
          </w:p>
        </w:tc>
      </w:tr>
      <w:tr>
        <w:trPr>
          <w:trHeight w:val="257"/>
        </w:trPr>
        <w:tc>
          <w:tcPr>
            <w:tcW w:w="7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1220" w:type="dxa"/>
            <w:vAlign w:val="bottom"/>
            <w:shd w:val="clear" w:color="auto" w:fill="CCEEFF"/>
          </w:tcPr>
          <w:p>
            <w:pPr>
              <w:jc w:val="right"/>
              <w:ind w:right="1013"/>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r>
      <w:tr>
        <w:trPr>
          <w:trHeight w:val="263"/>
        </w:trPr>
        <w:tc>
          <w:tcPr>
            <w:tcW w:w="7300" w:type="dxa"/>
            <w:vAlign w:val="bottom"/>
          </w:tcPr>
          <w:p>
            <w:pPr>
              <w:ind w:left="40"/>
              <w:spacing w:after="0"/>
              <w:rPr>
                <w:sz w:val="20"/>
                <w:szCs w:val="20"/>
                <w:color w:val="auto"/>
              </w:rPr>
            </w:pPr>
            <w:r>
              <w:rPr>
                <w:rFonts w:ascii="Arial" w:cs="Arial" w:eastAsia="Arial" w:hAnsi="Arial"/>
                <w:sz w:val="16"/>
                <w:szCs w:val="16"/>
                <w:color w:val="auto"/>
              </w:rPr>
              <w:t>Buildings and leasehold improvements</w:t>
            </w:r>
          </w:p>
        </w:tc>
        <w:tc>
          <w:tcPr>
            <w:tcW w:w="122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190.7</w:t>
            </w:r>
          </w:p>
        </w:tc>
      </w:tr>
      <w:tr>
        <w:trPr>
          <w:trHeight w:val="270"/>
        </w:trPr>
        <w:tc>
          <w:tcPr>
            <w:tcW w:w="7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1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588.4</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544.4</w:t>
            </w:r>
          </w:p>
        </w:tc>
      </w:tr>
      <w:tr>
        <w:trPr>
          <w:trHeight w:val="250"/>
        </w:trPr>
        <w:tc>
          <w:tcPr>
            <w:tcW w:w="7300" w:type="dxa"/>
            <w:vAlign w:val="bottom"/>
          </w:tcPr>
          <w:p>
            <w:pPr>
              <w:ind w:left="40"/>
              <w:spacing w:after="0"/>
              <w:rPr>
                <w:sz w:val="20"/>
                <w:szCs w:val="20"/>
                <w:color w:val="auto"/>
              </w:rPr>
            </w:pPr>
            <w:r>
              <w:rPr>
                <w:rFonts w:ascii="Arial" w:cs="Arial" w:eastAsia="Arial" w:hAnsi="Arial"/>
                <w:sz w:val="16"/>
                <w:szCs w:val="16"/>
                <w:color w:val="auto"/>
              </w:rPr>
              <w:t>Total property, plant, and equipment, at cost</w:t>
            </w:r>
          </w:p>
        </w:tc>
        <w:tc>
          <w:tcPr>
            <w:tcW w:w="1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802.8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757.7</w:t>
            </w:r>
          </w:p>
        </w:tc>
      </w:tr>
      <w:tr>
        <w:trPr>
          <w:trHeight w:val="270"/>
        </w:trPr>
        <w:tc>
          <w:tcPr>
            <w:tcW w:w="7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1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w:t>
            </w:r>
          </w:p>
        </w:tc>
      </w:tr>
      <w:tr>
        <w:trPr>
          <w:trHeight w:val="254"/>
        </w:trPr>
        <w:tc>
          <w:tcPr>
            <w:tcW w:w="73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1220" w:type="dxa"/>
            <w:vAlign w:val="bottom"/>
            <w:tcBorders>
              <w:bottom w:val="single" w:sz="8" w:color="auto"/>
            </w:tcBorders>
          </w:tcPr>
          <w:p>
            <w:pPr>
              <w:jc w:val="right"/>
              <w:ind w:right="101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277.3</w:t>
            </w:r>
          </w:p>
        </w:tc>
      </w:tr>
      <w:tr>
        <w:trPr>
          <w:trHeight w:val="20"/>
        </w:trPr>
        <w:tc>
          <w:tcPr>
            <w:tcW w:w="7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Research and development (“R&amp;D”) expense, which is expensed as incurred, consists of compensation, payroll taxes, employee benefits, materials, supplies, and other administrative costs. R&amp;D does not include all new product development costs and is included in </w:t>
      </w:r>
      <w:r>
        <w:rPr>
          <w:rFonts w:ascii="Arial" w:cs="Arial" w:eastAsia="Arial" w:hAnsi="Arial"/>
          <w:sz w:val="18"/>
          <w:szCs w:val="18"/>
          <w:i w:val="1"/>
          <w:iCs w:val="1"/>
          <w:color w:val="auto"/>
        </w:rPr>
        <w:t>Selling,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distribution, and administrative expenses </w:t>
      </w:r>
      <w:r>
        <w:rPr>
          <w:rFonts w:ascii="Arial" w:cs="Arial" w:eastAsia="Arial" w:hAnsi="Arial"/>
          <w:sz w:val="18"/>
          <w:szCs w:val="18"/>
          <w:color w:val="auto"/>
        </w:rPr>
        <w:t>in our</w:t>
      </w:r>
      <w:r>
        <w:rPr>
          <w:rFonts w:ascii="Arial" w:cs="Arial" w:eastAsia="Arial" w:hAnsi="Arial"/>
          <w:sz w:val="18"/>
          <w:szCs w:val="18"/>
          <w:i w:val="1"/>
          <w:iCs w:val="1"/>
          <w:color w:val="auto"/>
        </w:rPr>
        <w:t xml:space="preserve"> Consolidated Statements of Comprehensive Income</w:t>
      </w:r>
      <w:r>
        <w:rPr>
          <w:rFonts w:ascii="Arial" w:cs="Arial" w:eastAsia="Arial" w:hAnsi="Arial"/>
          <w:sz w:val="18"/>
          <w:szCs w:val="18"/>
          <w:color w:val="auto"/>
        </w:rPr>
        <w:t>. R&amp;D expense amounted to $82.0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$74.7 million, and $63.9 million during fiscal 2020, 2019, and 2018,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Advertising costs are expensed as incurred and are included within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our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of Comprehensive Income</w:t>
      </w:r>
      <w:r>
        <w:rPr>
          <w:rFonts w:ascii="Arial" w:cs="Arial" w:eastAsia="Arial" w:hAnsi="Arial"/>
          <w:sz w:val="18"/>
          <w:szCs w:val="18"/>
          <w:color w:val="auto"/>
        </w:rPr>
        <w:t>. These costs totaled $15.1 million, $18.5 million, and $20.6 million during fiscal 2020, 2019,</w:t>
      </w:r>
      <w:r>
        <w:rPr>
          <w:rFonts w:ascii="Arial" w:cs="Arial" w:eastAsia="Arial" w:hAnsi="Arial"/>
          <w:sz w:val="18"/>
          <w:szCs w:val="18"/>
          <w:i w:val="1"/>
          <w:iCs w:val="1"/>
          <w:color w:val="auto"/>
        </w:rPr>
        <w:t xml:space="preserve"> </w:t>
      </w:r>
      <w:r>
        <w:rPr>
          <w:rFonts w:ascii="Arial" w:cs="Arial" w:eastAsia="Arial" w:hAnsi="Arial"/>
          <w:sz w:val="18"/>
          <w:szCs w:val="18"/>
          <w:color w:val="auto"/>
        </w:rPr>
        <w:t>and 2018,</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is comprised primarily of interest expense on long-term debt, obligations in connection with non-qualified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and line of credit borrowings, partially offset by interest income earned on cash and cash equivalents.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interest expense, net during the periods presented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6"/>
                <w:szCs w:val="16"/>
                <w:b w:val="1"/>
                <w:bCs w:val="1"/>
                <w:color w:val="auto"/>
              </w:rPr>
              <w:t>Year Ended August 31,</w:t>
            </w:r>
          </w:p>
        </w:tc>
        <w:tc>
          <w:tcPr>
            <w:tcW w:w="940" w:type="dxa"/>
            <w:vAlign w:val="bottom"/>
            <w:tcBorders>
              <w:bottom w:val="single" w:sz="8" w:color="auto"/>
            </w:tcBorders>
          </w:tcPr>
          <w:p>
            <w:pPr>
              <w:spacing w:after="0"/>
              <w:rPr>
                <w:sz w:val="19"/>
                <w:szCs w:val="19"/>
                <w:color w:val="auto"/>
              </w:rPr>
            </w:pPr>
          </w:p>
        </w:tc>
      </w:tr>
      <w:tr>
        <w:trPr>
          <w:trHeight w:val="263"/>
        </w:trPr>
        <w:tc>
          <w:tcPr>
            <w:tcW w:w="73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r>
      <w:tr>
        <w:trPr>
          <w:trHeight w:val="257"/>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6"/>
              </w:rPr>
              <w:t>26.4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35.5</w:t>
            </w:r>
          </w:p>
        </w:tc>
      </w:tr>
      <w:tr>
        <w:trPr>
          <w:trHeight w:val="263"/>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income</w:t>
            </w:r>
          </w:p>
        </w:tc>
        <w:tc>
          <w:tcPr>
            <w:tcW w:w="8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4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6"/>
              </w:rPr>
              <w:t>23.3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33.5</w:t>
            </w:r>
          </w:p>
        </w:tc>
      </w:tr>
      <w:tr>
        <w:trPr>
          <w:trHeight w:val="20"/>
        </w:trPr>
        <w:tc>
          <w:tcPr>
            <w:tcW w:w="7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 Expense, Net</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Miscellaneous expense, net</w:t>
      </w:r>
      <w:r>
        <w:rPr>
          <w:rFonts w:ascii="Arial" w:cs="Arial" w:eastAsia="Arial" w:hAnsi="Arial"/>
          <w:sz w:val="18"/>
          <w:szCs w:val="18"/>
          <w:color w:val="auto"/>
        </w:rPr>
        <w:t>, is comprised primarily of non-service related components of net periodic pension cost, gains or losses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foreign currency items, and other non-operating items. Gains or losses relating to foreign currency items consisted of net expense of $5.9 million in fiscal 2020, net gains of $ 0.6 million in fiscal 2019, and net gains of $0.1 million in fiscal 2018. During fiscal 2018, we recognized a $5.4 million gain on the sale of a foreign domiciled business, which included the reclassification of $8.7 million in accumulated foreign currency gains from </w:t>
      </w:r>
      <w:r>
        <w:rPr>
          <w:rFonts w:ascii="Arial" w:cs="Arial" w:eastAsia="Arial" w:hAnsi="Arial"/>
          <w:sz w:val="18"/>
          <w:szCs w:val="18"/>
          <w:i w:val="1"/>
          <w:iCs w:val="1"/>
          <w:color w:val="auto"/>
        </w:rPr>
        <w:t>Accumulated other comprehensive loss.</w:t>
      </w:r>
    </w:p>
    <w:p>
      <w:pPr>
        <w:sectPr>
          <w:pgSz w:w="11900" w:h="16838" w:orient="portrait"/>
          <w:cols w:equalWidth="0" w:num="1">
            <w:col w:w="11240"/>
          </w:cols>
          <w:pgMar w:left="320" w:top="140" w:right="339" w:bottom="1440" w:gutter="0" w:footer="0" w:header="0"/>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240"/>
          </w:cols>
          <w:pgMar w:left="320" w:top="140" w:right="3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taxed at statutory corporate rates after adjusting income reported for financial statement purposes for certain items that are treated differently for income tax purposes. Deferred income tax expenses or benefits result from changes during the year in cumulative temporary differences between the tax basis and book basis of assets and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functional currency for foreign operations is generally the local currency where the foreign operations are domiciled. The translation of foreign currencies into U.S. dollars is performed for balance sheet accounts using exchange rates in effect at the balance sheet dates and for revenue and expense accounts using a weighted average exchange rate each month during the year. The gains or losses resulting from the balance sheet translation are included in </w:t>
      </w:r>
      <w:r>
        <w:rPr>
          <w:rFonts w:ascii="Arial" w:cs="Arial" w:eastAsia="Arial" w:hAnsi="Arial"/>
          <w:sz w:val="18"/>
          <w:szCs w:val="18"/>
          <w:i w:val="1"/>
          <w:iCs w:val="1"/>
          <w:color w:val="auto"/>
        </w:rPr>
        <w:t>Foreign currency translation adjustments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and are excluded from net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Comprehensive income represents a measure of all changes in equity that result from recognized transactions and other economic events other than transactions with owners in their capacity as owners. Other comprehensive income (loss) includes foreign currency translation and pension adjustments.</w:t>
      </w:r>
    </w:p>
    <w:p>
      <w:pPr>
        <w:spacing w:after="0" w:line="10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presents the changes in each component of accumulated other comprehensive loss net of tax during the periods presented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Foreign Currency</w:t>
            </w:r>
          </w:p>
        </w:tc>
        <w:tc>
          <w:tcPr>
            <w:tcW w:w="16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Defined Benefit</w:t>
            </w:r>
          </w:p>
        </w:tc>
        <w:tc>
          <w:tcPr>
            <w:tcW w:w="160" w:type="dxa"/>
            <w:vAlign w:val="bottom"/>
          </w:tcPr>
          <w:p>
            <w:pPr>
              <w:spacing w:after="0"/>
              <w:rPr>
                <w:sz w:val="14"/>
                <w:szCs w:val="14"/>
                <w:color w:val="auto"/>
              </w:rPr>
            </w:pPr>
          </w:p>
        </w:tc>
        <w:tc>
          <w:tcPr>
            <w:tcW w:w="1300" w:type="dxa"/>
            <w:vAlign w:val="bottom"/>
          </w:tcPr>
          <w:p>
            <w:pPr>
              <w:jc w:val="center"/>
              <w:ind w:right="61"/>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Items</w:t>
            </w:r>
          </w:p>
        </w:tc>
        <w:tc>
          <w:tcPr>
            <w:tcW w:w="16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Pension Plans</w:t>
            </w:r>
          </w:p>
        </w:tc>
        <w:tc>
          <w:tcPr>
            <w:tcW w:w="160" w:type="dxa"/>
            <w:vAlign w:val="bottom"/>
          </w:tcPr>
          <w:p>
            <w:pPr>
              <w:spacing w:after="0"/>
              <w:rPr>
                <w:sz w:val="17"/>
                <w:szCs w:val="17"/>
                <w:color w:val="auto"/>
              </w:rPr>
            </w:pPr>
          </w:p>
        </w:tc>
        <w:tc>
          <w:tcPr>
            <w:tcW w:w="1300" w:type="dxa"/>
            <w:vAlign w:val="bottom"/>
          </w:tcPr>
          <w:p>
            <w:pPr>
              <w:jc w:val="center"/>
              <w:ind w:right="81"/>
              <w:spacing w:after="0"/>
              <w:rPr>
                <w:sz w:val="20"/>
                <w:szCs w:val="20"/>
                <w:color w:val="auto"/>
              </w:rPr>
            </w:pPr>
            <w:r>
              <w:rPr>
                <w:rFonts w:ascii="Arial" w:cs="Arial" w:eastAsia="Arial" w:hAnsi="Arial"/>
                <w:sz w:val="14"/>
                <w:szCs w:val="14"/>
                <w:b w:val="1"/>
                <w:bCs w:val="1"/>
                <w:color w:val="auto"/>
              </w:rPr>
              <w:t>Loss Items</w:t>
            </w:r>
          </w:p>
        </w:tc>
        <w:tc>
          <w:tcPr>
            <w:tcW w:w="0" w:type="dxa"/>
            <w:vAlign w:val="bottom"/>
          </w:tcPr>
          <w:p>
            <w:pPr>
              <w:spacing w:after="0"/>
              <w:rPr>
                <w:sz w:val="1"/>
                <w:szCs w:val="1"/>
                <w:color w:val="auto"/>
              </w:rPr>
            </w:pPr>
          </w:p>
        </w:tc>
      </w:tr>
      <w:tr>
        <w:trPr>
          <w:trHeight w:val="256"/>
        </w:trPr>
        <w:tc>
          <w:tcPr>
            <w:tcW w:w="6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August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60"/>
        </w:trPr>
        <w:tc>
          <w:tcPr>
            <w:tcW w:w="6640" w:type="dxa"/>
            <w:vAlign w:val="bottom"/>
          </w:tcPr>
          <w:p>
            <w:pPr>
              <w:ind w:left="40"/>
              <w:spacing w:after="0"/>
              <w:rPr>
                <w:sz w:val="20"/>
                <w:szCs w:val="20"/>
                <w:color w:val="auto"/>
              </w:rPr>
            </w:pPr>
            <w:r>
              <w:rPr>
                <w:rFonts w:ascii="Arial" w:cs="Arial" w:eastAsia="Arial" w:hAnsi="Arial"/>
                <w:sz w:val="16"/>
                <w:szCs w:val="16"/>
                <w:color w:val="auto"/>
              </w:rPr>
              <w:t>Other comprehensive loss before reclassifications</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8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Amounts reclassified from accumulated other comprehensive loss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current period other comprehensive loss</w:t>
            </w:r>
          </w:p>
        </w:tc>
        <w:tc>
          <w:tcPr>
            <w:tcW w:w="1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43"/>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August 31, 2019</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w:t>
            </w:r>
          </w:p>
        </w:tc>
        <w:tc>
          <w:tcPr>
            <w:tcW w:w="0" w:type="dxa"/>
            <w:vAlign w:val="bottom"/>
          </w:tcPr>
          <w:p>
            <w:pPr>
              <w:spacing w:after="0"/>
              <w:rPr>
                <w:sz w:val="1"/>
                <w:szCs w:val="1"/>
                <w:color w:val="auto"/>
              </w:rPr>
            </w:pPr>
          </w:p>
        </w:tc>
      </w:tr>
      <w:tr>
        <w:trPr>
          <w:trHeight w:val="260"/>
        </w:trPr>
        <w:tc>
          <w:tcPr>
            <w:tcW w:w="664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reclassifications</w:t>
            </w:r>
          </w:p>
        </w:tc>
        <w:tc>
          <w:tcPr>
            <w:tcW w:w="1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8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Amounts reclassified from accumulated other comprehensive loss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current period other comprehensive income</w:t>
            </w:r>
          </w:p>
        </w:tc>
        <w:tc>
          <w:tcPr>
            <w:tcW w:w="1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4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August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60" w:right="20" w:hanging="328"/>
        <w:spacing w:after="0" w:line="221" w:lineRule="auto"/>
        <w:tabs>
          <w:tab w:leader="none" w:pos="6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 xml:space="preserve">The before tax amounts of the defined benefit pension plan items are included in net periodic pension cost. See the </w:t>
      </w:r>
      <w:r>
        <w:rPr>
          <w:rFonts w:ascii="Arial" w:cs="Arial" w:eastAsia="Arial" w:hAnsi="Arial"/>
          <w:sz w:val="14"/>
          <w:szCs w:val="14"/>
          <w:i w:val="1"/>
          <w:iCs w:val="1"/>
          <w:color w:val="auto"/>
        </w:rPr>
        <w:t>Pension and Defined Contribution Plans</w:t>
      </w:r>
      <w:r>
        <w:rPr>
          <w:rFonts w:ascii="Arial" w:cs="Arial" w:eastAsia="Arial" w:hAnsi="Arial"/>
          <w:sz w:val="14"/>
          <w:szCs w:val="14"/>
          <w:color w:val="auto"/>
        </w:rPr>
        <w:t xml:space="preserve"> footnote for additional details.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60" w:right="20"/>
        <w:spacing w:after="0" w:line="261" w:lineRule="auto"/>
        <w:rPr>
          <w:sz w:val="20"/>
          <w:szCs w:val="20"/>
          <w:color w:val="auto"/>
        </w:rPr>
      </w:pPr>
      <w:r>
        <w:rPr>
          <w:rFonts w:ascii="Arial" w:cs="Arial" w:eastAsia="Arial" w:hAnsi="Arial"/>
          <w:sz w:val="18"/>
          <w:szCs w:val="18"/>
          <w:color w:val="auto"/>
        </w:rPr>
        <w:t>The following table presents the tax expense or benefit allocated to each component of other comprehensive income (loss) during the periods presented (in millions):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August 31,</w:t>
            </w: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Before Tax</w:t>
            </w:r>
          </w:p>
        </w:tc>
        <w:tc>
          <w:tcPr>
            <w:tcW w:w="18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Net of Tax</w:t>
            </w:r>
          </w:p>
        </w:tc>
        <w:tc>
          <w:tcPr>
            <w:tcW w:w="120" w:type="dxa"/>
            <w:vAlign w:val="bottom"/>
          </w:tcPr>
          <w:p>
            <w:pPr>
              <w:spacing w:after="0"/>
              <w:rPr>
                <w:sz w:val="13"/>
                <w:szCs w:val="13"/>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Before Tax</w:t>
            </w:r>
          </w:p>
        </w:tc>
        <w:tc>
          <w:tcPr>
            <w:tcW w:w="160" w:type="dxa"/>
            <w:vAlign w:val="bottom"/>
          </w:tcPr>
          <w:p>
            <w:pPr>
              <w:spacing w:after="0"/>
              <w:rPr>
                <w:sz w:val="13"/>
                <w:szCs w:val="13"/>
                <w:color w:val="auto"/>
              </w:rPr>
            </w:pPr>
          </w:p>
        </w:tc>
        <w:tc>
          <w:tcPr>
            <w:tcW w:w="8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Net of Tax</w:t>
            </w:r>
          </w:p>
        </w:tc>
        <w:tc>
          <w:tcPr>
            <w:tcW w:w="100" w:type="dxa"/>
            <w:vAlign w:val="bottom"/>
          </w:tcPr>
          <w:p>
            <w:pPr>
              <w:spacing w:after="0"/>
              <w:rPr>
                <w:sz w:val="13"/>
                <w:szCs w:val="13"/>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Before Tax</w:t>
            </w:r>
          </w:p>
        </w:tc>
        <w:tc>
          <w:tcPr>
            <w:tcW w:w="160" w:type="dxa"/>
            <w:vAlign w:val="bottom"/>
          </w:tcPr>
          <w:p>
            <w:pPr>
              <w:spacing w:after="0"/>
              <w:rPr>
                <w:sz w:val="13"/>
                <w:szCs w:val="13"/>
                <w:color w:val="auto"/>
              </w:rPr>
            </w:pPr>
          </w:p>
        </w:tc>
        <w:tc>
          <w:tcPr>
            <w:tcW w:w="8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3"/>
                <w:szCs w:val="13"/>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4"/>
              </w:rPr>
              <w:t>Net of Tax</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(Expense) or</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(Expense) or</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(Expense) or</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Benefit</w:t>
            </w: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Benefit</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Benefit</w:t>
            </w:r>
          </w:p>
        </w:tc>
        <w:tc>
          <w:tcPr>
            <w:tcW w:w="12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0"/>
        </w:trPr>
        <w:tc>
          <w:tcPr>
            <w:tcW w:w="2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Foreign currency translation</w:t>
            </w: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64"/>
        </w:trPr>
        <w:tc>
          <w:tcPr>
            <w:tcW w:w="2260" w:type="dxa"/>
            <w:vAlign w:val="bottom"/>
          </w:tcPr>
          <w:p>
            <w:pPr>
              <w:ind w:left="40"/>
              <w:spacing w:after="0"/>
              <w:rPr>
                <w:sz w:val="20"/>
                <w:szCs w:val="20"/>
                <w:color w:val="auto"/>
              </w:rPr>
            </w:pPr>
            <w:r>
              <w:rPr>
                <w:rFonts w:ascii="Arial" w:cs="Arial" w:eastAsia="Arial" w:hAnsi="Arial"/>
                <w:sz w:val="14"/>
                <w:szCs w:val="14"/>
                <w:color w:val="auto"/>
              </w:rPr>
              <w:t>Defined benefit pension plans:</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Actuarial (losses) gains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94"/>
        </w:trPr>
        <w:tc>
          <w:tcPr>
            <w:tcW w:w="2260" w:type="dxa"/>
            <w:vAlign w:val="bottom"/>
          </w:tcPr>
          <w:p>
            <w:pPr>
              <w:ind w:left="280"/>
              <w:spacing w:after="0"/>
              <w:rPr>
                <w:sz w:val="20"/>
                <w:szCs w:val="20"/>
                <w:color w:val="auto"/>
              </w:rPr>
            </w:pPr>
            <w:r>
              <w:rPr>
                <w:rFonts w:ascii="Arial" w:cs="Arial" w:eastAsia="Arial" w:hAnsi="Arial"/>
                <w:sz w:val="14"/>
                <w:szCs w:val="14"/>
                <w:color w:val="auto"/>
              </w:rPr>
              <w:t>Amortization of defined benefit</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260" w:type="dxa"/>
            <w:vAlign w:val="bottom"/>
          </w:tcPr>
          <w:p>
            <w:pPr>
              <w:ind w:left="280"/>
              <w:spacing w:after="0"/>
              <w:rPr>
                <w:sz w:val="20"/>
                <w:szCs w:val="20"/>
                <w:color w:val="auto"/>
              </w:rPr>
            </w:pPr>
            <w:r>
              <w:rPr>
                <w:rFonts w:ascii="Arial" w:cs="Arial" w:eastAsia="Arial" w:hAnsi="Arial"/>
                <w:sz w:val="14"/>
                <w:szCs w:val="14"/>
                <w:color w:val="auto"/>
              </w:rPr>
              <w:t>pension items:</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2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Prior service cost</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64"/>
        </w:trPr>
        <w:tc>
          <w:tcPr>
            <w:tcW w:w="2260" w:type="dxa"/>
            <w:vAlign w:val="bottom"/>
          </w:tcPr>
          <w:p>
            <w:pPr>
              <w:ind w:left="500"/>
              <w:spacing w:after="0"/>
              <w:rPr>
                <w:sz w:val="20"/>
                <w:szCs w:val="20"/>
                <w:color w:val="auto"/>
              </w:rPr>
            </w:pPr>
            <w:r>
              <w:rPr>
                <w:rFonts w:ascii="Arial" w:cs="Arial" w:eastAsia="Arial" w:hAnsi="Arial"/>
                <w:sz w:val="14"/>
                <w:szCs w:val="14"/>
                <w:color w:val="auto"/>
              </w:rPr>
              <w:t>Actuarial losses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70"/>
        </w:trPr>
        <w:tc>
          <w:tcPr>
            <w:tcW w:w="22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Settlement losses</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2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defined benefit plans, net</w:t>
            </w: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6.8</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(32.8)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20.8</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(44.3)</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71"/>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(loss)</w:t>
            </w: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New Accounting Pronouncements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 in Fiscal 2020</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842 — Leases (“ASC 842”)</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which requires lessees to include most leases on the balance sheet as lease liabilities with an associated right-of-use (“ROU”) asset. Since the issuance of ASU 2016-02, the FASB released several amendments to improve and clarify the implementation guidance, as well as to change the allowable adoption methods. These standards have been collectively codified within ASC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adopted ASC 842 using the modified retrospective method and applied the standard to all leases existing as of September 1, 2019. Information for prior years presented has not been restated and continues to reflect the authoritative accounting standards in effect for those periods. We elected the package of transition practical expedients that allows us to carryforward our historical assessments of whether existing contracts contain leases, determinations of lease classification, and treatments of initial direct costs.</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As of September 1, 2019, we recognized total operating lease liabilities of $64.7 million in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of which $49.3 million was recorded within </w:t>
      </w:r>
      <w:r>
        <w:rPr>
          <w:rFonts w:ascii="Arial" w:cs="Arial" w:eastAsia="Arial" w:hAnsi="Arial"/>
          <w:sz w:val="18"/>
          <w:szCs w:val="18"/>
          <w:i w:val="1"/>
          <w:iCs w:val="1"/>
          <w:color w:val="auto"/>
        </w:rPr>
        <w:t>Long-term operating lease liabilities</w:t>
      </w:r>
      <w:r>
        <w:rPr>
          <w:rFonts w:ascii="Arial" w:cs="Arial" w:eastAsia="Arial" w:hAnsi="Arial"/>
          <w:sz w:val="18"/>
          <w:szCs w:val="18"/>
          <w:color w:val="auto"/>
        </w:rPr>
        <w:t xml:space="preserve"> and $15.4 million was recorded within </w:t>
      </w:r>
      <w:r>
        <w:rPr>
          <w:rFonts w:ascii="Arial" w:cs="Arial" w:eastAsia="Arial" w:hAnsi="Arial"/>
          <w:sz w:val="18"/>
          <w:szCs w:val="18"/>
          <w:i w:val="1"/>
          <w:iCs w:val="1"/>
          <w:color w:val="auto"/>
        </w:rPr>
        <w:t>Current operating lease liabilities</w:t>
      </w:r>
      <w:r>
        <w:rPr>
          <w:rFonts w:ascii="Arial" w:cs="Arial" w:eastAsia="Arial" w:hAnsi="Arial"/>
          <w:sz w:val="18"/>
          <w:szCs w:val="18"/>
          <w:color w:val="auto"/>
        </w:rPr>
        <w:t xml:space="preserve">. We additionally derecognized $5.1 million of previously recorded net deferred rent balances and recorded ROU assets of $59.6 million related to our operating leases, which were reflected within </w:t>
      </w:r>
      <w:r>
        <w:rPr>
          <w:rFonts w:ascii="Arial" w:cs="Arial" w:eastAsia="Arial" w:hAnsi="Arial"/>
          <w:sz w:val="18"/>
          <w:szCs w:val="18"/>
          <w:i w:val="1"/>
          <w:iCs w:val="1"/>
          <w:color w:val="auto"/>
        </w:rPr>
        <w:t>Operating lease right-of-use assets</w:t>
      </w:r>
      <w:r>
        <w:rPr>
          <w:rFonts w:ascii="Arial" w:cs="Arial" w:eastAsia="Arial" w:hAnsi="Arial"/>
          <w:sz w:val="18"/>
          <w:szCs w:val="18"/>
          <w:color w:val="auto"/>
        </w:rPr>
        <w:t xml:space="preserve"> in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2020-04 — Reference Rate Reform (Topic 848)</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xml:space="preserve"> (“ASU 2020-04”), which provides optional expedients and exceptions for applying U.S. GAAP to contracts, hedging relationships, and other transactions affected by the discontinuation of the London Interbank Offered Rate (“LIBOR”) or by another reference rate expected to be discontinued. The amendments are effective for all entities as of March 12, 2020 and expire on December 31, 2022. The provisions of ASU 2020-04 did not have a material effect on our financial condition, results of operations, and cash flows as of August 31, 2020. We will continue to monitor any impacts of the standard and reference rate reform on our financial instruments.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 which simplifies the accounting for income taxes, eliminates certain exceptions within ASC 740, </w:t>
      </w:r>
      <w:r>
        <w:rPr>
          <w:rFonts w:ascii="Arial" w:cs="Arial" w:eastAsia="Arial" w:hAnsi="Arial"/>
          <w:sz w:val="18"/>
          <w:szCs w:val="18"/>
          <w:i w:val="1"/>
          <w:iCs w:val="1"/>
          <w:color w:val="auto"/>
        </w:rPr>
        <w:t>Income Taxes</w:t>
      </w:r>
      <w:r>
        <w:rPr>
          <w:rFonts w:ascii="Arial" w:cs="Arial" w:eastAsia="Arial" w:hAnsi="Arial"/>
          <w:sz w:val="18"/>
          <w:szCs w:val="18"/>
          <w:color w:val="auto"/>
        </w:rPr>
        <w:t>, and clarifies certain aspects of the current guidance to promote consistency among reporting entities. ASU 2019-12 is effective for fiscal years beginning after December 15, 2020. Most amendments within the standard are required to be applied on a prospective basis, while certain amendments must be applied on a retrospective or modified retrospective basis. We are currently evaluating the impacts of the provisions of ASU 2019-12 on our financial condition, results of operations, and cash flows.</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that is a Service Contract </w:t>
      </w:r>
      <w:r>
        <w:rPr>
          <w:rFonts w:ascii="Arial" w:cs="Arial" w:eastAsia="Arial" w:hAnsi="Arial"/>
          <w:sz w:val="18"/>
          <w:szCs w:val="18"/>
          <w:color w:val="auto"/>
        </w:rPr>
        <w:t>(“ASU 2018-15”), which will require customers to apply internal-use software guidance to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the implementation costs that are able to be capitalized. Capitalized implementation costs will be required to be amortized over the term of the arrangement, beginning when the cloud computing arrangement is ready for its intended use. ASU 2018-15 is effective for fiscal years (and interim reporting periods within those years) beginning after December 15, 2019. The standard allows changes to be applied either retrospectively or prospectively. We will adopt the standard as required in fiscal 2021. The provisions of ASU 2018-15 are not expected to have a material effect on our financial condition, results of operations, or cash flows.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(“ASU 2016-13”), which requires an entity to assess impairment of its financial instruments based on its estimate of</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losses. Since the issuance of ASU 2016-13, the FASB released several amendments to improve and clarify the implementation guidance. The provisions of ASU 2016 -13 and the related amendments are effective for fiscal years (and interim reporting periods within those years) beginning after December 15, 2019. Entities are required to apply these changes through a cumulative-effect adjustment to retained earnings as of the beginning of the first reporting period in which the guidance is effective.</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an implementation team tasked with reviewing our financial assets and determining the impact of the new standard to our financial statements. The team is also tasked with identifying appropriate changes to our business processes, systems, and controls to support recognition and disclosure under the new standard. The implementation team has completed its review of our current portfolio, which consists primarily of trade receivables, and has concluded that the application of the expected credit loss model will have an immaterial impact on our consolidated results of operations and financial position. Throughout the fiscal year, the implementation team reported its findings and progress of the project to management on a frequent basis and to the Audit Committee of the Board of Directors on a quarterly basis.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relates to acquisitions completed during fiscal 2020, 2019, and 2018.</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Luminaires Group</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17, 2019, using cash on hand and borrowings under available existing credit arrangements, we acquired all of the equity interests of The Luminaires Group (“TLG”), a leading provider of specification-grade luminaires for commercial, institutional, hospitality, and municipal markets, all of which complement our current and dynamic lighting portfolio. TLG’s indoor and outdoor lighting fixtures are marketed to architects, landscape architects, interior designers, and engineers through five niche lighting brands: A-light™, Cyclone™, Eureka</w:t>
      </w:r>
      <w:r>
        <w:rPr>
          <w:rFonts w:ascii="Arial" w:cs="Arial" w:eastAsia="Arial" w:hAnsi="Arial"/>
          <w:sz w:val="21"/>
          <w:szCs w:val="21"/>
          <w:color w:val="auto"/>
          <w:vertAlign w:val="superscript"/>
        </w:rPr>
        <w:t>®</w:t>
      </w:r>
      <w:r>
        <w:rPr>
          <w:rFonts w:ascii="Arial" w:cs="Arial" w:eastAsia="Arial" w:hAnsi="Arial"/>
          <w:sz w:val="18"/>
          <w:szCs w:val="18"/>
          <w:color w:val="auto"/>
        </w:rPr>
        <w:t>, Luminaire LED™, and Luminis</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LocusLabs, Inc.</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25, 2019, using cash on hand, we acquired all of the equity interests of LocusLabs, Inc (“LocusLabs”). The LocusLabs software platform supports navigation applications used on mobile devices, web browsers, and digital displays in airports, event centers, multi-floor office buildings, and campuses.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Fiscal 2020 Acquisitions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accounted for the acquisitions of TLG and LocusLabs (collectively, the "2020 Acquisitions") in accordance with ASC 805</w:t>
      </w:r>
      <w:r>
        <w:rPr>
          <w:rFonts w:ascii="Arial" w:cs="Arial" w:eastAsia="Arial" w:hAnsi="Arial"/>
          <w:sz w:val="18"/>
          <w:szCs w:val="18"/>
          <w:i w:val="1"/>
          <w:iCs w:val="1"/>
          <w:color w:val="auto"/>
        </w:rPr>
        <w:t>,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 xml:space="preserve">("ASC 805"). Acquired assets and liabilities were recoded at their estimated acquisition-date fair values, and acquisition-related costs were expensed as incurred. Preliminary amounts related to the acquisition accounting for the 2020 Acquisitions are reflected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as of August 31, 2020. The aggregate purchase price of these acquisitions reflects preliminary total goodwill and identified intangible assets of approximately $107.6 million and $180.6 million, respectively, as of August 31, 2020. Identified intangible assets consist of indefinite-lived marketing-related intangibles as well as definite-lived customer-based and technology-based assets, which have a preliminary weighted average useful life of approximately 16 years. Goodwill recognized from these acquisitions is comprised primarily of expected benefits related to complementing and expanding our solutions portfolio, including dynamic lighting and software, as well as the trained workforce acquired with these businesses and expected synergies from combining the operations the acquired businesses with our operations. Goodwill from these acquisitions totaling $77.7 million is expected to be tax deductible.</w:t>
      </w:r>
    </w:p>
    <w:p>
      <w:pPr>
        <w:spacing w:after="0" w:line="1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amounts are deemed to be provisional until disclosed otherwise, as we continue to gather information related to the identification of other acquired assets and liabilities. These amounts may change as we finalize the allocations. The operating results of the acquisitions have been included in our consolidated financial statements since the date of acquisition and are not material to our financial condition, results of operations, or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WhiteOptics, LLC</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20, 2019, using cash on hand, we acquired all of the equity interests of WhiteOptics, LLC (“WhiteOptics”). WhiteOptics manufactures advanced optical components used to reflect, diffuse, and control light for light emitting diode (“LED”) lighting used in commercial and institutional applications. The operating results of WhiteOptics have been included in our consolidated financial statements since the date of acquisition and are not material to our financial condition, results of operations, or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 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IOTA Engineering, LLC</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1, 2018, using cash on hand and borrowings available under existing credit arrangements, we acquired all of the equity interests of IOTA Engineering, LLC (“IOTA”). IOTA manufactures highly engineered emergency lighting products and power equipment for commercial and institutional applications both in the U.S. and international markets. The operating results of IOTA have been included in our consolidated financial statements since the date of acquisition and are not material to our financial condition, results of operations, or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Lucid Design Group, Inc.</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12, 2018, using cash on hand, we acquired all of the equity interests of Lucid Design Group, Inc (“Lucid”). Lucid provides a data and analytics platform to make data-driven decisions to improve building efficiency and drive energy conservation and savings. The operating results of Lucid have been included in our consolidated financial statements since the date of acquisition and are not material to our financial condition, results of operations, or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2019 and 2018 Acquisitions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August 31, 2020, we have finalized the acquisition accounting for IOTA, Lucid, and WhiteOptics in accordance with ASC 805. There were no material changes to our financial statements as a result of the finalization of the acquisition accounting.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establishes a three level hierarchy making a distinction between market participant 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use quoted market prices to determine the fair value of Level 1 assets and liabilities. No transfers between the levels of the fair value hierarchy occurred during the current fiscal period. In the event of a transfer in or out of a level within the fair value hierarchy, the transfers would be recognized on the date of occurrence.</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cash and cash equivalents (Level 1), which are required to be carried at fair value and measured on a recurring basis, were $560.7 million and $461.0 million as of August 31, 2020 and 2019, respectively.</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Disclosures of fair value information about financial instruments (whether or not recognized in the balance sheet), for which it is practicable to estimate that value, are required each reporting period in addition to any financial instruments carried at fair value on a recurring basis as prescribed by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and estimated fair values of certain financial instruments (Level 2) as of the dates presented were as follows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5"/>
          </w:tcPr>
          <w:p>
            <w:pPr>
              <w:ind w:left="300"/>
              <w:spacing w:after="0"/>
              <w:rPr>
                <w:sz w:val="20"/>
                <w:szCs w:val="20"/>
                <w:color w:val="auto"/>
              </w:rPr>
            </w:pPr>
            <w:r>
              <w:rPr>
                <w:rFonts w:ascii="Arial" w:cs="Arial" w:eastAsia="Arial" w:hAnsi="Arial"/>
                <w:sz w:val="16"/>
                <w:szCs w:val="16"/>
                <w:b w:val="1"/>
                <w:bCs w:val="1"/>
                <w:color w:val="auto"/>
              </w:rPr>
              <w:t>August 31, 2020</w:t>
            </w:r>
          </w:p>
        </w:tc>
        <w:tc>
          <w:tcPr>
            <w:tcW w:w="160" w:type="dxa"/>
            <w:vAlign w:val="bottom"/>
          </w:tcPr>
          <w:p>
            <w:pPr>
              <w:spacing w:after="0"/>
              <w:rPr>
                <w:sz w:val="19"/>
                <w:szCs w:val="19"/>
                <w:color w:val="auto"/>
              </w:rPr>
            </w:pPr>
          </w:p>
        </w:tc>
        <w:tc>
          <w:tcPr>
            <w:tcW w:w="198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August 31, 2019</w:t>
            </w:r>
          </w:p>
        </w:tc>
      </w:tr>
      <w:tr>
        <w:trPr>
          <w:trHeight w:val="198"/>
        </w:trPr>
        <w:tc>
          <w:tcPr>
            <w:tcW w:w="68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Carrying</w:t>
            </w: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Carrying</w:t>
            </w: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28"/>
        </w:trPr>
        <w:tc>
          <w:tcPr>
            <w:tcW w:w="6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19"/>
                <w:szCs w:val="19"/>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Fair Value</w:t>
            </w:r>
          </w:p>
        </w:tc>
      </w:tr>
      <w:tr>
        <w:trPr>
          <w:trHeight w:val="270"/>
        </w:trPr>
        <w:tc>
          <w:tcPr>
            <w:tcW w:w="68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r>
      <w:tr>
        <w:trPr>
          <w:trHeight w:val="260"/>
        </w:trPr>
        <w:tc>
          <w:tcPr>
            <w:tcW w:w="6860" w:type="dxa"/>
            <w:vAlign w:val="bottom"/>
          </w:tcPr>
          <w:p>
            <w:pPr>
              <w:ind w:left="40"/>
              <w:spacing w:after="0"/>
              <w:rPr>
                <w:sz w:val="20"/>
                <w:szCs w:val="20"/>
                <w:color w:val="auto"/>
              </w:rPr>
            </w:pPr>
            <w:r>
              <w:rPr>
                <w:rFonts w:ascii="Arial" w:cs="Arial" w:eastAsia="Arial" w:hAnsi="Arial"/>
                <w:sz w:val="16"/>
                <w:szCs w:val="16"/>
                <w:color w:val="auto"/>
              </w:rPr>
              <w:t>Investments in unconsolidated affiliates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0"/>
        </w:trPr>
        <w:tc>
          <w:tcPr>
            <w:tcW w:w="6860" w:type="dxa"/>
            <w:vAlign w:val="bottom"/>
          </w:tcPr>
          <w:p>
            <w:pPr>
              <w:ind w:left="40"/>
              <w:spacing w:after="0"/>
              <w:rPr>
                <w:sz w:val="20"/>
                <w:szCs w:val="20"/>
                <w:color w:val="auto"/>
              </w:rPr>
            </w:pPr>
            <w:r>
              <w:rPr>
                <w:rFonts w:ascii="Arial" w:cs="Arial" w:eastAsia="Arial" w:hAnsi="Arial"/>
                <w:sz w:val="16"/>
                <w:szCs w:val="16"/>
                <w:color w:val="auto"/>
              </w:rPr>
              <w:t>Senior unsecured public notes, net of unamortized discount and deferred costs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349.9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352.7</w:t>
            </w:r>
          </w:p>
        </w:tc>
      </w:tr>
      <w:tr>
        <w:trPr>
          <w:trHeight w:val="280"/>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under Term Loan Facility</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395.0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860" w:type="dxa"/>
            <w:vAlign w:val="bottom"/>
          </w:tcPr>
          <w:p>
            <w:pPr>
              <w:ind w:left="40"/>
              <w:spacing w:after="0"/>
              <w:rPr>
                <w:sz w:val="20"/>
                <w:szCs w:val="20"/>
                <w:color w:val="auto"/>
              </w:rPr>
            </w:pPr>
            <w:r>
              <w:rPr>
                <w:rFonts w:ascii="Arial" w:cs="Arial" w:eastAsia="Arial" w:hAnsi="Arial"/>
                <w:sz w:val="16"/>
                <w:szCs w:val="16"/>
                <w:color w:val="auto"/>
              </w:rPr>
              <w:t>Industrial revenue bond</w:t>
            </w:r>
          </w:p>
        </w:tc>
        <w:tc>
          <w:tcPr>
            <w:tcW w:w="16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280"/>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Bank loans</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bl>
    <w:p>
      <w:pPr>
        <w:spacing w:after="0" w:line="3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hold equity investments in two unconsolidated affiliates without readily determinable fair value. These strategic investments represent less than a 20% ownership interest in each of the privately-held affiliates, and we do not maintain power over or control of the entities. We have elected the practical expedient in ASC 321, </w:t>
      </w:r>
      <w:r>
        <w:rPr>
          <w:rFonts w:ascii="Arial" w:cs="Arial" w:eastAsia="Arial" w:hAnsi="Arial"/>
          <w:sz w:val="18"/>
          <w:szCs w:val="18"/>
          <w:i w:val="1"/>
          <w:iCs w:val="1"/>
          <w:color w:val="auto"/>
        </w:rPr>
        <w:t>Investments—Equity Securities</w:t>
      </w:r>
      <w:r>
        <w:rPr>
          <w:rFonts w:ascii="Arial" w:cs="Arial" w:eastAsia="Arial" w:hAnsi="Arial"/>
          <w:sz w:val="18"/>
          <w:szCs w:val="18"/>
          <w:color w:val="auto"/>
        </w:rPr>
        <w:t>, to measure these investments at cost less any impairment adjusted for observable price changes, if any. Based on these considerations, we estimate that the historical cost of the acquired shares represents the fair value of the investment as of August 31, 2020.</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Borrowings under our unsecured delayed draw term loan facility (the “Term Loan Facility”) and the industrial revenue bond (“IRB”) are carried at the outstanding balance as of the end of the reporting period. The borrowings under the Term Loan Facility and the IRB are variable-rate instruments that reset on a frequent short-term basis; therefore, we estimate that the face amounts of these instruments approximate their fair values as of August 31, 2020 based on instruments of similar terms and maturity (Level 2). The bank loans are carried at the outstanding balance as of the end of the reporting period. Fair value is estimated based on discounted future cash flows using rates currently available for debt of similar terms and maturity (Level 2). See </w:t>
      </w:r>
      <w:r>
        <w:rPr>
          <w:rFonts w:ascii="Arial" w:cs="Arial" w:eastAsia="Arial" w:hAnsi="Arial"/>
          <w:sz w:val="18"/>
          <w:szCs w:val="18"/>
          <w:i w:val="1"/>
          <w:iCs w:val="1"/>
          <w:color w:val="auto"/>
        </w:rPr>
        <w:t>Note 7 — Debt and Lines of Credit</w:t>
      </w:r>
      <w:r>
        <w:rPr>
          <w:rFonts w:ascii="Arial" w:cs="Arial" w:eastAsia="Arial" w:hAnsi="Arial"/>
          <w:sz w:val="18"/>
          <w:szCs w:val="18"/>
          <w:color w:val="auto"/>
        </w:rPr>
        <w:t xml:space="preserve"> for further details on our long-term borrowings.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lease property and equipment under operating lease arrangements, most of which relate to distribution centers and manufacturing facilities in the U.S., Mexico, and Canada. We include both the contractual term as well as any renewal option that we are reasonably certain to exercise in the determination of our lease terms. For leases with a term of greater than 12 months, we value lease liabilities and the related assets as the present value of the lease payments over the related term. We apply the short-term lease exception to leases with a term of 12 months or less and exclude such leases from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Payments related to these short-term leases are expensed on a straight-line basis over the lease term and reflected as a component of lease cost within our </w:t>
      </w:r>
      <w:r>
        <w:rPr>
          <w:rFonts w:ascii="Arial" w:cs="Arial" w:eastAsia="Arial" w:hAnsi="Arial"/>
          <w:sz w:val="18"/>
          <w:szCs w:val="18"/>
          <w:i w:val="1"/>
          <w:iCs w:val="1"/>
          <w:color w:val="auto"/>
        </w:rPr>
        <w:t>Consolidated Statements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 Lease payments generally consist of fixed amounts, and variable amounts based on a market rate or an index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material to our consolidated lease cost. We have elected to use the practical expedient present in ASC 842 to not separate lease and non-lease components for all significant underlying asset classes and instead account for them together as a single lease component in the measurement of our lease liabilities. Our leases do not contain significant terms and conditions for variable lease payments.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Generally, the rate implicit in our leases is not readily determinable. Therefore, we discount future lease payments using our estimated incremental borrowing rate at lease commencement. We determine this rate based on a credit-adjusted risk-free rate, which approximates a secured rate over the lease term. The weighted average discount rate for operating leases as of August 31, 2020 was 1.9%.</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future undiscounted payments due on our operating lease liabilities as well as a reconciliation of those payments to our operating lease liabilities recorded as of the date presented (in millions):</w:t>
      </w:r>
    </w:p>
    <w:p>
      <w:pPr>
        <w:sectPr>
          <w:pgSz w:w="11900" w:h="16838" w:orient="portrait"/>
          <w:cols w:equalWidth="0" w:num="1">
            <w:col w:w="11240"/>
          </w:cols>
          <w:pgMar w:left="320" w:top="140" w:right="339" w:bottom="1440" w:gutter="0" w:footer="0" w:header="0"/>
        </w:sect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2023</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2025</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undiscounted lease payments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Discount due to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Present value of lease liabilities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August 31, 2020</w:t>
            </w:r>
          </w:p>
        </w:tc>
      </w:tr>
      <w:tr>
        <w:trPr>
          <w:trHeight w:val="237"/>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18.5</w:t>
            </w:r>
          </w:p>
        </w:tc>
      </w:tr>
      <w:tr>
        <w:trPr>
          <w:trHeight w:val="270"/>
        </w:trPr>
        <w:tc>
          <w:tcPr>
            <w:tcW w:w="32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14.9</w:t>
            </w:r>
          </w:p>
        </w:tc>
      </w:tr>
      <w:tr>
        <w:trPr>
          <w:trHeight w:val="270"/>
        </w:trPr>
        <w:tc>
          <w:tcPr>
            <w:tcW w:w="32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12.3</w:t>
            </w:r>
          </w:p>
        </w:tc>
      </w:tr>
      <w:tr>
        <w:trPr>
          <w:trHeight w:val="270"/>
        </w:trPr>
        <w:tc>
          <w:tcPr>
            <w:tcW w:w="32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9.7</w:t>
            </w:r>
          </w:p>
        </w:tc>
      </w:tr>
      <w:tr>
        <w:trPr>
          <w:trHeight w:val="270"/>
        </w:trPr>
        <w:tc>
          <w:tcPr>
            <w:tcW w:w="32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9.0</w:t>
            </w:r>
          </w:p>
        </w:tc>
      </w:tr>
      <w:tr>
        <w:trPr>
          <w:trHeight w:val="283"/>
        </w:trPr>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w:t>
            </w:r>
          </w:p>
        </w:tc>
      </w:tr>
      <w:tr>
        <w:trPr>
          <w:trHeight w:val="237"/>
        </w:trPr>
        <w:tc>
          <w:tcPr>
            <w:tcW w:w="3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78.8</w:t>
            </w:r>
          </w:p>
        </w:tc>
      </w:tr>
      <w:tr>
        <w:trPr>
          <w:trHeight w:val="283"/>
        </w:trPr>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37"/>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74.0</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60" w:space="720"/>
            <w:col w:w="2260"/>
          </w:cols>
          <w:pgMar w:left="320" w:top="140" w:right="33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 for our operating leases was six years as of August 31, 2020.</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Lease cost is recorded within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or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based on the primary use of the related ROU asset. The components of total lease cost were as follows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presented (in millions):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8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Year Ended August 31, 2020</w:t>
            </w:r>
          </w:p>
        </w:tc>
      </w:tr>
      <w:tr>
        <w:trPr>
          <w:trHeight w:val="25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2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w:t>
            </w:r>
          </w:p>
        </w:tc>
      </w:tr>
      <w:tr>
        <w:trPr>
          <w:trHeight w:val="260"/>
        </w:trPr>
        <w:tc>
          <w:tcPr>
            <w:tcW w:w="842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200" w:type="dxa"/>
            <w:vAlign w:val="bottom"/>
          </w:tcPr>
          <w:p>
            <w:pPr>
              <w:spacing w:after="0"/>
              <w:rPr>
                <w:sz w:val="22"/>
                <w:szCs w:val="22"/>
                <w:color w:val="auto"/>
              </w:rPr>
            </w:pPr>
          </w:p>
        </w:tc>
        <w:tc>
          <w:tcPr>
            <w:tcW w:w="258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273"/>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lease cost</w:t>
            </w:r>
          </w:p>
        </w:tc>
        <w:tc>
          <w:tcPr>
            <w:tcW w:w="200" w:type="dxa"/>
            <w:vAlign w:val="bottom"/>
            <w:tcBorders>
              <w:bottom w:val="single" w:sz="8" w:color="auto"/>
            </w:tcBorders>
            <w:shd w:val="clear" w:color="auto" w:fill="CCEEFF"/>
          </w:tcPr>
          <w:p>
            <w:pPr>
              <w:spacing w:after="0"/>
              <w:rPr>
                <w:sz w:val="23"/>
                <w:szCs w:val="23"/>
                <w:color w:val="auto"/>
              </w:rPr>
            </w:pPr>
          </w:p>
        </w:tc>
        <w:tc>
          <w:tcPr>
            <w:tcW w:w="2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40"/>
        </w:trPr>
        <w:tc>
          <w:tcPr>
            <w:tcW w:w="8420" w:type="dxa"/>
            <w:vAlign w:val="bottom"/>
          </w:tcPr>
          <w:p>
            <w:pPr>
              <w:ind w:left="20"/>
              <w:spacing w:after="0"/>
              <w:rPr>
                <w:sz w:val="20"/>
                <w:szCs w:val="20"/>
                <w:color w:val="auto"/>
              </w:rPr>
            </w:pPr>
            <w:r>
              <w:rPr>
                <w:rFonts w:ascii="Arial" w:cs="Arial" w:eastAsia="Arial" w:hAnsi="Arial"/>
                <w:sz w:val="16"/>
                <w:szCs w:val="16"/>
                <w:color w:val="auto"/>
              </w:rPr>
              <w:t>Total lease cost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2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23.2</w:t>
            </w:r>
          </w:p>
        </w:tc>
      </w:tr>
      <w:tr>
        <w:trPr>
          <w:trHeight w:val="20"/>
        </w:trPr>
        <w:tc>
          <w:tcPr>
            <w:tcW w:w="8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Prior to the adoption of ASC 842, we recognized rent expense of $22.6 million and $22.3 million during the years ended August 31, 2019 and 2018, respectively.</w:t>
      </w:r>
    </w:p>
    <w:p>
      <w:pPr>
        <w:sectPr>
          <w:pgSz w:w="11900" w:h="16838" w:orient="portrait"/>
          <w:cols w:equalWidth="0" w:num="1">
            <w:col w:w="11240"/>
          </w:cols>
          <w:pgMar w:left="320" w:top="140" w:right="339" w:bottom="1440" w:gutter="0" w:footer="0" w:header="0"/>
          <w:type w:val="continuous"/>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240"/>
          </w:cols>
          <w:pgMar w:left="320" w:top="140"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Cash paid for operating lease liabilities during the year ended August 31, 2020 was $18.7 million. ROU assets obtained in exchange for lease liabilities, including those obtained from recent acquisitions, during the year ended August 31, 2020 were $27.2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material leases that have not yet commenced as of August 31, 2020 that create significant rights and obligations.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have subleased certain properties. Lease income from these subleases is recognized in the </w:t>
      </w:r>
      <w:r>
        <w:rPr>
          <w:rFonts w:ascii="Arial" w:cs="Arial" w:eastAsia="Arial" w:hAnsi="Arial"/>
          <w:sz w:val="18"/>
          <w:szCs w:val="18"/>
          <w:i w:val="1"/>
          <w:iCs w:val="1"/>
          <w:color w:val="auto"/>
        </w:rPr>
        <w:t>Consolidated Statements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w:t>
      </w:r>
      <w:r>
        <w:rPr>
          <w:rFonts w:ascii="Arial" w:cs="Arial" w:eastAsia="Arial" w:hAnsi="Arial"/>
          <w:sz w:val="18"/>
          <w:szCs w:val="18"/>
          <w:color w:val="auto"/>
        </w:rPr>
        <w:t>as it is earned and is not material to our consolidated results of operations. We do not have any other significant transactions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are the lessor.</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fiscal 2020, we committed to plans to vacate certain leased properties, which indicated that it was more likely than not that the fair value of the related ROU assets were below their carrying values. We assessed the recoverability of these assets using an undiscounted cash flow model and concluded that the carrying values of the assets were not fully recoverable. We recorded impairment charges of $7.4 million related to these assets using a discounted cash flow model to estimate their fair values. The recoverability and impairment tests required significant assumptions including estimated future cash flows, the identification of assets within each asset group, and the determination of appropriate discount rates.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 and Lines of Credit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debt is carried at the outstanding balance net of any related unamortized discounts and deferred costs and consisted of the following as of the dates presented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9"/>
                <w:szCs w:val="19"/>
                <w:color w:val="auto"/>
              </w:rPr>
            </w:pPr>
          </w:p>
        </w:tc>
      </w:tr>
      <w:tr>
        <w:trPr>
          <w:trHeight w:val="263"/>
        </w:trPr>
        <w:tc>
          <w:tcPr>
            <w:tcW w:w="8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256"/>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Senior unsecured public notes due December 2019, principal</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350.0</w:t>
            </w:r>
          </w:p>
        </w:tc>
      </w:tr>
      <w:tr>
        <w:trPr>
          <w:trHeight w:val="260"/>
        </w:trPr>
        <w:tc>
          <w:tcPr>
            <w:tcW w:w="8440" w:type="dxa"/>
            <w:vAlign w:val="bottom"/>
          </w:tcPr>
          <w:p>
            <w:pPr>
              <w:ind w:left="40"/>
              <w:spacing w:after="0"/>
              <w:rPr>
                <w:sz w:val="20"/>
                <w:szCs w:val="20"/>
                <w:color w:val="auto"/>
              </w:rPr>
            </w:pPr>
            <w:r>
              <w:rPr>
                <w:rFonts w:ascii="Arial" w:cs="Arial" w:eastAsia="Arial" w:hAnsi="Arial"/>
                <w:sz w:val="16"/>
                <w:szCs w:val="16"/>
                <w:color w:val="auto"/>
              </w:rPr>
              <w:t>Senior unsecured public notes due December 2019, unamortized discount and deferred costs</w:t>
            </w:r>
          </w:p>
        </w:tc>
        <w:tc>
          <w:tcPr>
            <w:tcW w:w="3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80"/>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under Term Loan Facility</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395.0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440" w:type="dxa"/>
            <w:vAlign w:val="bottom"/>
          </w:tcPr>
          <w:p>
            <w:pPr>
              <w:ind w:left="40"/>
              <w:spacing w:after="0"/>
              <w:rPr>
                <w:sz w:val="20"/>
                <w:szCs w:val="20"/>
                <w:color w:val="auto"/>
              </w:rPr>
            </w:pPr>
            <w:r>
              <w:rPr>
                <w:rFonts w:ascii="Arial" w:cs="Arial" w:eastAsia="Arial" w:hAnsi="Arial"/>
                <w:sz w:val="16"/>
                <w:szCs w:val="16"/>
                <w:color w:val="auto"/>
              </w:rPr>
              <w:t>Industrial revenue bond due June 2021</w:t>
            </w: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273"/>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Bank loans</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40"/>
        </w:trPr>
        <w:tc>
          <w:tcPr>
            <w:tcW w:w="8440" w:type="dxa"/>
            <w:vAlign w:val="bottom"/>
          </w:tcPr>
          <w:p>
            <w:pPr>
              <w:ind w:left="40"/>
              <w:spacing w:after="0"/>
              <w:rPr>
                <w:sz w:val="20"/>
                <w:szCs w:val="20"/>
                <w:color w:val="auto"/>
              </w:rPr>
            </w:pPr>
            <w:r>
              <w:rPr>
                <w:rFonts w:ascii="Arial" w:cs="Arial" w:eastAsia="Arial" w:hAnsi="Arial"/>
                <w:sz w:val="16"/>
                <w:szCs w:val="16"/>
                <w:color w:val="auto"/>
              </w:rPr>
              <w:t>Total debt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401.1</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356.6</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Future principal payments of long-term debt are $24.3 million, $20.2 million, $355.3 million, $0.3 million, $0.3 million, and $0.7 million in fiscal 2021, 2022, 2023, 2024, 2025, and after 2025,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On June 29, 2018, we entered into a credit agreement (“Credit Agreement”) with a syndicate of banks that provides us with a $400.0 million five-year unsecured revolving credit facility (“Revolving Credit Facility”) and a $400.0 million Term Loan Facility. We had no borrowings outstanding under the Revolving Credit Facility as of August 31, 2020 or 2019. We had $395.0 million in borrowings outstanding under the Term Loan Facility as of August 31, 2020 and no borrowings outstanding under the Term Loan Facility as of August 31, 2019. Based on the repayment schedule, $375.0 million of the borrowings under the Term Loan Facility are reflected within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Balance Sheets </w:t>
      </w:r>
      <w:r>
        <w:rPr>
          <w:rFonts w:ascii="Arial" w:cs="Arial" w:eastAsia="Arial" w:hAnsi="Arial"/>
          <w:sz w:val="18"/>
          <w:szCs w:val="18"/>
          <w:color w:val="auto"/>
        </w:rPr>
        <w:t>as of August 31, 2020.</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Generally, amounts outstanding under the Revolving Credit Facility allow for borrowings to bear interest at either the Eurocurrency Rate or the base rate at our option, plus an applicable margin. Eurocurrency Rate advances can be denominated in a variety of currencies, including U.S. Dollars, and amounts outstanding bear interest at a periodic fixed rate equal to the LIBOR for the applicable currency plus an applicable margin. The Eurocurrency applicable margin is based on our leverage ratio, as defined in the Credit Agreement, with such margin ranging from 1.000% to 1.375% Base rate advances bear interest at an alternate base rate plus an applicable margin. The base rate applicable margin is based on our leverage ratio, as defined in the Credit Agreement, with such margin ranging from 0.000% to 0.375%. The Term Loan Facility allowed for borrowings to be drawn over a one-year period ending December 31, 2019, utilizing up to four separate installments, which are U.S. dollar denominated. Borrowings under the Term Loan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0"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Facility amortize in equal quarterly installments of 2.5% per year in year one, 2.5% per year in year two, 5.0% per year in year three, 5.0% per year in year four, and 7.5% per year in year five. Any remaining borrowings under the Term Loan Facility are due and payable in full on June 29, 2023. The Term Loan Facility allows for borrowings to bear interest at either a Eurocurrency Rate or the base rate, at our option, in each case plus an applicable margin. Eurocurrency Rate advances can be denominated in a variety of currencies, including U.S. Dollars, and amounts outstanding bear interest at a periodic fixed rate equal to the LIBOR for the applicable currency plus an applicable margin. The Eurocurrency applicable margin is based on our leverage ratio, as defined in the Credit Agreement, with such margin ranging from 0.875% to 1.250%. Base Rate advances bear interest at an alternate base rate plus an applicable margin. The base rate applicable margin is based on our leverage ratio, as defined in the Credit Agreement, with such margin ranging from 0.0% to 0.25%.</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required to pay certain fees in connection with the Credit Agreement, including administrative service fees and annual facility fees. The annual facility fee is payable quarterly, in arrears, and is determined by our leverage ratio as defined in the Credit Agreement. The facility fee ranges from 0.125% to 0.250% of the aggregate $800.0 million commitment of the lenders under the Credit Agreement. The Credit Agreement contains financial covenants, including a minimum interest expense coverage ratio (“Minimum Interest Expense Coverage Ratio”) and a leverage ratio (“Maximum Leverage Ratio”) of total indebtedness to earnings before interest, tax, depreciation, and amortization (“EBITDA”), as such terms are defined in the Credit Agreement. These ratios are computed at the end of each fiscal quarter for the most recent 12-month period. The Credit Agreement generally allows for a Minimum Interest Expense Coverage Ratio of 2.50 and a Maximum Leverage Ratio of 3.50, subject to certain conditions, as such terms are defined in the Credit Agreement.</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were in compliance with all financial covenants under the Credit Agreement as of August 31, 2020. At August 31, 2020, we had additional borrowing capacity under the Credit Agreement of $396.2 million under the most restrictive covenant in effect at the time, which represents the full amount of the Revolving Credit Facility less the outstanding letters of credit of $3.8 million issued under the Revolving Credit Facility. As of August 31, 2020, we had outstanding letters of credit totaling $8.1 million, primarily for securing collateral requirements under our casualty insurance programs and for providing credit support for our industrial revenue bond, which includes $3.8 million we issued under the Revolving Credit Facility.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December 16, 2019, we repaid $350 million of senior unsecured notes in full plus accrued interest in full with borrowings under our Term Loan Facility.</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also had $4.0 million of tax-exempt industrial revenue bonds that are scheduled to mature in June 2021 outstanding at August 31, 2020. The carrying value of these bonds is reflected within </w:t>
      </w:r>
      <w:r>
        <w:rPr>
          <w:rFonts w:ascii="Arial" w:cs="Arial" w:eastAsia="Arial" w:hAnsi="Arial"/>
          <w:sz w:val="18"/>
          <w:szCs w:val="18"/>
          <w:i w:val="1"/>
          <w:iCs w:val="1"/>
          <w:color w:val="auto"/>
        </w:rPr>
        <w:t>Current maturities of debt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as of August 31, 2020. The interest rate on the $4.0 million bonds was approximately 1.0% at August 31, 2020 and 2019. Additionally, we had $2.1 million outstanding under fixed-rate bank loans. These loans have interest rates between 0.8% and 2.0% and mature between December 2022 and February 2028, subject to monthly or quarterly repayment schedules.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None of our existing debt instruments include provisions that would require an acceleration of repayments based solely on changes in our credit ratings.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policy is to self-insure up to certain limits traditional risks, including workers’ compensation, comprehensive general liability, and auto liability. Our self-insured retention for each claim involving workers’ compensation, comprehensive general liability (including product liability claims), and auto liability is limited per occurrence of such claims. A provision for claims under this self-insured program, based on our estimate of the aggregate liability for claims incurred, is revised and recorded annually. The estimate is derived from both internal and external sources including, but not limited to, our independent actuary. We are also self-insured up to certain limits for certain other insurable risks, primarily physical loss to property and business interruptions resulting from such loss lasting two days or more in duration. Insurance coverage is maintained for catastrophic property and casualty exposures, as well as those risks required to be insured by law or contract. We are fully self-insured for certain other types of liabilities, including environmental, product recall, warranty, and patent infringement. The actuarial estimates are subject to uncertainty from various sources including,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0"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among others, changes in claim reporting patterns, claim settlement patterns, actual claims, judicial decisions, legislation, and economic conditions. Although we believe that the actuarial estimates are reasonable, significant differences related to the items noted above could materially affect our self-insurance obligations, future expense, and cash flow.</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also self-insured for the majority of our medical benefit plans up to certain limits. We estimate our aggregate liability for claims incurred by applying a lag factor to our historical claims and administrative cost experience. The appropriateness of our lag factor is evaluated annually and revised as necessary.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We lease certain of our buildings and equipment under noncancelable lease agreements. Please refer to the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incur purchase obligations in the ordinary course of business that are enforceable and legally binding. Obligations for years subsequent to August 31, 2020 include $301.5 million and $5.1 million in fiscal 2021, and 2022, respectively. As of August 31, 2020, we had no purchase obligations extending beyond August 31,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Collective Bargaining Agreements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Approximately 67% of our total work force is covered by collective bargaining agreements. Collective bargaining agreements representing approximately 59% of our work force will expire within one year, primarily due to annual negotiations of union contracts in Mexico.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Lighting Science Group Patent Litigation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April 30, 2019 and May 1, 2019, Lighting Science Group Corp. (“LSG”) filed complaints with the International Trade Commission and United States District Court for the District of Delaware, respectively, alleging infringement of eight patents by the Company and others. On May 17, 2019, LSG amended both of its complaints and dropped its claims regarding one of the patents. On October 9, 2019 and November 6, 2019, LSG dropped from the International Trade Commission action its claims regarding four additional patents. For the remaining three patents, LSG’s infringement allegations relate to certain of our LED luminaires. On April 7, 2020 and October 1, 2020, the International Trade Commission made final determinations that LSG was not entitled to any relief, and LSG is appealing certain of those determinations. In the District of Delaware action, LSG separately seeks unspecified monetary damages, costs, and attorneys’ fees. The District of Delaware action is stayed. We dispute and have numerous defenses to the allegations, and we intend to vigorously defend against LSG’s claims. Estimating an amount or range of possible losses resulting from litigation proceedings is inherently difficult, particularly where the matters involve indeterminate claims for monetary damages and a request for an exclusion order and are in the stages of the proceedings where key factual and legal issues have not been resolved. For these reasons, we currently are unable to predict the ultimate timing or outcome of or reasonably estimate the possible losses or a range of possible losses resulting from these matters.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us and certain of our officers on behalf of all persons who purchased or otherwise acquired our stock between June 29, 2016 and April 3, 2017. On February 20, 2018, a different shareholder filed a second class action complaint in the same venue against the same parties on behalf of all persons who purchased or otherwise acquired our stock between October 15, 2015 and April 3, 2017. The cases were transferred on April 30, 2018, to the United States District Court for the Northern District of Georgia and subsequently were consolidated as In re Acuity Brands, Inc. Securities Litigation, Civil Action No. 1:18-cv-02140-MHC (N.D. Ga.). On October 5, 2018, the court-appointed lead plaintiff filed a consolidated amended class action complaint (the “Consolidated Complaint”), which supersedes the initial complaints. The Consolidated Complaint is brought on behalf of all persons who purchased our common stock between October 7, 2015 and April 3, 2017 and alleges that we and certain of our current officers and one former executive violated the federal securities laws by making false or misleading statements and/or omitting to disclose material adverse facts that (i) concealed known trends negatively impacting sales of our products and (ii) overstated our ability to achieve profitable sales growth. The plaintiffs seek class certification, unspecified monetary damages, costs, and attorneys’ fees. We dispute the allegations in the complaints and intend to vigorously defend against the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0"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claims. We filed a motion to dismiss the Consolidated Complaint. On August 12, 2019, the court entered an order granting our motion to dismiss in part and dismissing all claims based on 42 of the 47 statements challenged in the Consolidated Complaint but also denying the motion in part and allowing claims based on five challenged statements to proceed to discovery. 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 We are insured, in excess of a self-retention, for Directors and Officers liability.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operations are subject to numerous comprehensive laws and regulations relating to the generation, storage, handling, transportation, and disposal of hazardous substances, as well as solid and hazardous wastes, and to the remediation of contaminated sites. In addition, permits and environmental controls are required for certain operations to limit air and water pollution, and these permits are subject to modification, renewal, and revocation by issuing authorities. On an ongoing basis, we invest capital and incur operating costs relating to environmental compliance. Environmental laws and regulations have generally become stricter in recent years. We are not aware of any pending legislation or proposed regulation related to environmental issues that would have a material adverse effect. The cost of responding to future changes may be substantial. We establish accruals for known environmental claims when the associated costs become probable and can be reasonably estimated. The actual cost of environmental issues may be substantially higher than that accrued due to difficulty in estimating such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Indemnities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party to contracts entered into in the normal course of business in which it is common for us to agree to indemnify third parties for certain liabilities that may arise out of or relate to the subject matter of the contract. In most cases, we cannot estimate the potential amount of future payments under these indemnities until events arise that would result in a liability under the indemnities.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products generally have a standard warranty term of five years that assure our products comply with agreed upon specifications. We record an accrual for the estimated amount of future warranty costs when the related revenue is recognized. Estimated costs related to product recalls based on a formal campaign soliciting repair or return of that product are accrued when they are deemed to be probable and can be reasonably estimated. Estimated future warranty and recall costs are primarily based on historical experience of identified warranty and recall claims. However, there can be no assurance that future warranty or recall costs will not exceed historical amounts or that new technology products may not generate unexpected costs. If actual future warranty or recall costs exceed historical amounts, additional increases in the accrual may be required, which could have a material adverse impact on our results of operations and cash flows.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Estimated liabilities for product warranty and recall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 xml:space="preserve">Consolidated Balance Sheets </w:t>
      </w:r>
      <w:r>
        <w:rPr>
          <w:rFonts w:ascii="Arial" w:cs="Arial" w:eastAsia="Arial" w:hAnsi="Arial"/>
          <w:sz w:val="18"/>
          <w:szCs w:val="18"/>
          <w:color w:val="auto"/>
        </w:rPr>
        <w:t>based upon when we expect to settle the incurred warranty. The following table summarizes changes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liabilities for product warranty and recall costs during the periods presented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August 31,</w:t>
            </w:r>
          </w:p>
        </w:tc>
        <w:tc>
          <w:tcPr>
            <w:tcW w:w="820" w:type="dxa"/>
            <w:vAlign w:val="bottom"/>
            <w:tcBorders>
              <w:bottom w:val="single" w:sz="8" w:color="auto"/>
            </w:tcBorders>
          </w:tcPr>
          <w:p>
            <w:pPr>
              <w:spacing w:after="0"/>
              <w:rPr>
                <w:sz w:val="19"/>
                <w:szCs w:val="19"/>
                <w:color w:val="auto"/>
              </w:rPr>
            </w:pPr>
          </w:p>
        </w:tc>
      </w:tr>
      <w:tr>
        <w:trPr>
          <w:trHeight w:val="264"/>
        </w:trPr>
        <w:tc>
          <w:tcPr>
            <w:tcW w:w="76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r>
      <w:tr>
        <w:trPr>
          <w:trHeight w:val="256"/>
        </w:trPr>
        <w:tc>
          <w:tcPr>
            <w:tcW w:w="7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r>
      <w:tr>
        <w:trPr>
          <w:trHeight w:val="260"/>
        </w:trPr>
        <w:tc>
          <w:tcPr>
            <w:tcW w:w="7640" w:type="dxa"/>
            <w:vAlign w:val="bottom"/>
          </w:tcPr>
          <w:p>
            <w:pPr>
              <w:ind w:left="40"/>
              <w:spacing w:after="0"/>
              <w:rPr>
                <w:sz w:val="20"/>
                <w:szCs w:val="20"/>
                <w:color w:val="auto"/>
              </w:rPr>
            </w:pPr>
            <w:r>
              <w:rPr>
                <w:rFonts w:ascii="Arial" w:cs="Arial" w:eastAsia="Arial" w:hAnsi="Arial"/>
                <w:sz w:val="16"/>
                <w:szCs w:val="16"/>
                <w:color w:val="auto"/>
              </w:rPr>
              <w:t>Warranty and recall costs</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32.4</w:t>
            </w:r>
          </w:p>
        </w:tc>
      </w:tr>
      <w:tr>
        <w:trPr>
          <w:trHeight w:val="280"/>
        </w:trPr>
        <w:tc>
          <w:tcPr>
            <w:tcW w:w="7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and other deductions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r>
      <w:tr>
        <w:trPr>
          <w:trHeight w:val="260"/>
        </w:trPr>
        <w:tc>
          <w:tcPr>
            <w:tcW w:w="7640" w:type="dxa"/>
            <w:vAlign w:val="bottom"/>
          </w:tcPr>
          <w:p>
            <w:pPr>
              <w:ind w:left="40"/>
              <w:spacing w:after="0"/>
              <w:rPr>
                <w:sz w:val="20"/>
                <w:szCs w:val="20"/>
                <w:color w:val="auto"/>
              </w:rPr>
            </w:pPr>
            <w:r>
              <w:rPr>
                <w:rFonts w:ascii="Arial" w:cs="Arial" w:eastAsia="Arial" w:hAnsi="Arial"/>
                <w:sz w:val="16"/>
                <w:szCs w:val="16"/>
                <w:color w:val="auto"/>
              </w:rPr>
              <w:t>Acquired warranty and recall liabilities</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0.6</w:t>
            </w:r>
          </w:p>
        </w:tc>
      </w:tr>
      <w:tr>
        <w:trPr>
          <w:trHeight w:val="280"/>
        </w:trPr>
        <w:tc>
          <w:tcPr>
            <w:tcW w:w="7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ASC 606 adjustments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764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27.3</w:t>
            </w: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86"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Certain service-type warranties accounted for as contingent liabilities prior to the adoption of ASC 606 are now reflected as contract liabilities effective September 1, 2018.</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Revenue Recognition</w:t>
      </w:r>
    </w:p>
    <w:p>
      <w:pPr>
        <w:spacing w:after="0" w:line="26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recognize revenue when we transfer control of goods and services to our customers. Revenue is measured as the amount of consideration we expect to receive in exchange for goods and services and is recognized net of allowances for rebates, sales incentives, product returns, and discounts to customers. Sales and use taxes collected on behalf of governmental authorities are excluded from revenues. Payment is generally due and received within 60 days from the point of sale or prior to the transfer of control of certain goods and services. No payment terms extend beyond one year, and we apply the practical expedient within ASC 606 to conclude that no significant financing terms exist within our contracts with customers. Allowances for cash discounts to customers are estimated using the expected value method based on historical experience and are recorded as a reduction to sales. Our standard terms and conditions of sale allow for the return of certain products within four months of the date of shipment. We also provide for limited product return rights to certain distributors and other customers, primarily for slow moving or damaged items subject to certain defined criteria. The limited product return rights generally allow customers to return resalable products purchased within a specified time period and subject to certain limitations, including, at times, when accompanied by a replacement order of equal or greater value. At the time revenue is recognized, we record a refund liability for the expected value of future returns primarily based on historical experience, specific notification of pending returns, or contractual terms with the respective customers. Although historical product returns generally have been within expectations, there can be no assurance that future product returns will not exceed historical amounts. A significant increase in product returns could have a material adverse impact on our operating results in future periods.</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Refund liabilities recorded under ASC 606 related to rights of return, cash discounts, and other miscellaneous credits to customers were $31.0 million and $37.3 million as of August 31, 2020 and August 31, 2019, respectively, and are reflected within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Additionally, we record right of return assets for products expected to be returned to our distribution centers, which are included within </w:t>
      </w:r>
      <w:r>
        <w:rPr>
          <w:rFonts w:ascii="Arial" w:cs="Arial" w:eastAsia="Arial" w:hAnsi="Arial"/>
          <w:sz w:val="18"/>
          <w:szCs w:val="18"/>
          <w:i w:val="1"/>
          <w:iCs w:val="1"/>
          <w:color w:val="auto"/>
        </w:rPr>
        <w:t>Prepayments and other current assets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Such assets totaled $10.3 million and $13.9 million as of August 31, 2020 and August 31, 2019, respectively.</w:t>
      </w:r>
    </w:p>
    <w:p>
      <w:pPr>
        <w:spacing w:after="0" w:line="1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We also maintain one-time or ongoing promotions with our customers, which may include rebate, sales incentive, marketing, and trade-promotion programs with certain customers that require us to estimate and accrue the expected costs of such programs. These arrangements may include volume rebate incentives, cooperative marketing programs, merchandising of our products, introductory marketing funds for new products, and other trade-promotion activities conducted by the customer. Costs associated with these programs are generally estimated based on the most likely amount expected to be settled based on the context of the individual contract and are reflected within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in accordance with ASC 606, which in most instances requires such costs to be recorded as reductions of revenue. Amounts due to our customers associated with these programs totaled $27.7 million and $34.5 million as of August 31, 2020 and August 31, 2019, respectively, and are reflected within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Balance Sheets</w:t>
      </w: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0"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Costs to obtain and fulfill contracts, such as sales commissions and shipping and handling activities, are generally short-term in nature and are expensed as incurred.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Goods and Services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Approximately 95% of revenues for the periods presented were generated from short-term contracts with our customers to deliver only tangible goods such as luminaires, lighting controls, controls for various building systems, power supplies, prismatic skylights, and drivers. We record revenue from these contracts when the customer obtains control of those goods. For sales designated free on board shipping point, control is transferred and revenue is recognized at the time of shipment. For sales designated free on board destination, customers take control and revenue is recognized when a product is delivered to the customer’s delivery site.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collect fees associated with training, installation, and technical support services, primarily related to the set up of our lighting and building technology solutions. We recognize revenue for these one-time services at the time the service is performed. We also sell certain service-type warranties that extend coverages for products beyond their base warranties. We account for service-type warranties as distinct performance obligations and recognize revenue for these contracts ratably over the life of the additional warranty period. Claims related to service-type warranties are expensed as incurred.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Software sales include licenses for software, data usage fees, and software as a service arrangements, which generally extend for one year or less. We recognize revenue for software based on the contractual rights provided to a customer, which typically results in the recognition of revenue ratably over the contractual service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Activities</w:t>
      </w:r>
    </w:p>
    <w:p>
      <w:pPr>
        <w:spacing w:after="0" w:line="15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account for all shipping and handling activities as activities to fulfill the promise to transfer products to our customers. As such, we do not consider shipping and handling activities to be separate performance obligations, and we expense these costs as incurred.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 with Multiple Performance Obligations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small portion (approximately 5% for the periods presented) of our revenue was derived from the combination of any or all of our products, professional services, and software licenses. Significant judgment may be required to determine which performance obligations are distinct and should be accounted for separately. We allocate the expected consideration to be collected to each distinct performance obligation based on its standalone selling price. Standalone selling price is generally determined using a cost plus margin valuation when no observable input is available. The amount of consideration allocated to each performance obligation is recognized as revenue in accordance with the timing for products, professional services, and software as described above.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We do not have any other significant contract assets. Contract liabilities arise when we receive cash or an unconditional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collect cash prior to the transfer of control of goods or services.</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consisted of the following as of the dates presented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1000" w:type="dxa"/>
            <w:vAlign w:val="bottom"/>
            <w:tcBorders>
              <w:bottom w:val="single" w:sz="8" w:color="auto"/>
            </w:tcBorders>
          </w:tcPr>
          <w:p>
            <w:pPr>
              <w:spacing w:after="0"/>
              <w:rPr>
                <w:sz w:val="19"/>
                <w:szCs w:val="19"/>
                <w:color w:val="auto"/>
              </w:rPr>
            </w:pPr>
          </w:p>
        </w:tc>
      </w:tr>
      <w:tr>
        <w:trPr>
          <w:trHeight w:val="263"/>
        </w:trPr>
        <w:tc>
          <w:tcPr>
            <w:tcW w:w="82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257"/>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deferred revenues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50"/>
        </w:trPr>
        <w:tc>
          <w:tcPr>
            <w:tcW w:w="8220" w:type="dxa"/>
            <w:vAlign w:val="bottom"/>
          </w:tcPr>
          <w:p>
            <w:pPr>
              <w:ind w:left="40"/>
              <w:spacing w:after="0"/>
              <w:rPr>
                <w:sz w:val="20"/>
                <w:szCs w:val="20"/>
                <w:color w:val="auto"/>
              </w:rPr>
            </w:pPr>
            <w:r>
              <w:rPr>
                <w:rFonts w:ascii="Arial" w:cs="Arial" w:eastAsia="Arial" w:hAnsi="Arial"/>
                <w:sz w:val="16"/>
                <w:szCs w:val="16"/>
                <w:color w:val="auto"/>
              </w:rPr>
              <w:t>Non-current deferred revenues</w:t>
            </w:r>
          </w:p>
        </w:tc>
        <w:tc>
          <w:tcPr>
            <w:tcW w:w="960" w:type="dxa"/>
            <w:vAlign w:val="bottom"/>
          </w:tcPr>
          <w:p>
            <w:pPr>
              <w:spacing w:after="0"/>
              <w:rPr>
                <w:sz w:val="21"/>
                <w:szCs w:val="21"/>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46.4</w:t>
            </w: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240"/>
          </w:cols>
          <w:pgMar w:left="320" w:top="140" w:right="3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Current deferred revenues primarily consist of software licenses as well as professional service and service-type warranty fees collected prior to performing the related service. Current deferred revenues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These services are expected to be performed within one year. Non-current deferred revenues primarily consist of long-term service-type warranties, which are typically recognized ratably as revenue between five and ten years from the date of sale, and are included within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long-term liabilities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Balance Sheets. </w:t>
      </w:r>
      <w:r>
        <w:rPr>
          <w:rFonts w:ascii="Arial" w:cs="Arial" w:eastAsia="Arial" w:hAnsi="Arial"/>
          <w:sz w:val="18"/>
          <w:szCs w:val="18"/>
          <w:color w:val="auto"/>
        </w:rPr>
        <w:t>Revenue recognized from beginning balances of contract liabilities during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August 31, 2020 totaled $4.7 million.</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Unsatisfied performance obligations as of August 31, 2020 that do not represent contract liabilities consist primarily of orders for physical goods that have not yet been shipped, which are typically shipped within a few weeks of order receipt.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lighting and building technology solutions are sold primarily through independent sales agents who cover specific geographic areas and market channels, by internal sales representatives, through consumer retail channels, and directly to large corporate accounts. The following table shows revenue from contracts with customers by sales channel during the periods presented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60" w:type="dxa"/>
            <w:vAlign w:val="bottom"/>
          </w:tcPr>
          <w:p>
            <w:pPr>
              <w:spacing w:after="0"/>
              <w:rPr>
                <w:sz w:val="19"/>
                <w:szCs w:val="19"/>
                <w:color w:val="auto"/>
              </w:rPr>
            </w:pPr>
          </w:p>
        </w:tc>
        <w:tc>
          <w:tcPr>
            <w:tcW w:w="282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Year Ended August 31,</w:t>
            </w:r>
          </w:p>
        </w:tc>
        <w:tc>
          <w:tcPr>
            <w:tcW w:w="660" w:type="dxa"/>
            <w:vAlign w:val="bottom"/>
            <w:tcBorders>
              <w:bottom w:val="single" w:sz="8" w:color="auto"/>
            </w:tcBorders>
          </w:tcPr>
          <w:p>
            <w:pPr>
              <w:spacing w:after="0"/>
              <w:rPr>
                <w:sz w:val="19"/>
                <w:szCs w:val="19"/>
                <w:color w:val="auto"/>
              </w:rPr>
            </w:pPr>
          </w:p>
        </w:tc>
      </w:tr>
      <w:tr>
        <w:trPr>
          <w:trHeight w:val="263"/>
        </w:trPr>
        <w:tc>
          <w:tcPr>
            <w:tcW w:w="77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60" w:type="dxa"/>
            <w:vAlign w:val="bottom"/>
            <w:tcBorders>
              <w:bottom w:val="single" w:sz="8" w:color="auto"/>
            </w:tcBorders>
          </w:tcPr>
          <w:p>
            <w:pPr>
              <w:spacing w:after="0"/>
              <w:rPr>
                <w:sz w:val="22"/>
                <w:szCs w:val="22"/>
                <w:color w:val="auto"/>
              </w:rPr>
            </w:pPr>
          </w:p>
        </w:tc>
      </w:tr>
      <w:tr>
        <w:trPr>
          <w:trHeight w:val="257"/>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Independent sales network</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2,442.9</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2,519.2</w:t>
            </w:r>
          </w:p>
        </w:tc>
      </w:tr>
      <w:tr>
        <w:trPr>
          <w:trHeight w:val="260"/>
        </w:trPr>
        <w:tc>
          <w:tcPr>
            <w:tcW w:w="7760" w:type="dxa"/>
            <w:vAlign w:val="bottom"/>
          </w:tcPr>
          <w:p>
            <w:pPr>
              <w:ind w:left="40"/>
              <w:spacing w:after="0"/>
              <w:rPr>
                <w:sz w:val="20"/>
                <w:szCs w:val="20"/>
                <w:color w:val="auto"/>
              </w:rPr>
            </w:pPr>
            <w:r>
              <w:rPr>
                <w:rFonts w:ascii="Arial" w:cs="Arial" w:eastAsia="Arial" w:hAnsi="Arial"/>
                <w:sz w:val="16"/>
                <w:szCs w:val="16"/>
                <w:color w:val="auto"/>
              </w:rPr>
              <w:t>Direct sales network</w:t>
            </w:r>
          </w:p>
        </w:tc>
        <w:tc>
          <w:tcPr>
            <w:tcW w:w="102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311.0</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381.0</w:t>
            </w:r>
          </w:p>
        </w:tc>
      </w:tr>
      <w:tr>
        <w:trPr>
          <w:trHeight w:val="28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Retail sales</w:t>
            </w: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214.9</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270.3</w:t>
            </w:r>
          </w:p>
        </w:tc>
      </w:tr>
      <w:tr>
        <w:trPr>
          <w:trHeight w:val="260"/>
        </w:trPr>
        <w:tc>
          <w:tcPr>
            <w:tcW w:w="7760" w:type="dxa"/>
            <w:vAlign w:val="bottom"/>
          </w:tcPr>
          <w:p>
            <w:pPr>
              <w:ind w:left="40"/>
              <w:spacing w:after="0"/>
              <w:rPr>
                <w:sz w:val="20"/>
                <w:szCs w:val="20"/>
                <w:color w:val="auto"/>
              </w:rPr>
            </w:pPr>
            <w:r>
              <w:rPr>
                <w:rFonts w:ascii="Arial" w:cs="Arial" w:eastAsia="Arial" w:hAnsi="Arial"/>
                <w:sz w:val="16"/>
                <w:szCs w:val="16"/>
                <w:color w:val="auto"/>
              </w:rPr>
              <w:t>Corporate accounts</w:t>
            </w:r>
          </w:p>
        </w:tc>
        <w:tc>
          <w:tcPr>
            <w:tcW w:w="102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193.6</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314.2</w:t>
            </w:r>
          </w:p>
        </w:tc>
      </w:tr>
      <w:tr>
        <w:trPr>
          <w:trHeight w:val="273"/>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163.9</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188.0</w:t>
            </w:r>
          </w:p>
        </w:tc>
      </w:tr>
      <w:tr>
        <w:trPr>
          <w:trHeight w:val="240"/>
        </w:trPr>
        <w:tc>
          <w:tcPr>
            <w:tcW w:w="7760" w:type="dxa"/>
            <w:vAlign w:val="bottom"/>
          </w:tcPr>
          <w:p>
            <w:pPr>
              <w:ind w:left="4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3,326.3</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3,672.7</w:t>
            </w:r>
          </w:p>
        </w:tc>
      </w:tr>
      <w:tr>
        <w:trPr>
          <w:trHeight w:val="20"/>
        </w:trPr>
        <w:tc>
          <w:tcPr>
            <w:tcW w:w="7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Payments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Stock Compensation Incentive and Directors’ Equity Plans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January 2018, our stockholders approved the Amended and Restated Acuity Brands, Inc. 2012 Omnibus Stock Compensation Incentive Plan (the “Stock Incentive Plan”), which, among other things, resulted in an aggregate of 2.7 million of shares authorized for issuance pursuant to the Stock Incentive Plan. The Compensation Committee of the Board of Directors is authorized to issue awards consisting of incentive and non-qualified stock options, stock appreciation rights, restricted stock awards, restricted stock units, performance stock awards, performance stock units, stock bonus awards, and cash-based awards to eligible employees, non-employee directors, and outside consultants.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Shares available for grant under the Stock Incentive Plan, including those previously issued and outstanding prior to the amendment, were approximately 0.7 million, 1.4 million, and 1.6 million at August 31, 2020, 2019, and 2018, respectively. Any shares subject to an award under the Stock Incentive Plan that are forfeited, canceled, expired, or settled for cash will be available for future grant under the Stock Incentive Plan.</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for certain restricted stock and performance share grants awarded in fiscal 2020, the Compensation Committee of the Board of Directors reinstated a policy that provides for the continued vesting of stock awards following retirement for all eligible participants who have attained age 60 and have at least ten years of service with the Company. We deem the requisite service period for these awards for a participant to be the shorter of either the award's stated vesting period or the time from grant until the participant satisfies the age and service criteria.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0"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Compensation expense recognized related to the awards under the current and prior equity incentive plans during the periods presented is summarized as follows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August 31,</w:t>
            </w:r>
          </w:p>
        </w:tc>
        <w:tc>
          <w:tcPr>
            <w:tcW w:w="1040" w:type="dxa"/>
            <w:vAlign w:val="bottom"/>
            <w:tcBorders>
              <w:bottom w:val="single" w:sz="8" w:color="auto"/>
            </w:tcBorders>
          </w:tcPr>
          <w:p>
            <w:pPr>
              <w:spacing w:after="0"/>
              <w:rPr>
                <w:sz w:val="19"/>
                <w:szCs w:val="19"/>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256"/>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stock awards</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27.9</w:t>
            </w:r>
          </w:p>
        </w:tc>
      </w:tr>
      <w:tr>
        <w:trPr>
          <w:trHeight w:val="260"/>
        </w:trPr>
        <w:tc>
          <w:tcPr>
            <w:tcW w:w="6980" w:type="dxa"/>
            <w:vAlign w:val="bottom"/>
          </w:tcPr>
          <w:p>
            <w:pPr>
              <w:ind w:left="40"/>
              <w:spacing w:after="0"/>
              <w:rPr>
                <w:sz w:val="20"/>
                <w:szCs w:val="20"/>
                <w:color w:val="auto"/>
              </w:rPr>
            </w:pPr>
            <w:r>
              <w:rPr>
                <w:rFonts w:ascii="Arial" w:cs="Arial" w:eastAsia="Arial" w:hAnsi="Arial"/>
                <w:sz w:val="16"/>
                <w:szCs w:val="16"/>
                <w:color w:val="auto"/>
              </w:rPr>
              <w:t>Stock options</w:t>
            </w:r>
          </w:p>
        </w:tc>
        <w:tc>
          <w:tcPr>
            <w:tcW w:w="8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28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Performance share units</w:t>
            </w:r>
          </w:p>
        </w:tc>
        <w:tc>
          <w:tcPr>
            <w:tcW w:w="88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3"/>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Director share units</w:t>
            </w:r>
          </w:p>
        </w:tc>
        <w:tc>
          <w:tcPr>
            <w:tcW w:w="8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r>
      <w:tr>
        <w:trPr>
          <w:trHeight w:val="24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share-based payment expense</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August 31, 2020, we had approximately 350,000 shares outstanding of restricted stock to officers, directors, and other key employees under the Stock Incentive Plan, including restricted stock units. The shares vest primarily over a four-year period and are valued at the closing stock price on the date of the grant.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restricted stock awards during the periods presented was as follows (in millions, except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79"/>
              <w:spacing w:after="0"/>
              <w:rPr>
                <w:sz w:val="20"/>
                <w:szCs w:val="20"/>
                <w:color w:val="auto"/>
              </w:rPr>
            </w:pPr>
            <w:r>
              <w:rPr>
                <w:rFonts w:ascii="Arial" w:cs="Arial" w:eastAsia="Arial" w:hAnsi="Arial"/>
                <w:sz w:val="16"/>
                <w:szCs w:val="16"/>
                <w:b w:val="1"/>
                <w:bCs w:val="1"/>
                <w:color w:val="auto"/>
              </w:rPr>
              <w:t>Weighted Average</w:t>
            </w:r>
          </w:p>
        </w:tc>
      </w:tr>
      <w:tr>
        <w:trPr>
          <w:trHeight w:val="189"/>
        </w:trPr>
        <w:tc>
          <w:tcPr>
            <w:tcW w:w="75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79"/>
              <w:spacing w:after="0"/>
              <w:rPr>
                <w:sz w:val="20"/>
                <w:szCs w:val="20"/>
                <w:color w:val="auto"/>
              </w:rPr>
            </w:pPr>
            <w:r>
              <w:rPr>
                <w:rFonts w:ascii="Arial" w:cs="Arial" w:eastAsia="Arial" w:hAnsi="Arial"/>
                <w:sz w:val="16"/>
                <w:szCs w:val="16"/>
                <w:b w:val="1"/>
                <w:bCs w:val="1"/>
                <w:color w:val="auto"/>
              </w:rPr>
              <w:t>Grant Date</w:t>
            </w:r>
          </w:p>
        </w:tc>
      </w:tr>
      <w:tr>
        <w:trPr>
          <w:trHeight w:val="189"/>
        </w:trPr>
        <w:tc>
          <w:tcPr>
            <w:tcW w:w="75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79"/>
              <w:spacing w:after="0"/>
              <w:rPr>
                <w:sz w:val="20"/>
                <w:szCs w:val="20"/>
                <w:color w:val="auto"/>
              </w:rPr>
            </w:pPr>
            <w:r>
              <w:rPr>
                <w:rFonts w:ascii="Arial" w:cs="Arial" w:eastAsia="Arial" w:hAnsi="Arial"/>
                <w:sz w:val="16"/>
                <w:szCs w:val="16"/>
                <w:b w:val="1"/>
                <w:bCs w:val="1"/>
                <w:color w:val="auto"/>
              </w:rPr>
              <w:t>Fair Value Per</w:t>
            </w:r>
          </w:p>
        </w:tc>
      </w:tr>
      <w:tr>
        <w:trPr>
          <w:trHeight w:val="228"/>
        </w:trPr>
        <w:tc>
          <w:tcPr>
            <w:tcW w:w="754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Share</w:t>
            </w:r>
          </w:p>
        </w:tc>
      </w:tr>
      <w:tr>
        <w:trPr>
          <w:trHeight w:val="257"/>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at August 31, 2017</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197.41</w:t>
            </w:r>
          </w:p>
        </w:tc>
      </w:tr>
      <w:tr>
        <w:trPr>
          <w:trHeight w:val="260"/>
        </w:trPr>
        <w:tc>
          <w:tcPr>
            <w:tcW w:w="7540" w:type="dxa"/>
            <w:vAlign w:val="bottom"/>
          </w:tcPr>
          <w:p>
            <w:pPr>
              <w:ind w:left="40"/>
              <w:spacing w:after="0"/>
              <w:rPr>
                <w:sz w:val="20"/>
                <w:szCs w:val="20"/>
                <w:color w:val="auto"/>
              </w:rPr>
            </w:pPr>
            <w:r>
              <w:rPr>
                <w:rFonts w:ascii="Arial" w:cs="Arial" w:eastAsia="Arial" w:hAnsi="Arial"/>
                <w:sz w:val="16"/>
                <w:szCs w:val="16"/>
                <w:color w:val="auto"/>
              </w:rPr>
              <w:t>Granted</w:t>
            </w:r>
          </w:p>
        </w:tc>
        <w:tc>
          <w:tcPr>
            <w:tcW w:w="1800" w:type="dxa"/>
            <w:vAlign w:val="bottom"/>
          </w:tcPr>
          <w:p>
            <w:pPr>
              <w:jc w:val="center"/>
              <w:spacing w:after="0"/>
              <w:rPr>
                <w:sz w:val="20"/>
                <w:szCs w:val="20"/>
                <w:color w:val="auto"/>
              </w:rPr>
            </w:pPr>
            <w:r>
              <w:rPr>
                <w:rFonts w:ascii="Arial" w:cs="Arial" w:eastAsia="Arial" w:hAnsi="Arial"/>
                <w:sz w:val="16"/>
                <w:szCs w:val="16"/>
                <w:color w:val="auto"/>
              </w:rPr>
              <w:t>0.2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154.95</w:t>
            </w:r>
          </w:p>
        </w:tc>
      </w:tr>
      <w:tr>
        <w:trPr>
          <w:trHeight w:val="273"/>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(0.2)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177.79</w:t>
            </w:r>
          </w:p>
        </w:tc>
      </w:tr>
      <w:tr>
        <w:trPr>
          <w:trHeight w:val="247"/>
        </w:trPr>
        <w:tc>
          <w:tcPr>
            <w:tcW w:w="7540" w:type="dxa"/>
            <w:vAlign w:val="bottom"/>
          </w:tcPr>
          <w:p>
            <w:pPr>
              <w:ind w:left="40"/>
              <w:spacing w:after="0"/>
              <w:rPr>
                <w:sz w:val="20"/>
                <w:szCs w:val="20"/>
                <w:color w:val="auto"/>
              </w:rPr>
            </w:pPr>
            <w:r>
              <w:rPr>
                <w:rFonts w:ascii="Arial" w:cs="Arial" w:eastAsia="Arial" w:hAnsi="Arial"/>
                <w:sz w:val="16"/>
                <w:szCs w:val="16"/>
                <w:color w:val="auto"/>
              </w:rPr>
              <w:t>Outstanding at August 31, 2018</w:t>
            </w:r>
          </w:p>
        </w:tc>
        <w:tc>
          <w:tcPr>
            <w:tcW w:w="1800" w:type="dxa"/>
            <w:vAlign w:val="bottom"/>
          </w:tcPr>
          <w:p>
            <w:pPr>
              <w:jc w:val="center"/>
              <w:spacing w:after="0"/>
              <w:rPr>
                <w:sz w:val="20"/>
                <w:szCs w:val="20"/>
                <w:color w:val="auto"/>
              </w:rPr>
            </w:pPr>
            <w:r>
              <w:rPr>
                <w:rFonts w:ascii="Arial" w:cs="Arial" w:eastAsia="Arial" w:hAnsi="Arial"/>
                <w:sz w:val="16"/>
                <w:szCs w:val="16"/>
                <w:color w:val="auto"/>
              </w:rPr>
              <w:t>0.4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186.63</w:t>
            </w:r>
          </w:p>
        </w:tc>
      </w:tr>
      <w:tr>
        <w:trPr>
          <w:trHeight w:val="280"/>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Granted</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120.73</w:t>
            </w:r>
          </w:p>
        </w:tc>
      </w:tr>
      <w:tr>
        <w:trPr>
          <w:trHeight w:val="260"/>
        </w:trPr>
        <w:tc>
          <w:tcPr>
            <w:tcW w:w="7540" w:type="dxa"/>
            <w:vAlign w:val="bottom"/>
          </w:tcPr>
          <w:p>
            <w:pPr>
              <w:ind w:left="40"/>
              <w:spacing w:after="0"/>
              <w:rPr>
                <w:sz w:val="20"/>
                <w:szCs w:val="20"/>
                <w:color w:val="auto"/>
              </w:rPr>
            </w:pPr>
            <w:r>
              <w:rPr>
                <w:rFonts w:ascii="Arial" w:cs="Arial" w:eastAsia="Arial" w:hAnsi="Arial"/>
                <w:sz w:val="16"/>
                <w:szCs w:val="16"/>
                <w:color w:val="auto"/>
              </w:rPr>
              <w:t>Vested</w:t>
            </w:r>
          </w:p>
        </w:tc>
        <w:tc>
          <w:tcPr>
            <w:tcW w:w="1800" w:type="dxa"/>
            <w:vAlign w:val="bottom"/>
          </w:tcPr>
          <w:p>
            <w:pPr>
              <w:jc w:val="center"/>
              <w:spacing w:after="0"/>
              <w:rPr>
                <w:sz w:val="20"/>
                <w:szCs w:val="20"/>
                <w:color w:val="auto"/>
              </w:rPr>
            </w:pPr>
            <w:r>
              <w:rPr>
                <w:rFonts w:ascii="Arial" w:cs="Arial" w:eastAsia="Arial" w:hAnsi="Arial"/>
                <w:sz w:val="16"/>
                <w:szCs w:val="16"/>
                <w:color w:val="auto"/>
                <w:w w:val="97"/>
              </w:rPr>
              <w:t>(0.2)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184.60</w:t>
            </w:r>
          </w:p>
        </w:tc>
      </w:tr>
      <w:tr>
        <w:trPr>
          <w:trHeight w:val="273"/>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Forfeited*</w:t>
            </w:r>
          </w:p>
        </w:tc>
        <w:tc>
          <w:tcPr>
            <w:tcW w:w="1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159.88</w:t>
            </w:r>
          </w:p>
        </w:tc>
      </w:tr>
      <w:tr>
        <w:trPr>
          <w:trHeight w:val="247"/>
        </w:trPr>
        <w:tc>
          <w:tcPr>
            <w:tcW w:w="7540" w:type="dxa"/>
            <w:vAlign w:val="bottom"/>
          </w:tcPr>
          <w:p>
            <w:pPr>
              <w:ind w:left="40"/>
              <w:spacing w:after="0"/>
              <w:rPr>
                <w:sz w:val="20"/>
                <w:szCs w:val="20"/>
                <w:color w:val="auto"/>
              </w:rPr>
            </w:pPr>
            <w:r>
              <w:rPr>
                <w:rFonts w:ascii="Arial" w:cs="Arial" w:eastAsia="Arial" w:hAnsi="Arial"/>
                <w:sz w:val="16"/>
                <w:szCs w:val="16"/>
                <w:color w:val="auto"/>
              </w:rPr>
              <w:t>Outstanding at August 31, 2019</w:t>
            </w:r>
          </w:p>
        </w:tc>
        <w:tc>
          <w:tcPr>
            <w:tcW w:w="1800" w:type="dxa"/>
            <w:vAlign w:val="bottom"/>
          </w:tcPr>
          <w:p>
            <w:pPr>
              <w:jc w:val="center"/>
              <w:spacing w:after="0"/>
              <w:rPr>
                <w:sz w:val="20"/>
                <w:szCs w:val="20"/>
                <w:color w:val="auto"/>
              </w:rPr>
            </w:pPr>
            <w:r>
              <w:rPr>
                <w:rFonts w:ascii="Arial" w:cs="Arial" w:eastAsia="Arial" w:hAnsi="Arial"/>
                <w:sz w:val="16"/>
                <w:szCs w:val="16"/>
                <w:color w:val="auto"/>
              </w:rPr>
              <w:t>0.4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156.32</w:t>
            </w:r>
          </w:p>
        </w:tc>
      </w:tr>
      <w:tr>
        <w:trPr>
          <w:trHeight w:val="280"/>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Granted</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122.10</w:t>
            </w:r>
          </w:p>
        </w:tc>
      </w:tr>
      <w:tr>
        <w:trPr>
          <w:trHeight w:val="260"/>
        </w:trPr>
        <w:tc>
          <w:tcPr>
            <w:tcW w:w="7540" w:type="dxa"/>
            <w:vAlign w:val="bottom"/>
          </w:tcPr>
          <w:p>
            <w:pPr>
              <w:ind w:left="40"/>
              <w:spacing w:after="0"/>
              <w:rPr>
                <w:sz w:val="20"/>
                <w:szCs w:val="20"/>
                <w:color w:val="auto"/>
              </w:rPr>
            </w:pPr>
            <w:r>
              <w:rPr>
                <w:rFonts w:ascii="Arial" w:cs="Arial" w:eastAsia="Arial" w:hAnsi="Arial"/>
                <w:sz w:val="16"/>
                <w:szCs w:val="16"/>
                <w:color w:val="auto"/>
              </w:rPr>
              <w:t>Vested</w:t>
            </w:r>
          </w:p>
        </w:tc>
        <w:tc>
          <w:tcPr>
            <w:tcW w:w="1800" w:type="dxa"/>
            <w:vAlign w:val="bottom"/>
          </w:tcPr>
          <w:p>
            <w:pPr>
              <w:jc w:val="center"/>
              <w:spacing w:after="0"/>
              <w:rPr>
                <w:sz w:val="20"/>
                <w:szCs w:val="20"/>
                <w:color w:val="auto"/>
              </w:rPr>
            </w:pPr>
            <w:r>
              <w:rPr>
                <w:rFonts w:ascii="Arial" w:cs="Arial" w:eastAsia="Arial" w:hAnsi="Arial"/>
                <w:sz w:val="16"/>
                <w:szCs w:val="16"/>
                <w:color w:val="auto"/>
                <w:w w:val="97"/>
              </w:rPr>
              <w:t>(0.1)</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171.92</w:t>
            </w:r>
          </w:p>
        </w:tc>
      </w:tr>
      <w:tr>
        <w:trPr>
          <w:trHeight w:val="273"/>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Forfeited</w:t>
            </w:r>
          </w:p>
        </w:tc>
        <w:tc>
          <w:tcPr>
            <w:tcW w:w="1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(0.1)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135.43</w:t>
            </w:r>
          </w:p>
        </w:tc>
      </w:tr>
      <w:tr>
        <w:trPr>
          <w:trHeight w:val="240"/>
        </w:trPr>
        <w:tc>
          <w:tcPr>
            <w:tcW w:w="7540" w:type="dxa"/>
            <w:vAlign w:val="bottom"/>
          </w:tcPr>
          <w:p>
            <w:pPr>
              <w:ind w:left="40"/>
              <w:spacing w:after="0"/>
              <w:rPr>
                <w:sz w:val="20"/>
                <w:szCs w:val="20"/>
                <w:color w:val="auto"/>
              </w:rPr>
            </w:pPr>
            <w:r>
              <w:rPr>
                <w:rFonts w:ascii="Arial" w:cs="Arial" w:eastAsia="Arial" w:hAnsi="Arial"/>
                <w:sz w:val="16"/>
                <w:szCs w:val="16"/>
                <w:color w:val="auto"/>
              </w:rPr>
              <w:t>Outstanding at August 31, 2020</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134.68</w:t>
            </w:r>
          </w:p>
        </w:tc>
      </w:tr>
      <w:tr>
        <w:trPr>
          <w:trHeight w:val="20"/>
        </w:trPr>
        <w:tc>
          <w:tcPr>
            <w:tcW w:w="75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Represents shares of less than 0.1 million.</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August 31, 2020, there was $26.2 million of total unrecognized compensation cost related to unvested restricted stock, which is expected to be recognized over a weighted-average period of 1.6 years. The total weighted average fair value of shares vested during the years ended August 31, 2020, 2019, and 2018 was approximately $22.8 million, $26.9 million, and $26.6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August 31, 2020, we had approximately 915,000 options outstanding to officers and other key employees under the Stock Incentive Plan. Of these options, 815,000 vest and become exercisable over a three year period (the "Service Options"). The remaining 100,000 vest and become exercisable over a four year period and are also subject to a market condition (the "Market Options"). Options issued under the Stock Incentive Plan are generally granted with an exercise price equal to the fair market value of our stock on the date of grant, but never less than the fair market value on the grant date, and expire ten years from the date of grant.</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fair value of each Service Option was estimated on the date of grant using the Black-Scholes model, and the fair value of each Market Option was estimated on the date of grant using the Monte-Carlo simulation model. The dividend</w:t>
      </w:r>
    </w:p>
    <w:p>
      <w:pPr>
        <w:sectPr>
          <w:pgSz w:w="11900" w:h="16838" w:orient="portrait"/>
          <w:cols w:equalWidth="0" w:num="1">
            <w:col w:w="11240"/>
          </w:cols>
          <w:pgMar w:left="320" w:top="140" w:right="3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240"/>
          </w:cols>
          <w:pgMar w:left="320" w:top="140" w:right="3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yield was calculated based on annual dividends paid and the trailing 12-month average closing stock price at the time of grant. Expected volatility was based on historical volatility of our stock, calculated using the most recent time period equal to the expected life of the options. The risk-free interest rate was based on the U.S. Treasury yield for a term equal to the expected life of the options at the time of grant for the Service Options and equal to the contractual term for the Market Options. We used historical exercise behavior data of similar employee groups to determine the expected life of options. All inputs noted above are estimates made at the time of grant. All inputs into the Black-Scholes model and the Monte-Carlo simulation are estimates made at the time of grant. Actual realized value of each option grant could materially differ from these estimates, without impact to future reported net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to estimate the fair value of the stock options granted in the fiscal years presented: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80" w:type="dxa"/>
            <w:vAlign w:val="bottom"/>
          </w:tcPr>
          <w:p>
            <w:pPr>
              <w:spacing w:after="0"/>
              <w:rPr>
                <w:sz w:val="19"/>
                <w:szCs w:val="19"/>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Market Options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Service Options</w:t>
            </w:r>
          </w:p>
        </w:tc>
        <w:tc>
          <w:tcPr>
            <w:tcW w:w="1460" w:type="dxa"/>
            <w:vAlign w:val="bottom"/>
          </w:tcPr>
          <w:p>
            <w:pPr>
              <w:spacing w:after="0"/>
              <w:rPr>
                <w:sz w:val="19"/>
                <w:szCs w:val="19"/>
                <w:color w:val="auto"/>
              </w:rPr>
            </w:pPr>
          </w:p>
        </w:tc>
      </w:tr>
      <w:tr>
        <w:trPr>
          <w:trHeight w:val="263"/>
        </w:trPr>
        <w:tc>
          <w:tcPr>
            <w:tcW w:w="5080" w:type="dxa"/>
            <w:vAlign w:val="bottom"/>
            <w:tcBorders>
              <w:bottom w:val="single" w:sz="8" w:color="CCEEFF"/>
            </w:tcBorders>
          </w:tcPr>
          <w:p>
            <w:pPr>
              <w:spacing w:after="0"/>
              <w:rPr>
                <w:sz w:val="22"/>
                <w:szCs w:val="22"/>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r>
      <w:tr>
        <w:trPr>
          <w:trHeight w:val="257"/>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 yield</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0.4%</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0.3%</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Expected volatility</w:t>
            </w:r>
          </w:p>
        </w:tc>
        <w:tc>
          <w:tcPr>
            <w:tcW w:w="1580" w:type="dxa"/>
            <w:vAlign w:val="bottom"/>
          </w:tcPr>
          <w:p>
            <w:pPr>
              <w:jc w:val="center"/>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30.9%</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1.3%</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Expected life of options</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rPr>
              <w:t>7 years</w:t>
            </w:r>
          </w:p>
        </w:tc>
        <w:tc>
          <w:tcPr>
            <w:tcW w:w="1560" w:type="dxa"/>
            <w:vAlign w:val="bottom"/>
            <w:gridSpan w:val="2"/>
          </w:tcPr>
          <w:p>
            <w:pPr>
              <w:ind w:left="460"/>
              <w:spacing w:after="0"/>
              <w:rPr>
                <w:sz w:val="20"/>
                <w:szCs w:val="20"/>
                <w:color w:val="auto"/>
              </w:rPr>
            </w:pPr>
            <w:r>
              <w:rPr>
                <w:rFonts w:ascii="Arial" w:cs="Arial" w:eastAsia="Arial" w:hAnsi="Arial"/>
                <w:sz w:val="16"/>
                <w:szCs w:val="16"/>
                <w:color w:val="auto"/>
              </w:rPr>
              <w:t>5 years</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4 years</w:t>
            </w:r>
          </w:p>
        </w:tc>
        <w:tc>
          <w:tcPr>
            <w:tcW w:w="1460" w:type="dxa"/>
            <w:vAlign w:val="bottom"/>
          </w:tcPr>
          <w:p>
            <w:pPr>
              <w:ind w:left="460"/>
              <w:spacing w:after="0"/>
              <w:rPr>
                <w:sz w:val="20"/>
                <w:szCs w:val="20"/>
                <w:color w:val="auto"/>
              </w:rPr>
            </w:pPr>
            <w:r>
              <w:rPr>
                <w:rFonts w:ascii="Arial" w:cs="Arial" w:eastAsia="Arial" w:hAnsi="Arial"/>
                <w:sz w:val="16"/>
                <w:szCs w:val="16"/>
                <w:color w:val="auto"/>
              </w:rPr>
              <w:t>4 years</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fair value of options</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$44.74</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$34.22</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$34.06</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$41.87</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Market Options granted during the fiscal years ended August 31, 2019 or 2018.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periods presented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80" w:type="dxa"/>
            <w:vAlign w:val="bottom"/>
          </w:tcPr>
          <w:p>
            <w:pPr>
              <w:spacing w:after="0"/>
              <w:rPr>
                <w:sz w:val="19"/>
                <w:szCs w:val="19"/>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Outstanding</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Exercisable</w:t>
            </w:r>
          </w:p>
        </w:tc>
      </w:tr>
      <w:tr>
        <w:trPr>
          <w:trHeight w:val="198"/>
        </w:trPr>
        <w:tc>
          <w:tcPr>
            <w:tcW w:w="51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Number of</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Weighted</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Number of</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51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8"/>
              </w:rPr>
              <w:t>Average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39"/>
              <w:spacing w:after="0"/>
              <w:rPr>
                <w:sz w:val="20"/>
                <w:szCs w:val="20"/>
                <w:color w:val="auto"/>
              </w:rPr>
            </w:pPr>
            <w:r>
              <w:rPr>
                <w:rFonts w:ascii="Arial" w:cs="Arial" w:eastAsia="Arial" w:hAnsi="Arial"/>
                <w:sz w:val="16"/>
                <w:szCs w:val="16"/>
                <w:b w:val="1"/>
                <w:bCs w:val="1"/>
                <w:color w:val="auto"/>
              </w:rPr>
              <w:t>Average</w:t>
            </w:r>
          </w:p>
        </w:tc>
      </w:tr>
      <w:tr>
        <w:trPr>
          <w:trHeight w:val="228"/>
        </w:trPr>
        <w:tc>
          <w:tcPr>
            <w:tcW w:w="51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Exercise Price</w:t>
            </w:r>
          </w:p>
        </w:tc>
      </w:tr>
      <w:tr>
        <w:trPr>
          <w:trHeight w:val="257"/>
        </w:trPr>
        <w:tc>
          <w:tcPr>
            <w:tcW w:w="5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at August 31, 2017</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0.3</w:t>
            </w:r>
          </w:p>
        </w:tc>
        <w:tc>
          <w:tcPr>
            <w:tcW w:w="3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156.43</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106.54</w:t>
            </w:r>
          </w:p>
        </w:tc>
      </w:tr>
      <w:tr>
        <w:trPr>
          <w:trHeight w:val="260"/>
        </w:trPr>
        <w:tc>
          <w:tcPr>
            <w:tcW w:w="5180" w:type="dxa"/>
            <w:vAlign w:val="bottom"/>
          </w:tcPr>
          <w:p>
            <w:pPr>
              <w:ind w:left="40"/>
              <w:spacing w:after="0"/>
              <w:rPr>
                <w:sz w:val="20"/>
                <w:szCs w:val="20"/>
                <w:color w:val="auto"/>
              </w:rPr>
            </w:pPr>
            <w:r>
              <w:rPr>
                <w:rFonts w:ascii="Arial" w:cs="Arial" w:eastAsia="Arial" w:hAnsi="Arial"/>
                <w:sz w:val="16"/>
                <w:szCs w:val="16"/>
                <w:color w:val="auto"/>
              </w:rPr>
              <w:t>Granted</w:t>
            </w: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156.39</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3"/>
        </w:trPr>
        <w:tc>
          <w:tcPr>
            <w:tcW w:w="5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115.27</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7"/>
        </w:trPr>
        <w:tc>
          <w:tcPr>
            <w:tcW w:w="5180" w:type="dxa"/>
            <w:vAlign w:val="bottom"/>
          </w:tcPr>
          <w:p>
            <w:pPr>
              <w:ind w:left="40"/>
              <w:spacing w:after="0"/>
              <w:rPr>
                <w:sz w:val="20"/>
                <w:szCs w:val="20"/>
                <w:color w:val="auto"/>
              </w:rPr>
            </w:pPr>
            <w:r>
              <w:rPr>
                <w:rFonts w:ascii="Arial" w:cs="Arial" w:eastAsia="Arial" w:hAnsi="Arial"/>
                <w:sz w:val="16"/>
                <w:szCs w:val="16"/>
                <w:color w:val="auto"/>
              </w:rPr>
              <w:t>Outstanding at August 31, 2018</w:t>
            </w:r>
          </w:p>
        </w:tc>
        <w:tc>
          <w:tcPr>
            <w:tcW w:w="1340" w:type="dxa"/>
            <w:vAlign w:val="bottom"/>
          </w:tcPr>
          <w:p>
            <w:pPr>
              <w:jc w:val="center"/>
              <w:spacing w:after="0"/>
              <w:rPr>
                <w:sz w:val="20"/>
                <w:szCs w:val="20"/>
                <w:color w:val="auto"/>
              </w:rPr>
            </w:pPr>
            <w:r>
              <w:rPr>
                <w:rFonts w:ascii="Arial" w:cs="Arial" w:eastAsia="Arial" w:hAnsi="Arial"/>
                <w:sz w:val="16"/>
                <w:szCs w:val="16"/>
                <w:color w:val="auto"/>
                <w:w w:val="98"/>
              </w:rPr>
              <w:t>0.3</w:t>
            </w:r>
          </w:p>
        </w:tc>
        <w:tc>
          <w:tcPr>
            <w:tcW w:w="34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154.69</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8"/>
              </w:rPr>
              <w:t>0.2</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134.13</w:t>
            </w:r>
          </w:p>
        </w:tc>
      </w:tr>
      <w:tr>
        <w:trPr>
          <w:trHeight w:val="273"/>
        </w:trPr>
        <w:tc>
          <w:tcPr>
            <w:tcW w:w="5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Granted</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0.1</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116.40</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7"/>
        </w:trPr>
        <w:tc>
          <w:tcPr>
            <w:tcW w:w="5180" w:type="dxa"/>
            <w:vAlign w:val="bottom"/>
          </w:tcPr>
          <w:p>
            <w:pPr>
              <w:ind w:left="40"/>
              <w:spacing w:after="0"/>
              <w:rPr>
                <w:sz w:val="20"/>
                <w:szCs w:val="20"/>
                <w:color w:val="auto"/>
              </w:rPr>
            </w:pPr>
            <w:r>
              <w:rPr>
                <w:rFonts w:ascii="Arial" w:cs="Arial" w:eastAsia="Arial" w:hAnsi="Arial"/>
                <w:sz w:val="16"/>
                <w:szCs w:val="16"/>
                <w:color w:val="auto"/>
              </w:rPr>
              <w:t>Outstanding at August 31, 2019</w:t>
            </w:r>
          </w:p>
        </w:tc>
        <w:tc>
          <w:tcPr>
            <w:tcW w:w="1340" w:type="dxa"/>
            <w:vAlign w:val="bottom"/>
          </w:tcPr>
          <w:p>
            <w:pPr>
              <w:jc w:val="center"/>
              <w:spacing w:after="0"/>
              <w:rPr>
                <w:sz w:val="20"/>
                <w:szCs w:val="20"/>
                <w:color w:val="auto"/>
              </w:rPr>
            </w:pPr>
            <w:r>
              <w:rPr>
                <w:rFonts w:ascii="Arial" w:cs="Arial" w:eastAsia="Arial" w:hAnsi="Arial"/>
                <w:sz w:val="16"/>
                <w:szCs w:val="16"/>
                <w:color w:val="auto"/>
                <w:w w:val="98"/>
              </w:rPr>
              <w:t>0.4</w:t>
            </w:r>
          </w:p>
        </w:tc>
        <w:tc>
          <w:tcPr>
            <w:tcW w:w="34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146.70</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8"/>
              </w:rPr>
              <w:t>0.3</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147.51</w:t>
            </w:r>
          </w:p>
        </w:tc>
      </w:tr>
      <w:tr>
        <w:trPr>
          <w:trHeight w:val="280"/>
        </w:trPr>
        <w:tc>
          <w:tcPr>
            <w:tcW w:w="5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Granted</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0.5</w:t>
            </w:r>
          </w:p>
        </w:tc>
        <w:tc>
          <w:tcPr>
            <w:tcW w:w="34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121.87</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4"/>
        </w:trPr>
        <w:tc>
          <w:tcPr>
            <w:tcW w:w="51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Exercised</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34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116.36</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r>
      <w:tr>
        <w:trPr>
          <w:trHeight w:val="256"/>
        </w:trPr>
        <w:tc>
          <w:tcPr>
            <w:tcW w:w="5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at August 31, 2020</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0.9</w:t>
            </w:r>
          </w:p>
        </w:tc>
        <w:tc>
          <w:tcPr>
            <w:tcW w:w="3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133.19</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151.07</w:t>
            </w:r>
          </w:p>
        </w:tc>
      </w:tr>
      <w:tr>
        <w:trPr>
          <w:trHeight w:val="260"/>
        </w:trPr>
        <w:tc>
          <w:tcPr>
            <w:tcW w:w="5180" w:type="dxa"/>
            <w:vAlign w:val="bottom"/>
          </w:tcPr>
          <w:p>
            <w:pPr>
              <w:ind w:left="40"/>
              <w:spacing w:after="0"/>
              <w:rPr>
                <w:sz w:val="20"/>
                <w:szCs w:val="20"/>
                <w:color w:val="auto"/>
              </w:rPr>
            </w:pPr>
            <w:r>
              <w:rPr>
                <w:rFonts w:ascii="Arial" w:cs="Arial" w:eastAsia="Arial" w:hAnsi="Arial"/>
                <w:sz w:val="16"/>
                <w:szCs w:val="16"/>
                <w:color w:val="auto"/>
              </w:rPr>
              <w:t>Range of option exercise prices:</w:t>
            </w:r>
          </w:p>
        </w:tc>
        <w:tc>
          <w:tcPr>
            <w:tcW w:w="1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51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$40.01 - $100.00 (average life - 2.1 years)</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0.1</w:t>
            </w:r>
          </w:p>
        </w:tc>
        <w:tc>
          <w:tcPr>
            <w:tcW w:w="34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62.25</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62.25</w:t>
            </w:r>
          </w:p>
        </w:tc>
      </w:tr>
      <w:tr>
        <w:trPr>
          <w:trHeight w:val="260"/>
        </w:trPr>
        <w:tc>
          <w:tcPr>
            <w:tcW w:w="5180" w:type="dxa"/>
            <w:vAlign w:val="bottom"/>
          </w:tcPr>
          <w:p>
            <w:pPr>
              <w:ind w:left="380"/>
              <w:spacing w:after="0"/>
              <w:rPr>
                <w:sz w:val="20"/>
                <w:szCs w:val="20"/>
                <w:color w:val="auto"/>
              </w:rPr>
            </w:pPr>
            <w:r>
              <w:rPr>
                <w:rFonts w:ascii="Arial" w:cs="Arial" w:eastAsia="Arial" w:hAnsi="Arial"/>
                <w:sz w:val="16"/>
                <w:szCs w:val="16"/>
                <w:color w:val="auto"/>
              </w:rPr>
              <w:t>$100.01 - $160.00 (average life - 8.3 years)</w:t>
            </w:r>
          </w:p>
        </w:tc>
        <w:tc>
          <w:tcPr>
            <w:tcW w:w="1340" w:type="dxa"/>
            <w:vAlign w:val="bottom"/>
          </w:tcPr>
          <w:p>
            <w:pPr>
              <w:jc w:val="center"/>
              <w:spacing w:after="0"/>
              <w:rPr>
                <w:sz w:val="20"/>
                <w:szCs w:val="20"/>
                <w:color w:val="auto"/>
              </w:rPr>
            </w:pPr>
            <w:r>
              <w:rPr>
                <w:rFonts w:ascii="Arial" w:cs="Arial" w:eastAsia="Arial" w:hAnsi="Arial"/>
                <w:sz w:val="16"/>
                <w:szCs w:val="16"/>
                <w:color w:val="auto"/>
                <w:w w:val="98"/>
              </w:rPr>
              <w:t>0.7</w:t>
            </w:r>
          </w:p>
        </w:tc>
        <w:tc>
          <w:tcPr>
            <w:tcW w:w="34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123.01</w:t>
            </w:r>
          </w:p>
        </w:tc>
        <w:tc>
          <w:tcPr>
            <w:tcW w:w="1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8"/>
              </w:rPr>
              <w:t>0.2</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126.16</w:t>
            </w:r>
          </w:p>
        </w:tc>
      </w:tr>
      <w:tr>
        <w:trPr>
          <w:trHeight w:val="280"/>
        </w:trPr>
        <w:tc>
          <w:tcPr>
            <w:tcW w:w="51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$160.01 - $210.00 (average life - 5.2 years)</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0.1</w:t>
            </w:r>
          </w:p>
        </w:tc>
        <w:tc>
          <w:tcPr>
            <w:tcW w:w="34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207.80</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207.80</w:t>
            </w:r>
          </w:p>
        </w:tc>
      </w:tr>
      <w:tr>
        <w:trPr>
          <w:trHeight w:val="250"/>
        </w:trPr>
        <w:tc>
          <w:tcPr>
            <w:tcW w:w="5180" w:type="dxa"/>
            <w:vAlign w:val="bottom"/>
          </w:tcPr>
          <w:p>
            <w:pPr>
              <w:ind w:left="380"/>
              <w:spacing w:after="0"/>
              <w:rPr>
                <w:sz w:val="20"/>
                <w:szCs w:val="20"/>
                <w:color w:val="auto"/>
              </w:rPr>
            </w:pPr>
            <w:r>
              <w:rPr>
                <w:rFonts w:ascii="Arial" w:cs="Arial" w:eastAsia="Arial" w:hAnsi="Arial"/>
                <w:sz w:val="16"/>
                <w:szCs w:val="16"/>
                <w:color w:val="auto"/>
              </w:rPr>
              <w:t>$210.01 - $239.76 (average life - 6.1 years)</w:t>
            </w: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239.76</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239.76</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 Represents shares of less than 0.1 million.</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total intrinsic value of options exercised was de minimis during the year ended August 31, 2020 and $0.5 million during the year ended August 31, 2018. There were no options exercised during fiscal 2019. As of August 31, 2020, the total intrinsic value of options outstanding was $3.3 million, the total intrinsic value of options expected to vest was zero, and the total intrinsic value of options exercisable was $3.3 million. As of August 31, 2020, there was $15.2 million of total unrecognized compensation cost related to unvested options. That cost is expected to be recognized over a weighted-average period of approximately 1.9 years.</w:t>
      </w:r>
    </w:p>
    <w:p>
      <w:pPr>
        <w:sectPr>
          <w:pgSz w:w="11900" w:h="16838" w:orient="portrait"/>
          <w:cols w:equalWidth="0" w:num="1">
            <w:col w:w="11240"/>
          </w:cols>
          <w:pgMar w:left="320" w:top="140" w:right="3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240"/>
          </w:cols>
          <w:pgMar w:left="320" w:top="140" w:right="3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Beginning in fiscal 2020, the Board of Directors (the “Board”) approved grants of performance share units to certain executives and key employees. These shares vest over a three-year period and are valued at the closing stock price on the date of grant. During the second quarter, additional performance shares were issued to certain key employees that vest over a two-year period based on the level of achievement of established performance thresholds and were valued at the closing stock price on the date of grant. The actual number of performance shares earned for these awards will be determined at the end of the related two-year or three-year period based on the level of achievement of established performance thresholds. We recognize compensation expense for these awards proportionately over the requisite service period for each employee when it becomes probable that the performance metric will be satisfied. As of August 31, 2020, we had approximately 67,000 performance share units outstanding. There were no outstanding performance share units at August 31, 2019 and 2018.</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August 31, 2020 there was $1.9 million of total unrecognized compensation cost related to unvested performance share units. That cost is expected to be recognized over a weighted-average period of approximately 2.1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Deferred Share Units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previously allowed employees to defer a portion of restricted stock awards granted in fiscal 2003 and fiscal 2004 into the SDSP as share units. The share units are payable in shares of stock at the time of distribution from the SDSP. As of August 31, 2020, approximately 7,500 fully vested share units remain deferred, but undistributed, under the Stock Incentive Plan. There was no compensation expense related to these share units during fiscal years 2020, 2019, and 2018.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Deferred Share Units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shares available for issuance under the Director Plan were approximately 320,000, 360,000, and 370,000 at August 31, 2020, 2019, and 2018, respectively. As of August 31, 2020, approximately 98,000 share units were deferred but undistributed under the Director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Employees are able to purchase, through payroll deduction, common stock at a 5% discount on a monthly basis. There were 1.5 million shares of our common stock reserved for purchase under the plan, of which approximately 1.0 million shares remain available as of August 31, 2020. Employees may participate at their discretion.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Pension and Defined Contribution Plans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Company-sponsored Pension Plans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several pension plans, both qualified and non-qualified, covering certain hourly and salaried employees. Benefits paid under these plans are based generally on employees’ years of service and/or compensation during the final years of employment. We make at least the minimum annual contributions to the plans to the extent indicated by actuarial valuations and statutory requirements. Plan assets are invested primarily in equity and fixed income securities. During fiscal 2019, we recognized an actuarial gain of $3.4 million as well as $0.4 million in net periodic pension cost related to the early retirement of one participant within our non-qualified domestic plans.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0"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reflect the status of our domestic (U.S.-based) and international pension plans as of the dates presented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ind w:left="420"/>
              <w:spacing w:after="0"/>
              <w:rPr>
                <w:sz w:val="20"/>
                <w:szCs w:val="20"/>
                <w:color w:val="auto"/>
              </w:rPr>
            </w:pPr>
            <w:r>
              <w:rPr>
                <w:rFonts w:ascii="Arial" w:cs="Arial" w:eastAsia="Arial" w:hAnsi="Arial"/>
                <w:sz w:val="14"/>
                <w:szCs w:val="14"/>
                <w:b w:val="1"/>
                <w:bCs w:val="1"/>
                <w:color w:val="auto"/>
              </w:rPr>
              <w:t>Domestic Plans</w:t>
            </w:r>
          </w:p>
        </w:tc>
        <w:tc>
          <w:tcPr>
            <w:tcW w:w="240" w:type="dxa"/>
            <w:vAlign w:val="bottom"/>
          </w:tcPr>
          <w:p>
            <w:pPr>
              <w:spacing w:after="0"/>
              <w:rPr>
                <w:sz w:val="17"/>
                <w:szCs w:val="17"/>
                <w:color w:val="auto"/>
              </w:rPr>
            </w:pPr>
          </w:p>
        </w:tc>
        <w:tc>
          <w:tcPr>
            <w:tcW w:w="208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International Plans</w:t>
            </w: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August 31,</w:t>
            </w:r>
          </w:p>
        </w:tc>
        <w:tc>
          <w:tcPr>
            <w:tcW w:w="7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August 31,</w:t>
            </w:r>
          </w:p>
        </w:tc>
        <w:tc>
          <w:tcPr>
            <w:tcW w:w="7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6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Change in benefit obligation:</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20" w:type="dxa"/>
            <w:vAlign w:val="bottom"/>
          </w:tcPr>
          <w:p>
            <w:pPr>
              <w:ind w:left="40"/>
              <w:spacing w:after="0"/>
              <w:rPr>
                <w:sz w:val="20"/>
                <w:szCs w:val="20"/>
                <w:color w:val="auto"/>
              </w:rPr>
            </w:pPr>
            <w:r>
              <w:rPr>
                <w:rFonts w:ascii="Arial" w:cs="Arial" w:eastAsia="Arial" w:hAnsi="Arial"/>
                <w:sz w:val="14"/>
                <w:szCs w:val="14"/>
                <w:color w:val="auto"/>
              </w:rPr>
              <w:t>Benefit obligation at beginning of year</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239.2</w:t>
            </w:r>
          </w:p>
        </w:tc>
        <w:tc>
          <w:tcPr>
            <w:tcW w:w="120" w:type="dxa"/>
            <w:vAlign w:val="bottom"/>
          </w:tcPr>
          <w:p>
            <w:pPr>
              <w:spacing w:after="0"/>
              <w:rPr>
                <w:sz w:val="22"/>
                <w:szCs w:val="22"/>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203.2</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44.6</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276"/>
        </w:trPr>
        <w:tc>
          <w:tcPr>
            <w:tcW w:w="6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 cost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64"/>
        </w:trPr>
        <w:tc>
          <w:tcPr>
            <w:tcW w:w="6420" w:type="dxa"/>
            <w:vAlign w:val="bottom"/>
          </w:tcPr>
          <w:p>
            <w:pPr>
              <w:ind w:left="40"/>
              <w:spacing w:after="0"/>
              <w:rPr>
                <w:sz w:val="20"/>
                <w:szCs w:val="20"/>
                <w:color w:val="auto"/>
              </w:rPr>
            </w:pPr>
            <w:r>
              <w:rPr>
                <w:rFonts w:ascii="Arial" w:cs="Arial" w:eastAsia="Arial" w:hAnsi="Arial"/>
                <w:sz w:val="14"/>
                <w:szCs w:val="14"/>
                <w:color w:val="auto"/>
              </w:rPr>
              <w:t>Interest cost</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6"/>
        </w:trPr>
        <w:tc>
          <w:tcPr>
            <w:tcW w:w="6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Amendments</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420" w:type="dxa"/>
            <w:vAlign w:val="bottom"/>
          </w:tcPr>
          <w:p>
            <w:pPr>
              <w:ind w:left="40"/>
              <w:spacing w:after="0"/>
              <w:rPr>
                <w:sz w:val="20"/>
                <w:szCs w:val="20"/>
                <w:color w:val="auto"/>
              </w:rPr>
            </w:pPr>
            <w:r>
              <w:rPr>
                <w:rFonts w:ascii="Arial" w:cs="Arial" w:eastAsia="Arial" w:hAnsi="Arial"/>
                <w:sz w:val="14"/>
                <w:szCs w:val="14"/>
                <w:color w:val="auto"/>
              </w:rPr>
              <w:t>Actuarial losses</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76"/>
        </w:trPr>
        <w:tc>
          <w:tcPr>
            <w:tcW w:w="6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Settlement gain</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420" w:type="dxa"/>
            <w:vAlign w:val="bottom"/>
          </w:tcPr>
          <w:p>
            <w:pPr>
              <w:ind w:left="40"/>
              <w:spacing w:after="0"/>
              <w:rPr>
                <w:sz w:val="20"/>
                <w:szCs w:val="20"/>
                <w:color w:val="auto"/>
              </w:rPr>
            </w:pPr>
            <w:r>
              <w:rPr>
                <w:rFonts w:ascii="Arial" w:cs="Arial" w:eastAsia="Arial" w:hAnsi="Arial"/>
                <w:sz w:val="14"/>
                <w:szCs w:val="14"/>
                <w:color w:val="auto"/>
              </w:rPr>
              <w:t>Benefits paid</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0"/>
        </w:trPr>
        <w:tc>
          <w:tcPr>
            <w:tcW w:w="6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Benefit obligation at end of year</w:t>
            </w: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249.6</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239.2</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49.2</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256"/>
        </w:trPr>
        <w:tc>
          <w:tcPr>
            <w:tcW w:w="6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Change in plan assets:</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20" w:type="dxa"/>
            <w:vAlign w:val="bottom"/>
          </w:tcPr>
          <w:p>
            <w:pPr>
              <w:ind w:left="40"/>
              <w:spacing w:after="0"/>
              <w:rPr>
                <w:sz w:val="20"/>
                <w:szCs w:val="20"/>
                <w:color w:val="auto"/>
              </w:rPr>
            </w:pPr>
            <w:r>
              <w:rPr>
                <w:rFonts w:ascii="Arial" w:cs="Arial" w:eastAsia="Arial" w:hAnsi="Arial"/>
                <w:sz w:val="14"/>
                <w:szCs w:val="14"/>
                <w:color w:val="auto"/>
              </w:rPr>
              <w:t>Fair value of plan assets at beginning of year</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151.5</w:t>
            </w:r>
          </w:p>
        </w:tc>
        <w:tc>
          <w:tcPr>
            <w:tcW w:w="120" w:type="dxa"/>
            <w:vAlign w:val="bottom"/>
          </w:tcPr>
          <w:p>
            <w:pPr>
              <w:spacing w:after="0"/>
              <w:rPr>
                <w:sz w:val="22"/>
                <w:szCs w:val="22"/>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149.4</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276"/>
        </w:trPr>
        <w:tc>
          <w:tcPr>
            <w:tcW w:w="6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Actual return on plan assets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64"/>
        </w:trPr>
        <w:tc>
          <w:tcPr>
            <w:tcW w:w="6420" w:type="dxa"/>
            <w:vAlign w:val="bottom"/>
          </w:tcPr>
          <w:p>
            <w:pPr>
              <w:ind w:left="40"/>
              <w:spacing w:after="0"/>
              <w:rPr>
                <w:sz w:val="20"/>
                <w:szCs w:val="20"/>
                <w:color w:val="auto"/>
              </w:rPr>
            </w:pPr>
            <w:r>
              <w:rPr>
                <w:rFonts w:ascii="Arial" w:cs="Arial" w:eastAsia="Arial" w:hAnsi="Arial"/>
                <w:sz w:val="14"/>
                <w:szCs w:val="14"/>
                <w:color w:val="auto"/>
              </w:rPr>
              <w:t>Employer contributions</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6"/>
        </w:trPr>
        <w:tc>
          <w:tcPr>
            <w:tcW w:w="6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Benefits paid</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64"/>
        </w:trPr>
        <w:tc>
          <w:tcPr>
            <w:tcW w:w="6420" w:type="dxa"/>
            <w:vAlign w:val="bottom"/>
          </w:tcPr>
          <w:p>
            <w:pPr>
              <w:ind w:left="4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50"/>
        </w:trPr>
        <w:tc>
          <w:tcPr>
            <w:tcW w:w="64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Fair value of plan assets at end of year</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167.1</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151.5</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35.1</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282"/>
        </w:trPr>
        <w:tc>
          <w:tcPr>
            <w:tcW w:w="6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Funded status at the end of year</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24"/>
        </w:trPr>
        <w:tc>
          <w:tcPr>
            <w:tcW w:w="6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Amounts recognized in the consolidated balance sheets consist of:</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42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0"/>
        </w:trPr>
        <w:tc>
          <w:tcPr>
            <w:tcW w:w="6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Non-current liabilities</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83"/>
        </w:trPr>
        <w:tc>
          <w:tcPr>
            <w:tcW w:w="64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amount recognized in consolidated balance sheets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1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Accumulated benefit obligation</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249.1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239.2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Pre-tax amounts in accumulated other comprehensive loss:</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4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Prior service cost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4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actuarial loss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43"/>
        </w:trPr>
        <w:tc>
          <w:tcPr>
            <w:tcW w:w="6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Amounts in accumulated other comprehensive loss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Pensions plans in which benefit obligation exceeds plan assets:</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Projected benefit obligation</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264"/>
        </w:trPr>
        <w:tc>
          <w:tcPr>
            <w:tcW w:w="6420" w:type="dxa"/>
            <w:vAlign w:val="bottom"/>
          </w:tcPr>
          <w:p>
            <w:pPr>
              <w:ind w:left="40"/>
              <w:spacing w:after="0"/>
              <w:rPr>
                <w:sz w:val="20"/>
                <w:szCs w:val="20"/>
                <w:color w:val="auto"/>
              </w:rPr>
            </w:pPr>
            <w:r>
              <w:rPr>
                <w:rFonts w:ascii="Arial" w:cs="Arial" w:eastAsia="Arial" w:hAnsi="Arial"/>
                <w:sz w:val="14"/>
                <w:szCs w:val="14"/>
                <w:color w:val="auto"/>
              </w:rPr>
              <w:t>Accumulated benefit obligation</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249.1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239.2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49.2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276"/>
        </w:trPr>
        <w:tc>
          <w:tcPr>
            <w:tcW w:w="6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 assets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76"/>
        </w:trPr>
        <w:tc>
          <w:tcPr>
            <w:tcW w:w="6420" w:type="dxa"/>
            <w:vAlign w:val="bottom"/>
          </w:tcPr>
          <w:p>
            <w:pPr>
              <w:ind w:left="40"/>
              <w:spacing w:after="0"/>
              <w:rPr>
                <w:sz w:val="20"/>
                <w:szCs w:val="20"/>
                <w:color w:val="auto"/>
              </w:rPr>
            </w:pPr>
            <w:r>
              <w:rPr>
                <w:rFonts w:ascii="Arial" w:cs="Arial" w:eastAsia="Arial" w:hAnsi="Arial"/>
                <w:sz w:val="14"/>
                <w:szCs w:val="14"/>
                <w:b w:val="1"/>
                <w:bCs w:val="1"/>
                <w:color w:val="auto"/>
              </w:rPr>
              <w:t>Estimated amounts that will be amortized from accumulated comprehensive income over the</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20" w:type="dxa"/>
            <w:vAlign w:val="bottom"/>
          </w:tcPr>
          <w:p>
            <w:pPr>
              <w:ind w:left="40"/>
              <w:spacing w:after="0"/>
              <w:rPr>
                <w:sz w:val="20"/>
                <w:szCs w:val="20"/>
                <w:color w:val="auto"/>
              </w:rPr>
            </w:pPr>
            <w:r>
              <w:rPr>
                <w:rFonts w:ascii="Arial" w:cs="Arial" w:eastAsia="Arial" w:hAnsi="Arial"/>
                <w:sz w:val="14"/>
                <w:szCs w:val="14"/>
                <w:b w:val="1"/>
                <w:bCs w:val="1"/>
                <w:color w:val="auto"/>
              </w:rPr>
              <w:t>next fiscal year:</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6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Prior service cost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6420" w:type="dxa"/>
            <w:vAlign w:val="bottom"/>
          </w:tcPr>
          <w:p>
            <w:pPr>
              <w:ind w:left="40"/>
              <w:spacing w:after="0"/>
              <w:rPr>
                <w:sz w:val="20"/>
                <w:szCs w:val="20"/>
                <w:color w:val="auto"/>
              </w:rPr>
            </w:pPr>
            <w:r>
              <w:rPr>
                <w:rFonts w:ascii="Arial" w:cs="Arial" w:eastAsia="Arial" w:hAnsi="Arial"/>
                <w:sz w:val="14"/>
                <w:szCs w:val="14"/>
                <w:color w:val="auto"/>
              </w:rPr>
              <w:t>Net actuarial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0"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nature of the employee's services. All other components of net periodic pension cost are included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Net periodic pension cost during the periods presented included the following components before tax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Domestic Plans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w w:val="99"/>
              </w:rPr>
              <w:t>International Plans</w:t>
            </w:r>
          </w:p>
        </w:tc>
        <w:tc>
          <w:tcPr>
            <w:tcW w:w="880" w:type="dxa"/>
            <w:vAlign w:val="bottom"/>
            <w:tcBorders>
              <w:bottom w:val="single" w:sz="8" w:color="auto"/>
            </w:tcBorders>
          </w:tcPr>
          <w:p>
            <w:pPr>
              <w:spacing w:after="0"/>
              <w:rPr>
                <w:sz w:val="19"/>
                <w:szCs w:val="19"/>
                <w:color w:val="auto"/>
              </w:rPr>
            </w:pPr>
          </w:p>
        </w:tc>
      </w:tr>
      <w:tr>
        <w:trPr>
          <w:trHeight w:val="263"/>
        </w:trPr>
        <w:tc>
          <w:tcPr>
            <w:tcW w:w="39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r>
      <w:tr>
        <w:trPr>
          <w:trHeight w:val="257"/>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60"/>
        </w:trPr>
        <w:tc>
          <w:tcPr>
            <w:tcW w:w="394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80"/>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60"/>
        </w:trPr>
        <w:tc>
          <w:tcPr>
            <w:tcW w:w="394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Settlement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3"/>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Recognized actuarial loss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r>
      <w:tr>
        <w:trPr>
          <w:trHeight w:val="240"/>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periodic pension cost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assumptions used in computing the benefit obligation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60" w:type="dxa"/>
            <w:vAlign w:val="bottom"/>
          </w:tcPr>
          <w:p>
            <w:pPr>
              <w:spacing w:after="0"/>
              <w:rPr>
                <w:sz w:val="19"/>
                <w:szCs w:val="19"/>
                <w:color w:val="auto"/>
              </w:rPr>
            </w:pPr>
          </w:p>
        </w:tc>
        <w:tc>
          <w:tcPr>
            <w:tcW w:w="202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6"/>
                <w:szCs w:val="16"/>
                <w:b w:val="1"/>
                <w:bCs w:val="1"/>
                <w:color w:val="auto"/>
              </w:rPr>
              <w:t>Domestic Plans</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International Plans</w:t>
            </w:r>
          </w:p>
        </w:tc>
      </w:tr>
      <w:tr>
        <w:trPr>
          <w:trHeight w:val="263"/>
        </w:trPr>
        <w:tc>
          <w:tcPr>
            <w:tcW w:w="626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r>
      <w:tr>
        <w:trPr>
          <w:trHeight w:val="257"/>
        </w:trPr>
        <w:tc>
          <w:tcPr>
            <w:tcW w:w="7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2.2%</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2.8%</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50"/>
        </w:trPr>
        <w:tc>
          <w:tcPr>
            <w:tcW w:w="7020" w:type="dxa"/>
            <w:vAlign w:val="bottom"/>
            <w:gridSpan w:val="2"/>
          </w:tcPr>
          <w:p>
            <w:pPr>
              <w:ind w:left="40"/>
              <w:spacing w:after="0"/>
              <w:rPr>
                <w:sz w:val="20"/>
                <w:szCs w:val="20"/>
                <w:color w:val="auto"/>
              </w:rPr>
            </w:pPr>
            <w:r>
              <w:rPr>
                <w:rFonts w:ascii="Arial" w:cs="Arial" w:eastAsia="Arial" w:hAnsi="Arial"/>
                <w:sz w:val="16"/>
                <w:szCs w:val="16"/>
                <w:color w:val="auto"/>
              </w:rPr>
              <w:t>Rate of compensation increase</w:t>
            </w:r>
          </w:p>
        </w:tc>
        <w:tc>
          <w:tcPr>
            <w:tcW w:w="400" w:type="dxa"/>
            <w:vAlign w:val="bottom"/>
          </w:tcPr>
          <w:p>
            <w:pPr>
              <w:jc w:val="right"/>
              <w:spacing w:after="0"/>
              <w:rPr>
                <w:sz w:val="20"/>
                <w:szCs w:val="20"/>
                <w:color w:val="auto"/>
              </w:rPr>
            </w:pPr>
            <w:r>
              <w:rPr>
                <w:rFonts w:ascii="Arial" w:cs="Arial" w:eastAsia="Arial" w:hAnsi="Arial"/>
                <w:sz w:val="16"/>
                <w:szCs w:val="16"/>
                <w:color w:val="auto"/>
                <w:w w:val="93"/>
              </w:rPr>
              <w:t>5.0%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8"/>
              </w:rPr>
              <w:t>5.0%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assumptions used in computing net periodic pension cost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Domestic Plans</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International Plans</w:t>
            </w:r>
          </w:p>
        </w:tc>
        <w:tc>
          <w:tcPr>
            <w:tcW w:w="920" w:type="dxa"/>
            <w:vAlign w:val="bottom"/>
            <w:tcBorders>
              <w:bottom w:val="single" w:sz="8" w:color="auto"/>
            </w:tcBorders>
          </w:tcPr>
          <w:p>
            <w:pPr>
              <w:spacing w:after="0"/>
              <w:rPr>
                <w:sz w:val="19"/>
                <w:szCs w:val="19"/>
                <w:color w:val="auto"/>
              </w:rPr>
            </w:pPr>
          </w:p>
        </w:tc>
      </w:tr>
      <w:tr>
        <w:trPr>
          <w:trHeight w:val="263"/>
        </w:trPr>
        <w:tc>
          <w:tcPr>
            <w:tcW w:w="38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r>
      <w:tr>
        <w:trPr>
          <w:trHeight w:val="257"/>
        </w:trPr>
        <w:tc>
          <w:tcPr>
            <w:tcW w:w="3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60"/>
        </w:trPr>
        <w:tc>
          <w:tcPr>
            <w:tcW w:w="3820" w:type="dxa"/>
            <w:vAlign w:val="bottom"/>
          </w:tcPr>
          <w:p>
            <w:pPr>
              <w:ind w:left="40"/>
              <w:spacing w:after="0"/>
              <w:rPr>
                <w:sz w:val="20"/>
                <w:szCs w:val="20"/>
                <w:color w:val="auto"/>
              </w:rPr>
            </w:pPr>
            <w:r>
              <w:rPr>
                <w:rFonts w:ascii="Arial" w:cs="Arial" w:eastAsia="Arial" w:hAnsi="Arial"/>
                <w:sz w:val="16"/>
                <w:szCs w:val="16"/>
                <w:color w:val="auto"/>
              </w:rPr>
              <w:t>Expected return on plan assets</w:t>
            </w:r>
          </w:p>
        </w:tc>
        <w:tc>
          <w:tcPr>
            <w:tcW w:w="1140" w:type="dxa"/>
            <w:vAlign w:val="bottom"/>
          </w:tcPr>
          <w:p>
            <w:pPr>
              <w:jc w:val="right"/>
              <w:spacing w:after="0"/>
              <w:rPr>
                <w:sz w:val="20"/>
                <w:szCs w:val="20"/>
                <w:color w:val="auto"/>
              </w:rPr>
            </w:pPr>
            <w:r>
              <w:rPr>
                <w:rFonts w:ascii="Arial" w:cs="Arial" w:eastAsia="Arial" w:hAnsi="Arial"/>
                <w:sz w:val="16"/>
                <w:szCs w:val="16"/>
                <w:color w:val="auto"/>
              </w:rPr>
              <w:t>7.0%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80"/>
        </w:trPr>
        <w:tc>
          <w:tcPr>
            <w:tcW w:w="3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Rate of compensation increase</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bl>
    <w:p>
      <w:pPr>
        <w:spacing w:after="0" w:line="3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It is our policy to adjust, on an annual basis, the discount rate used to determine the projected benefit obligation to approximate rates on high-quality, long-term obligations based on our estimated benefit payments available as of the measurement date. We use a published yield curve to assist in the development of our discount rates. We estimate that a 100 basis point increase in the discount rate would reduce net periodic pension cost approximately $1.0 million for both the domestic plans and international plans. The expected return on plan assets is derived primarily from a periodic study of long-term historical rates of return on the various asset classes included in our targeted pension plan asset allocation as well as future expectations. We estimate that each 100 basis point reduction in the expected return on plan assets would result in additional net periodic pension cost of $1.6 million and $0.3 million for domestic plans and international plans, respectively. We also evaluate the rate of compensation increase annually and adjust if necessary.</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investment objective for domestic plan assets is to earn a rate of return sufficient to exceed the long-term growth of the plans’ liabilities without subjecting plan assets to undue risk. The plan assets are invested primarily in high quality equity and debt securities. We conduct a periodic strategic asset allocation study to form a basis for the allocation of pension assets between various asset categories. Specific allocation percentages are assigned to each asset category with minimum and maximum ranges established for each. The assets are then managed within these ranges. During fiscal 2020, the U.S. targeted asset allocation was 55% equity securities, 40% fixed income securities, and 5% real estate securities. Our investment objective for the international plan assets is also to add value by exceeding the long-term growth of the plans’ liabilities. During fiscal 2020, the international asset target allocation approximated 75% equity securities, 15% fixed income securities, and 10% multi-strategy investments.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0"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Our pension plan asset allocation by asset category as of the dates presented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60" w:type="dxa"/>
            <w:vAlign w:val="bottom"/>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6"/>
                <w:szCs w:val="16"/>
                <w:b w:val="1"/>
                <w:bCs w:val="1"/>
                <w:color w:val="auto"/>
              </w:rPr>
              <w:t>% of Plan Assets</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63"/>
        </w:trPr>
        <w:tc>
          <w:tcPr>
            <w:tcW w:w="4060" w:type="dxa"/>
            <w:vAlign w:val="bottom"/>
          </w:tcPr>
          <w:p>
            <w:pPr>
              <w:spacing w:after="0"/>
              <w:rPr>
                <w:sz w:val="22"/>
                <w:szCs w:val="22"/>
                <w:color w:val="auto"/>
              </w:rPr>
            </w:pPr>
          </w:p>
        </w:tc>
        <w:tc>
          <w:tcPr>
            <w:tcW w:w="2440" w:type="dxa"/>
            <w:vAlign w:val="bottom"/>
            <w:tcBorders>
              <w:bottom w:val="single" w:sz="8" w:color="auto"/>
            </w:tcBorders>
            <w:gridSpan w:val="3"/>
          </w:tcPr>
          <w:p>
            <w:pPr>
              <w:ind w:left="1180"/>
              <w:spacing w:after="0"/>
              <w:rPr>
                <w:sz w:val="20"/>
                <w:szCs w:val="20"/>
                <w:color w:val="auto"/>
              </w:rPr>
            </w:pPr>
            <w:r>
              <w:rPr>
                <w:rFonts w:ascii="Arial" w:cs="Arial" w:eastAsia="Arial" w:hAnsi="Arial"/>
                <w:sz w:val="16"/>
                <w:szCs w:val="16"/>
                <w:b w:val="1"/>
                <w:bCs w:val="1"/>
                <w:color w:val="auto"/>
              </w:rPr>
              <w:t>Domestic Plans</w:t>
            </w:r>
          </w:p>
        </w:tc>
        <w:tc>
          <w:tcPr>
            <w:tcW w:w="4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International Plans</w:t>
            </w:r>
          </w:p>
        </w:tc>
        <w:tc>
          <w:tcPr>
            <w:tcW w:w="1040" w:type="dxa"/>
            <w:vAlign w:val="bottom"/>
            <w:tcBorders>
              <w:bottom w:val="single" w:sz="8" w:color="auto"/>
            </w:tcBorders>
          </w:tcPr>
          <w:p>
            <w:pPr>
              <w:spacing w:after="0"/>
              <w:rPr>
                <w:sz w:val="22"/>
                <w:szCs w:val="22"/>
                <w:color w:val="auto"/>
              </w:rPr>
            </w:pPr>
          </w:p>
        </w:tc>
      </w:tr>
      <w:tr>
        <w:trPr>
          <w:trHeight w:val="263"/>
        </w:trPr>
        <w:tc>
          <w:tcPr>
            <w:tcW w:w="4060" w:type="dxa"/>
            <w:vAlign w:val="bottom"/>
          </w:tcPr>
          <w:p>
            <w:pPr>
              <w:spacing w:after="0"/>
              <w:rPr>
                <w:sz w:val="22"/>
                <w:szCs w:val="22"/>
                <w:color w:val="auto"/>
              </w:rPr>
            </w:pPr>
          </w:p>
        </w:tc>
        <w:tc>
          <w:tcPr>
            <w:tcW w:w="17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jc w:val="right"/>
              <w:ind w:right="599"/>
              <w:spacing w:after="0"/>
              <w:rPr>
                <w:sz w:val="20"/>
                <w:szCs w:val="20"/>
                <w:color w:val="auto"/>
              </w:rPr>
            </w:pPr>
            <w:r>
              <w:rPr>
                <w:rFonts w:ascii="Arial" w:cs="Arial" w:eastAsia="Arial" w:hAnsi="Arial"/>
                <w:sz w:val="16"/>
                <w:szCs w:val="16"/>
                <w:b w:val="1"/>
                <w:bCs w:val="1"/>
                <w:color w:val="auto"/>
                <w:w w:val="95"/>
              </w:rPr>
              <w:t>2019</w:t>
            </w:r>
          </w:p>
        </w:tc>
      </w:tr>
      <w:tr>
        <w:trPr>
          <w:trHeight w:val="257"/>
        </w:trPr>
        <w:tc>
          <w:tcPr>
            <w:tcW w:w="4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securities</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w:t>
            </w:r>
          </w:p>
        </w:tc>
      </w:tr>
      <w:tr>
        <w:trPr>
          <w:trHeight w:val="260"/>
        </w:trPr>
        <w:tc>
          <w:tcPr>
            <w:tcW w:w="4060" w:type="dxa"/>
            <w:vAlign w:val="bottom"/>
          </w:tcPr>
          <w:p>
            <w:pPr>
              <w:ind w:left="40"/>
              <w:spacing w:after="0"/>
              <w:rPr>
                <w:sz w:val="20"/>
                <w:szCs w:val="20"/>
                <w:color w:val="auto"/>
              </w:rPr>
            </w:pPr>
            <w:r>
              <w:rPr>
                <w:rFonts w:ascii="Arial" w:cs="Arial" w:eastAsia="Arial" w:hAnsi="Arial"/>
                <w:sz w:val="16"/>
                <w:szCs w:val="16"/>
                <w:color w:val="auto"/>
              </w:rPr>
              <w:t>Fixed income securities</w:t>
            </w:r>
          </w:p>
        </w:tc>
        <w:tc>
          <w:tcPr>
            <w:tcW w:w="1720" w:type="dxa"/>
            <w:vAlign w:val="bottom"/>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280"/>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Multi-strategy investments</w:t>
            </w:r>
          </w:p>
        </w:tc>
        <w:tc>
          <w:tcPr>
            <w:tcW w:w="2440" w:type="dxa"/>
            <w:vAlign w:val="bottom"/>
            <w:gridSpan w:val="3"/>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4"/>
                <w:szCs w:val="24"/>
                <w:color w:val="auto"/>
              </w:rPr>
            </w:pPr>
          </w:p>
        </w:tc>
        <w:tc>
          <w:tcPr>
            <w:tcW w:w="1780" w:type="dxa"/>
            <w:vAlign w:val="bottom"/>
            <w:gridSpan w:val="3"/>
            <w:shd w:val="clear" w:color="auto" w:fill="CCEEFF"/>
          </w:tcPr>
          <w:p>
            <w:pPr>
              <w:jc w:val="right"/>
              <w:ind w:right="1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63"/>
        </w:trPr>
        <w:tc>
          <w:tcPr>
            <w:tcW w:w="406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172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60" w:type="dxa"/>
            <w:vAlign w:val="bottom"/>
            <w:gridSpan w:val="3"/>
          </w:tcPr>
          <w:p>
            <w:pPr>
              <w:jc w:val="right"/>
              <w:ind w:right="8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4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4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pension plan assets are stated at fair value based on quoted market prices in an active market, quoted redemption values, or estimates based on reasonable assumptions as of the most recent measurement period. See the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footnote for a description of the fair value guidance. No transfers between the levels of the fair value hierarchy occurred during the current fiscal period. In the event of a transfer in or out of a level within the fair value hierarchy, the transfers would be recognized on the date of occurrence. Certain pension assets valued at net asset value (“NAV”) per share as a practical expedient are excluded from the fair value hierarchy. Investments in pension plan assets are described in further detail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Fixed Income Investments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 consist of money market funds, which are valued at the daily closing price as reported by the relevant fund (Level 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Mutual Funds</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Mutual funds held by the domestic plans are open-end mutual funds that are registered with the Securities and Exchange Commission (“SEC”) and seek to either replicate or outperform a related index. These funds are required to publish their daily net asset value and to transact at that price. The mutual funds held by the domestic plans are deemed to be actively traded (Level 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Collective Trust</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collective trust seeks to outperform the overall small-cap stock market and is comprised of small cap equity securities with quoted prices in active markets for identical investments. The value of this fund is calculated on each business day by dividing the total value of assets, less liabilities, by the number of units of each class outstanding but is not published (Level 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Income Investments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fixed interest fund seeks to maximize total return by investing primarily in a diversified portfolio of intermediate and long-term debt securities and is valued using the NAV of units of a management investment company’s trust. The NAV, as provided by the fund's trustee, is used as a practical expedient to estimate fair value. As such, these funds are excluded from the fair value hierarchy. The NAV is based on the fair value of the underlying investments held by the fund less the fund's liabilities.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Fund</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real estate fund invests primarily in commercial real estate and includes mortgage loans that are backed by the associated property's investment objective. The fund seeks real estate returns, risk, and liquidity appropriate to a core fund. The fund also seeks to provide current income with the potential for long-term capital appreciation. This investment is valued based on the NAV per share, without further adjustment. The NAV, as provided by the fund's trustee, is used as a practical expedient to estimate fair value and is therefore excluded from the fair value hierarchy. NAV is based on the fair value of the underlying investments. Investors may request to redeem all or any portion of their shares on a quarterly basis. Each investor must provide a written redemption request at least sixty days prior to the end of the quarter for which the request is to be effective. If insufficient funds are available to honor all redemption requests at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0"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any point in time, available funds will be allocated pro-rata based on the total number of shares held by each investor. All decisions regarding whether to honor redemption requests are made by the fund’s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Plan Investments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international plans' assets consist primarily of funds invested in equity securities, multi-strategy investments, and fixed income investments. These securities are calculated using the values of the underlying holdings (i.e. significant observable inputs) but do not have actively quoted market prices (Level 2). The short-term fixed income investments represents cash and cash equivalents held by the funds at fiscal year end (Level 1).</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the domestic pension plan assets by major category as of the dates presented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6"/>
          </w:tcPr>
          <w:p>
            <w:pPr>
              <w:jc w:val="center"/>
              <w:ind w:right="59"/>
              <w:spacing w:after="0"/>
              <w:rPr>
                <w:sz w:val="20"/>
                <w:szCs w:val="20"/>
                <w:color w:val="auto"/>
              </w:rPr>
            </w:pPr>
            <w:r>
              <w:rPr>
                <w:rFonts w:ascii="Arial" w:cs="Arial" w:eastAsia="Arial" w:hAnsi="Arial"/>
                <w:sz w:val="16"/>
                <w:szCs w:val="16"/>
                <w:b w:val="1"/>
                <w:bCs w:val="1"/>
                <w:color w:val="auto"/>
              </w:rPr>
              <w:t>Fair Value Measurements</w:t>
            </w: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Quoted Market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Significant</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59"/>
              <w:spacing w:after="0"/>
              <w:rPr>
                <w:sz w:val="20"/>
                <w:szCs w:val="20"/>
                <w:color w:val="auto"/>
              </w:rPr>
            </w:pPr>
            <w:r>
              <w:rPr>
                <w:rFonts w:ascii="Arial" w:cs="Arial" w:eastAsia="Arial" w:hAnsi="Arial"/>
                <w:sz w:val="16"/>
                <w:szCs w:val="16"/>
                <w:b w:val="1"/>
                <w:bCs w:val="1"/>
                <w:color w:val="auto"/>
              </w:rPr>
              <w:t>Prices in Active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6"/>
                <w:szCs w:val="16"/>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59"/>
              <w:spacing w:after="0"/>
              <w:rPr>
                <w:sz w:val="20"/>
                <w:szCs w:val="20"/>
                <w:color w:val="auto"/>
              </w:rPr>
            </w:pPr>
            <w:r>
              <w:rPr>
                <w:rFonts w:ascii="Arial" w:cs="Arial" w:eastAsia="Arial" w:hAnsi="Arial"/>
                <w:sz w:val="16"/>
                <w:szCs w:val="16"/>
                <w:b w:val="1"/>
                <w:bCs w:val="1"/>
                <w:color w:val="auto"/>
              </w:rPr>
              <w:t>Markets for</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Observable</w:t>
            </w:r>
          </w:p>
        </w:tc>
        <w:tc>
          <w:tcPr>
            <w:tcW w:w="200" w:type="dxa"/>
            <w:vAlign w:val="bottom"/>
          </w:tcPr>
          <w:p>
            <w:pPr>
              <w:spacing w:after="0"/>
              <w:rPr>
                <w:sz w:val="16"/>
                <w:szCs w:val="16"/>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215"/>
        </w:trPr>
        <w:tc>
          <w:tcPr>
            <w:tcW w:w="4160" w:type="dxa"/>
            <w:vAlign w:val="bottom"/>
          </w:tcPr>
          <w:p>
            <w:pPr>
              <w:spacing w:after="0"/>
              <w:rPr>
                <w:sz w:val="18"/>
                <w:szCs w:val="18"/>
                <w:color w:val="auto"/>
              </w:rPr>
            </w:pPr>
          </w:p>
        </w:tc>
        <w:tc>
          <w:tcPr>
            <w:tcW w:w="1100" w:type="dxa"/>
            <w:vAlign w:val="bottom"/>
          </w:tcPr>
          <w:p>
            <w:pPr>
              <w:jc w:val="center"/>
              <w:ind w:left="519"/>
              <w:spacing w:after="0"/>
              <w:rPr>
                <w:sz w:val="20"/>
                <w:szCs w:val="20"/>
                <w:color w:val="auto"/>
              </w:rPr>
            </w:pPr>
            <w:r>
              <w:rPr>
                <w:rFonts w:ascii="Arial" w:cs="Arial" w:eastAsia="Arial" w:hAnsi="Arial"/>
                <w:sz w:val="16"/>
                <w:szCs w:val="16"/>
                <w:b w:val="1"/>
                <w:bCs w:val="1"/>
                <w:color w:val="auto"/>
              </w:rPr>
              <w:t>as of</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center"/>
              <w:ind w:right="59"/>
              <w:spacing w:after="0"/>
              <w:rPr>
                <w:sz w:val="20"/>
                <w:szCs w:val="20"/>
                <w:color w:val="auto"/>
              </w:rPr>
            </w:pPr>
            <w:r>
              <w:rPr>
                <w:rFonts w:ascii="Arial" w:cs="Arial" w:eastAsia="Arial" w:hAnsi="Arial"/>
                <w:sz w:val="16"/>
                <w:szCs w:val="16"/>
                <w:b w:val="1"/>
                <w:bCs w:val="1"/>
                <w:color w:val="auto"/>
              </w:rPr>
              <w:t>Identical Assets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Inputs</w:t>
            </w:r>
          </w:p>
        </w:tc>
        <w:tc>
          <w:tcPr>
            <w:tcW w:w="200" w:type="dxa"/>
            <w:vAlign w:val="bottom"/>
          </w:tcPr>
          <w:p>
            <w:pPr>
              <w:spacing w:after="0"/>
              <w:rPr>
                <w:sz w:val="18"/>
                <w:szCs w:val="18"/>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Inputs</w:t>
            </w:r>
          </w:p>
        </w:tc>
        <w:tc>
          <w:tcPr>
            <w:tcW w:w="0" w:type="dxa"/>
            <w:vAlign w:val="bottom"/>
          </w:tcPr>
          <w:p>
            <w:pPr>
              <w:spacing w:after="0"/>
              <w:rPr>
                <w:sz w:val="1"/>
                <w:szCs w:val="1"/>
                <w:color w:val="auto"/>
              </w:rPr>
            </w:pPr>
          </w:p>
        </w:tc>
      </w:tr>
      <w:tr>
        <w:trPr>
          <w:trHeight w:val="283"/>
        </w:trPr>
        <w:tc>
          <w:tcPr>
            <w:tcW w:w="4160" w:type="dxa"/>
            <w:vAlign w:val="bottom"/>
          </w:tcPr>
          <w:p>
            <w:pPr>
              <w:spacing w:after="0"/>
              <w:rPr>
                <w:sz w:val="24"/>
                <w:szCs w:val="24"/>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rPr>
              <w:t>August 31, 2020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(Level 2)</w:t>
            </w:r>
          </w:p>
        </w:tc>
        <w:tc>
          <w:tcPr>
            <w:tcW w:w="200" w:type="dxa"/>
            <w:vAlign w:val="bottom"/>
          </w:tcPr>
          <w:p>
            <w:pPr>
              <w:spacing w:after="0"/>
              <w:rPr>
                <w:sz w:val="24"/>
                <w:szCs w:val="24"/>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 included in the fair value hierarchy:</w:t>
            </w:r>
          </w:p>
        </w:tc>
        <w:tc>
          <w:tcPr>
            <w:tcW w:w="11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160" w:type="dxa"/>
            <w:vAlign w:val="bottom"/>
          </w:tcPr>
          <w:p>
            <w:pPr>
              <w:ind w:left="40"/>
              <w:spacing w:after="0"/>
              <w:rPr>
                <w:sz w:val="20"/>
                <w:szCs w:val="20"/>
                <w:color w:val="auto"/>
              </w:rPr>
            </w:pPr>
            <w:r>
              <w:rPr>
                <w:rFonts w:ascii="Arial" w:cs="Arial" w:eastAsia="Arial" w:hAnsi="Arial"/>
                <w:sz w:val="16"/>
                <w:szCs w:val="16"/>
                <w:color w:val="auto"/>
              </w:rPr>
              <w:t>Mutual funds:</w:t>
            </w: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Domestic large cap equity fund</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160" w:type="dxa"/>
            <w:vAlign w:val="bottom"/>
          </w:tcPr>
          <w:p>
            <w:pPr>
              <w:ind w:left="280"/>
              <w:spacing w:after="0"/>
              <w:rPr>
                <w:sz w:val="20"/>
                <w:szCs w:val="20"/>
                <w:color w:val="auto"/>
              </w:rPr>
            </w:pPr>
            <w:r>
              <w:rPr>
                <w:rFonts w:ascii="Arial" w:cs="Arial" w:eastAsia="Arial" w:hAnsi="Arial"/>
                <w:sz w:val="16"/>
                <w:szCs w:val="16"/>
                <w:color w:val="auto"/>
              </w:rPr>
              <w:t>Foreign equity fund</w:t>
            </w:r>
          </w:p>
        </w:tc>
        <w:tc>
          <w:tcPr>
            <w:tcW w:w="1100" w:type="dxa"/>
            <w:vAlign w:val="bottom"/>
          </w:tcPr>
          <w:p>
            <w:pPr>
              <w:spacing w:after="0"/>
              <w:rPr>
                <w:sz w:val="22"/>
                <w:szCs w:val="22"/>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480" w:type="dxa"/>
            <w:vAlign w:val="bottom"/>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Collective trust: Domestic small cap equities</w:t>
            </w:r>
          </w:p>
        </w:tc>
        <w:tc>
          <w:tcPr>
            <w:tcW w:w="1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Short-term fixed income investments</w:t>
            </w:r>
          </w:p>
        </w:tc>
        <w:tc>
          <w:tcPr>
            <w:tcW w:w="1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5.2</w:t>
            </w: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assets in the fair value hierarchy</w:t>
            </w:r>
          </w:p>
        </w:tc>
        <w:tc>
          <w:tcPr>
            <w:tcW w:w="1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160" w:type="dxa"/>
            <w:vAlign w:val="bottom"/>
          </w:tcPr>
          <w:p>
            <w:pPr>
              <w:ind w:left="40"/>
              <w:spacing w:after="0"/>
              <w:rPr>
                <w:sz w:val="20"/>
                <w:szCs w:val="20"/>
                <w:color w:val="auto"/>
              </w:rPr>
            </w:pPr>
            <w:r>
              <w:rPr>
                <w:rFonts w:ascii="Arial" w:cs="Arial" w:eastAsia="Arial" w:hAnsi="Arial"/>
                <w:sz w:val="16"/>
                <w:szCs w:val="16"/>
                <w:b w:val="1"/>
                <w:bCs w:val="1"/>
                <w:color w:val="auto"/>
              </w:rPr>
              <w:t>Assets calculated at net asset value:</w:t>
            </w: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Fixed-income investments</w:t>
            </w:r>
          </w:p>
        </w:tc>
        <w:tc>
          <w:tcPr>
            <w:tcW w:w="1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Real estate fund</w:t>
            </w:r>
          </w:p>
        </w:tc>
        <w:tc>
          <w:tcPr>
            <w:tcW w:w="1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assets at net asset value</w:t>
            </w:r>
          </w:p>
        </w:tc>
        <w:tc>
          <w:tcPr>
            <w:tcW w:w="1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280"/>
              <w:spacing w:after="0"/>
              <w:rPr>
                <w:sz w:val="20"/>
                <w:szCs w:val="20"/>
                <w:color w:val="auto"/>
              </w:rPr>
            </w:pPr>
            <w:r>
              <w:rPr>
                <w:rFonts w:ascii="Arial" w:cs="Arial" w:eastAsia="Arial" w:hAnsi="Arial"/>
                <w:sz w:val="16"/>
                <w:szCs w:val="16"/>
                <w:color w:val="auto"/>
              </w:rPr>
              <w:t>Total assets at fair value</w:t>
            </w:r>
          </w:p>
        </w:tc>
        <w:tc>
          <w:tcPr>
            <w:tcW w:w="110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160" w:type="dxa"/>
            <w:vAlign w:val="bottom"/>
            <w:gridSpan w:val="6"/>
            <w:vMerge w:val="restart"/>
          </w:tcPr>
          <w:p>
            <w:pPr>
              <w:jc w:val="center"/>
              <w:ind w:right="59"/>
              <w:spacing w:after="0"/>
              <w:rPr>
                <w:sz w:val="20"/>
                <w:szCs w:val="20"/>
                <w:color w:val="auto"/>
              </w:rPr>
            </w:pPr>
            <w:r>
              <w:rPr>
                <w:rFonts w:ascii="Arial" w:cs="Arial" w:eastAsia="Arial" w:hAnsi="Arial"/>
                <w:sz w:val="16"/>
                <w:szCs w:val="16"/>
                <w:b w:val="1"/>
                <w:bCs w:val="1"/>
                <w:color w:val="auto"/>
              </w:rPr>
              <w:t>Fair Value Measurements</w:t>
            </w: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vMerge w:val="continue"/>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Quoted Market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Significant</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59"/>
              <w:spacing w:after="0"/>
              <w:rPr>
                <w:sz w:val="20"/>
                <w:szCs w:val="20"/>
                <w:color w:val="auto"/>
              </w:rPr>
            </w:pPr>
            <w:r>
              <w:rPr>
                <w:rFonts w:ascii="Arial" w:cs="Arial" w:eastAsia="Arial" w:hAnsi="Arial"/>
                <w:sz w:val="16"/>
                <w:szCs w:val="16"/>
                <w:b w:val="1"/>
                <w:bCs w:val="1"/>
                <w:color w:val="auto"/>
              </w:rPr>
              <w:t>Prices in Active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6"/>
                <w:szCs w:val="16"/>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59"/>
              <w:spacing w:after="0"/>
              <w:rPr>
                <w:sz w:val="20"/>
                <w:szCs w:val="20"/>
                <w:color w:val="auto"/>
              </w:rPr>
            </w:pPr>
            <w:r>
              <w:rPr>
                <w:rFonts w:ascii="Arial" w:cs="Arial" w:eastAsia="Arial" w:hAnsi="Arial"/>
                <w:sz w:val="16"/>
                <w:szCs w:val="16"/>
                <w:b w:val="1"/>
                <w:bCs w:val="1"/>
                <w:color w:val="auto"/>
              </w:rPr>
              <w:t>Markets for</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Observable</w:t>
            </w:r>
          </w:p>
        </w:tc>
        <w:tc>
          <w:tcPr>
            <w:tcW w:w="200" w:type="dxa"/>
            <w:vAlign w:val="bottom"/>
          </w:tcPr>
          <w:p>
            <w:pPr>
              <w:spacing w:after="0"/>
              <w:rPr>
                <w:sz w:val="16"/>
                <w:szCs w:val="16"/>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215"/>
        </w:trPr>
        <w:tc>
          <w:tcPr>
            <w:tcW w:w="4160" w:type="dxa"/>
            <w:vAlign w:val="bottom"/>
          </w:tcPr>
          <w:p>
            <w:pPr>
              <w:spacing w:after="0"/>
              <w:rPr>
                <w:sz w:val="18"/>
                <w:szCs w:val="18"/>
                <w:color w:val="auto"/>
              </w:rPr>
            </w:pPr>
          </w:p>
        </w:tc>
        <w:tc>
          <w:tcPr>
            <w:tcW w:w="1100" w:type="dxa"/>
            <w:vAlign w:val="bottom"/>
          </w:tcPr>
          <w:p>
            <w:pPr>
              <w:jc w:val="center"/>
              <w:ind w:left="519"/>
              <w:spacing w:after="0"/>
              <w:rPr>
                <w:sz w:val="20"/>
                <w:szCs w:val="20"/>
                <w:color w:val="auto"/>
              </w:rPr>
            </w:pPr>
            <w:r>
              <w:rPr>
                <w:rFonts w:ascii="Arial" w:cs="Arial" w:eastAsia="Arial" w:hAnsi="Arial"/>
                <w:sz w:val="16"/>
                <w:szCs w:val="16"/>
                <w:b w:val="1"/>
                <w:bCs w:val="1"/>
                <w:color w:val="auto"/>
              </w:rPr>
              <w:t>as of</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center"/>
              <w:ind w:right="59"/>
              <w:spacing w:after="0"/>
              <w:rPr>
                <w:sz w:val="20"/>
                <w:szCs w:val="20"/>
                <w:color w:val="auto"/>
              </w:rPr>
            </w:pPr>
            <w:r>
              <w:rPr>
                <w:rFonts w:ascii="Arial" w:cs="Arial" w:eastAsia="Arial" w:hAnsi="Arial"/>
                <w:sz w:val="16"/>
                <w:szCs w:val="16"/>
                <w:b w:val="1"/>
                <w:bCs w:val="1"/>
                <w:color w:val="auto"/>
              </w:rPr>
              <w:t>Identical Assets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Inputs</w:t>
            </w:r>
          </w:p>
        </w:tc>
        <w:tc>
          <w:tcPr>
            <w:tcW w:w="200" w:type="dxa"/>
            <w:vAlign w:val="bottom"/>
          </w:tcPr>
          <w:p>
            <w:pPr>
              <w:spacing w:after="0"/>
              <w:rPr>
                <w:sz w:val="18"/>
                <w:szCs w:val="18"/>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Inputs</w:t>
            </w:r>
          </w:p>
        </w:tc>
        <w:tc>
          <w:tcPr>
            <w:tcW w:w="0" w:type="dxa"/>
            <w:vAlign w:val="bottom"/>
          </w:tcPr>
          <w:p>
            <w:pPr>
              <w:spacing w:after="0"/>
              <w:rPr>
                <w:sz w:val="1"/>
                <w:szCs w:val="1"/>
                <w:color w:val="auto"/>
              </w:rPr>
            </w:pPr>
          </w:p>
        </w:tc>
      </w:tr>
      <w:tr>
        <w:trPr>
          <w:trHeight w:val="283"/>
        </w:trPr>
        <w:tc>
          <w:tcPr>
            <w:tcW w:w="4160" w:type="dxa"/>
            <w:vAlign w:val="bottom"/>
          </w:tcPr>
          <w:p>
            <w:pPr>
              <w:spacing w:after="0"/>
              <w:rPr>
                <w:sz w:val="24"/>
                <w:szCs w:val="24"/>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rPr>
              <w:t>August 31, 2019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(Level 2)</w:t>
            </w:r>
          </w:p>
        </w:tc>
        <w:tc>
          <w:tcPr>
            <w:tcW w:w="200" w:type="dxa"/>
            <w:vAlign w:val="bottom"/>
          </w:tcPr>
          <w:p>
            <w:pPr>
              <w:spacing w:after="0"/>
              <w:rPr>
                <w:sz w:val="24"/>
                <w:szCs w:val="24"/>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 included in the fair value hierarchy:</w:t>
            </w:r>
          </w:p>
        </w:tc>
        <w:tc>
          <w:tcPr>
            <w:tcW w:w="11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160" w:type="dxa"/>
            <w:vAlign w:val="bottom"/>
          </w:tcPr>
          <w:p>
            <w:pPr>
              <w:ind w:left="40"/>
              <w:spacing w:after="0"/>
              <w:rPr>
                <w:sz w:val="20"/>
                <w:szCs w:val="20"/>
                <w:color w:val="auto"/>
              </w:rPr>
            </w:pPr>
            <w:r>
              <w:rPr>
                <w:rFonts w:ascii="Arial" w:cs="Arial" w:eastAsia="Arial" w:hAnsi="Arial"/>
                <w:sz w:val="16"/>
                <w:szCs w:val="16"/>
                <w:color w:val="auto"/>
              </w:rPr>
              <w:t>Mutual funds:</w:t>
            </w: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Domestic large cap equity fund</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160" w:type="dxa"/>
            <w:vAlign w:val="bottom"/>
          </w:tcPr>
          <w:p>
            <w:pPr>
              <w:ind w:left="280"/>
              <w:spacing w:after="0"/>
              <w:rPr>
                <w:sz w:val="20"/>
                <w:szCs w:val="20"/>
                <w:color w:val="auto"/>
              </w:rPr>
            </w:pPr>
            <w:r>
              <w:rPr>
                <w:rFonts w:ascii="Arial" w:cs="Arial" w:eastAsia="Arial" w:hAnsi="Arial"/>
                <w:sz w:val="16"/>
                <w:szCs w:val="16"/>
                <w:color w:val="auto"/>
              </w:rPr>
              <w:t>Foreign equity fund</w:t>
            </w:r>
          </w:p>
        </w:tc>
        <w:tc>
          <w:tcPr>
            <w:tcW w:w="1100" w:type="dxa"/>
            <w:vAlign w:val="bottom"/>
          </w:tcPr>
          <w:p>
            <w:pPr>
              <w:spacing w:after="0"/>
              <w:rPr>
                <w:sz w:val="22"/>
                <w:szCs w:val="22"/>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480" w:type="dxa"/>
            <w:vAlign w:val="bottom"/>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Collective trust: Domestic small cap equities</w:t>
            </w:r>
          </w:p>
        </w:tc>
        <w:tc>
          <w:tcPr>
            <w:tcW w:w="1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Short-term fixed income investments</w:t>
            </w:r>
          </w:p>
        </w:tc>
        <w:tc>
          <w:tcPr>
            <w:tcW w:w="1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6.0</w:t>
            </w: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assets in the fair value hierarchy</w:t>
            </w:r>
          </w:p>
        </w:tc>
        <w:tc>
          <w:tcPr>
            <w:tcW w:w="1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160" w:type="dxa"/>
            <w:vAlign w:val="bottom"/>
          </w:tcPr>
          <w:p>
            <w:pPr>
              <w:ind w:left="40"/>
              <w:spacing w:after="0"/>
              <w:rPr>
                <w:sz w:val="20"/>
                <w:szCs w:val="20"/>
                <w:color w:val="auto"/>
              </w:rPr>
            </w:pPr>
            <w:r>
              <w:rPr>
                <w:rFonts w:ascii="Arial" w:cs="Arial" w:eastAsia="Arial" w:hAnsi="Arial"/>
                <w:sz w:val="16"/>
                <w:szCs w:val="16"/>
                <w:b w:val="1"/>
                <w:bCs w:val="1"/>
                <w:color w:val="auto"/>
              </w:rPr>
              <w:t>Assets calculated at net asset value:</w:t>
            </w: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Fixed-income investments</w:t>
            </w:r>
          </w:p>
        </w:tc>
        <w:tc>
          <w:tcPr>
            <w:tcW w:w="1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Real estate fund</w:t>
            </w:r>
          </w:p>
        </w:tc>
        <w:tc>
          <w:tcPr>
            <w:tcW w:w="1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assets at net asset value</w:t>
            </w:r>
          </w:p>
        </w:tc>
        <w:tc>
          <w:tcPr>
            <w:tcW w:w="1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160" w:type="dxa"/>
            <w:vAlign w:val="bottom"/>
          </w:tcPr>
          <w:p>
            <w:pPr>
              <w:ind w:left="280"/>
              <w:spacing w:after="0"/>
              <w:rPr>
                <w:sz w:val="20"/>
                <w:szCs w:val="20"/>
                <w:color w:val="auto"/>
              </w:rPr>
            </w:pPr>
            <w:r>
              <w:rPr>
                <w:rFonts w:ascii="Arial" w:cs="Arial" w:eastAsia="Arial" w:hAnsi="Arial"/>
                <w:sz w:val="16"/>
                <w:szCs w:val="16"/>
                <w:color w:val="auto"/>
              </w:rPr>
              <w:t>Total assets at fair value</w:t>
            </w:r>
          </w:p>
        </w:tc>
        <w:tc>
          <w:tcPr>
            <w:tcW w:w="110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240"/>
          </w:cols>
          <w:pgMar w:left="320" w:top="140" w:right="3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the international pension plan assets by major category as of the dates presented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6"/>
          </w:tcPr>
          <w:p>
            <w:pPr>
              <w:jc w:val="center"/>
              <w:ind w:right="59"/>
              <w:spacing w:after="0"/>
              <w:rPr>
                <w:sz w:val="20"/>
                <w:szCs w:val="20"/>
                <w:color w:val="auto"/>
              </w:rPr>
            </w:pPr>
            <w:r>
              <w:rPr>
                <w:rFonts w:ascii="Arial" w:cs="Arial" w:eastAsia="Arial" w:hAnsi="Arial"/>
                <w:sz w:val="16"/>
                <w:szCs w:val="16"/>
                <w:b w:val="1"/>
                <w:bCs w:val="1"/>
                <w:color w:val="auto"/>
              </w:rPr>
              <w:t>Fair Value Measurements</w:t>
            </w: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Quoted Market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Significant</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59"/>
              <w:spacing w:after="0"/>
              <w:rPr>
                <w:sz w:val="20"/>
                <w:szCs w:val="20"/>
                <w:color w:val="auto"/>
              </w:rPr>
            </w:pPr>
            <w:r>
              <w:rPr>
                <w:rFonts w:ascii="Arial" w:cs="Arial" w:eastAsia="Arial" w:hAnsi="Arial"/>
                <w:sz w:val="16"/>
                <w:szCs w:val="16"/>
                <w:b w:val="1"/>
                <w:bCs w:val="1"/>
                <w:color w:val="auto"/>
              </w:rPr>
              <w:t>Prices in Active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6"/>
                <w:szCs w:val="16"/>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center"/>
              <w:ind w:right="9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59"/>
              <w:spacing w:after="0"/>
              <w:rPr>
                <w:sz w:val="20"/>
                <w:szCs w:val="20"/>
                <w:color w:val="auto"/>
              </w:rPr>
            </w:pPr>
            <w:r>
              <w:rPr>
                <w:rFonts w:ascii="Arial" w:cs="Arial" w:eastAsia="Arial" w:hAnsi="Arial"/>
                <w:sz w:val="16"/>
                <w:szCs w:val="16"/>
                <w:b w:val="1"/>
                <w:bCs w:val="1"/>
                <w:color w:val="auto"/>
              </w:rPr>
              <w:t>Markets for</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Observable</w:t>
            </w:r>
          </w:p>
        </w:tc>
        <w:tc>
          <w:tcPr>
            <w:tcW w:w="200" w:type="dxa"/>
            <w:vAlign w:val="bottom"/>
          </w:tcPr>
          <w:p>
            <w:pPr>
              <w:spacing w:after="0"/>
              <w:rPr>
                <w:sz w:val="16"/>
                <w:szCs w:val="16"/>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215"/>
        </w:trPr>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99"/>
              <w:spacing w:after="0"/>
              <w:rPr>
                <w:sz w:val="20"/>
                <w:szCs w:val="20"/>
                <w:color w:val="auto"/>
              </w:rPr>
            </w:pPr>
            <w:r>
              <w:rPr>
                <w:rFonts w:ascii="Arial" w:cs="Arial" w:eastAsia="Arial" w:hAnsi="Arial"/>
                <w:sz w:val="16"/>
                <w:szCs w:val="16"/>
                <w:b w:val="1"/>
                <w:bCs w:val="1"/>
                <w:color w:val="auto"/>
              </w:rPr>
              <w:t>as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center"/>
              <w:ind w:right="59"/>
              <w:spacing w:after="0"/>
              <w:rPr>
                <w:sz w:val="20"/>
                <w:szCs w:val="20"/>
                <w:color w:val="auto"/>
              </w:rPr>
            </w:pPr>
            <w:r>
              <w:rPr>
                <w:rFonts w:ascii="Arial" w:cs="Arial" w:eastAsia="Arial" w:hAnsi="Arial"/>
                <w:sz w:val="16"/>
                <w:szCs w:val="16"/>
                <w:b w:val="1"/>
                <w:bCs w:val="1"/>
                <w:color w:val="auto"/>
              </w:rPr>
              <w:t>Identical Assets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Inputs</w:t>
            </w:r>
          </w:p>
        </w:tc>
        <w:tc>
          <w:tcPr>
            <w:tcW w:w="200" w:type="dxa"/>
            <w:vAlign w:val="bottom"/>
          </w:tcPr>
          <w:p>
            <w:pPr>
              <w:spacing w:after="0"/>
              <w:rPr>
                <w:sz w:val="18"/>
                <w:szCs w:val="18"/>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Inputs</w:t>
            </w:r>
          </w:p>
        </w:tc>
        <w:tc>
          <w:tcPr>
            <w:tcW w:w="0" w:type="dxa"/>
            <w:vAlign w:val="bottom"/>
          </w:tcPr>
          <w:p>
            <w:pPr>
              <w:spacing w:after="0"/>
              <w:rPr>
                <w:sz w:val="1"/>
                <w:szCs w:val="1"/>
                <w:color w:val="auto"/>
              </w:rPr>
            </w:pPr>
          </w:p>
        </w:tc>
      </w:tr>
      <w:tr>
        <w:trPr>
          <w:trHeight w:val="283"/>
        </w:trPr>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center"/>
              <w:ind w:right="99"/>
              <w:spacing w:after="0"/>
              <w:rPr>
                <w:sz w:val="20"/>
                <w:szCs w:val="20"/>
                <w:color w:val="auto"/>
              </w:rPr>
            </w:pPr>
            <w:r>
              <w:rPr>
                <w:rFonts w:ascii="Arial" w:cs="Arial" w:eastAsia="Arial" w:hAnsi="Arial"/>
                <w:sz w:val="16"/>
                <w:szCs w:val="16"/>
                <w:b w:val="1"/>
                <w:bCs w:val="1"/>
                <w:color w:val="auto"/>
              </w:rPr>
              <w:t>August 31, 2020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(Level 2)</w:t>
            </w:r>
          </w:p>
        </w:tc>
        <w:tc>
          <w:tcPr>
            <w:tcW w:w="200" w:type="dxa"/>
            <w:vAlign w:val="bottom"/>
          </w:tcPr>
          <w:p>
            <w:pPr>
              <w:spacing w:after="0"/>
              <w:rPr>
                <w:sz w:val="24"/>
                <w:szCs w:val="24"/>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 included in the fair value hierarchy:</w:t>
            </w:r>
          </w:p>
        </w:tc>
        <w:tc>
          <w:tcPr>
            <w:tcW w:w="180" w:type="dxa"/>
            <w:vAlign w:val="bottom"/>
            <w:tcBorders>
              <w:top w:val="single" w:sz="8" w:color="auto"/>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16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27.0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Short-term fixed income investments</w:t>
            </w: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160" w:type="dxa"/>
            <w:vAlign w:val="bottom"/>
          </w:tcPr>
          <w:p>
            <w:pPr>
              <w:ind w:left="40"/>
              <w:spacing w:after="0"/>
              <w:rPr>
                <w:sz w:val="20"/>
                <w:szCs w:val="20"/>
                <w:color w:val="auto"/>
              </w:rPr>
            </w:pPr>
            <w:r>
              <w:rPr>
                <w:rFonts w:ascii="Arial" w:cs="Arial" w:eastAsia="Arial" w:hAnsi="Arial"/>
                <w:sz w:val="16"/>
                <w:szCs w:val="16"/>
                <w:color w:val="auto"/>
              </w:rPr>
              <w:t>Multi-strategy investments</w:t>
            </w:r>
          </w:p>
        </w:tc>
        <w:tc>
          <w:tcPr>
            <w:tcW w:w="180" w:type="dxa"/>
            <w:vAlign w:val="bottom"/>
          </w:tcPr>
          <w:p>
            <w:pPr>
              <w:spacing w:after="0"/>
              <w:rPr>
                <w:sz w:val="22"/>
                <w:szCs w:val="22"/>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Fixed-income investments</w:t>
            </w: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60" w:type="dxa"/>
            <w:vAlign w:val="bottom"/>
          </w:tcPr>
          <w:p>
            <w:pPr>
              <w:ind w:left="180"/>
              <w:spacing w:after="0"/>
              <w:rPr>
                <w:sz w:val="20"/>
                <w:szCs w:val="20"/>
                <w:color w:val="auto"/>
              </w:rPr>
            </w:pPr>
            <w:r>
              <w:rPr>
                <w:rFonts w:ascii="Arial" w:cs="Arial" w:eastAsia="Arial" w:hAnsi="Arial"/>
                <w:sz w:val="16"/>
                <w:szCs w:val="16"/>
                <w:color w:val="auto"/>
              </w:rPr>
              <w:t>Total assets at fair value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160" w:type="dxa"/>
            <w:vAlign w:val="bottom"/>
            <w:gridSpan w:val="6"/>
            <w:vMerge w:val="restart"/>
          </w:tcPr>
          <w:p>
            <w:pPr>
              <w:jc w:val="center"/>
              <w:ind w:right="59"/>
              <w:spacing w:after="0"/>
              <w:rPr>
                <w:sz w:val="20"/>
                <w:szCs w:val="20"/>
                <w:color w:val="auto"/>
              </w:rPr>
            </w:pPr>
            <w:r>
              <w:rPr>
                <w:rFonts w:ascii="Arial" w:cs="Arial" w:eastAsia="Arial" w:hAnsi="Arial"/>
                <w:sz w:val="16"/>
                <w:szCs w:val="16"/>
                <w:b w:val="1"/>
                <w:bCs w:val="1"/>
                <w:color w:val="auto"/>
              </w:rPr>
              <w:t>Fair Value Measurements</w:t>
            </w: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vMerge w:val="continue"/>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Quoted Market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Significant</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59"/>
              <w:spacing w:after="0"/>
              <w:rPr>
                <w:sz w:val="20"/>
                <w:szCs w:val="20"/>
                <w:color w:val="auto"/>
              </w:rPr>
            </w:pPr>
            <w:r>
              <w:rPr>
                <w:rFonts w:ascii="Arial" w:cs="Arial" w:eastAsia="Arial" w:hAnsi="Arial"/>
                <w:sz w:val="16"/>
                <w:szCs w:val="16"/>
                <w:b w:val="1"/>
                <w:bCs w:val="1"/>
                <w:color w:val="auto"/>
              </w:rPr>
              <w:t>Prices in Active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6"/>
                <w:szCs w:val="16"/>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center"/>
              <w:ind w:right="9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59"/>
              <w:spacing w:after="0"/>
              <w:rPr>
                <w:sz w:val="20"/>
                <w:szCs w:val="20"/>
                <w:color w:val="auto"/>
              </w:rPr>
            </w:pPr>
            <w:r>
              <w:rPr>
                <w:rFonts w:ascii="Arial" w:cs="Arial" w:eastAsia="Arial" w:hAnsi="Arial"/>
                <w:sz w:val="16"/>
                <w:szCs w:val="16"/>
                <w:b w:val="1"/>
                <w:bCs w:val="1"/>
                <w:color w:val="auto"/>
              </w:rPr>
              <w:t>Markets for</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Observable</w:t>
            </w:r>
          </w:p>
        </w:tc>
        <w:tc>
          <w:tcPr>
            <w:tcW w:w="200" w:type="dxa"/>
            <w:vAlign w:val="bottom"/>
          </w:tcPr>
          <w:p>
            <w:pPr>
              <w:spacing w:after="0"/>
              <w:rPr>
                <w:sz w:val="16"/>
                <w:szCs w:val="16"/>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215"/>
        </w:trPr>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99"/>
              <w:spacing w:after="0"/>
              <w:rPr>
                <w:sz w:val="20"/>
                <w:szCs w:val="20"/>
                <w:color w:val="auto"/>
              </w:rPr>
            </w:pPr>
            <w:r>
              <w:rPr>
                <w:rFonts w:ascii="Arial" w:cs="Arial" w:eastAsia="Arial" w:hAnsi="Arial"/>
                <w:sz w:val="16"/>
                <w:szCs w:val="16"/>
                <w:b w:val="1"/>
                <w:bCs w:val="1"/>
                <w:color w:val="auto"/>
              </w:rPr>
              <w:t>as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center"/>
              <w:ind w:right="59"/>
              <w:spacing w:after="0"/>
              <w:rPr>
                <w:sz w:val="20"/>
                <w:szCs w:val="20"/>
                <w:color w:val="auto"/>
              </w:rPr>
            </w:pPr>
            <w:r>
              <w:rPr>
                <w:rFonts w:ascii="Arial" w:cs="Arial" w:eastAsia="Arial" w:hAnsi="Arial"/>
                <w:sz w:val="16"/>
                <w:szCs w:val="16"/>
                <w:b w:val="1"/>
                <w:bCs w:val="1"/>
                <w:color w:val="auto"/>
              </w:rPr>
              <w:t>Identical Assets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Inputs</w:t>
            </w:r>
          </w:p>
        </w:tc>
        <w:tc>
          <w:tcPr>
            <w:tcW w:w="200" w:type="dxa"/>
            <w:vAlign w:val="bottom"/>
          </w:tcPr>
          <w:p>
            <w:pPr>
              <w:spacing w:after="0"/>
              <w:rPr>
                <w:sz w:val="18"/>
                <w:szCs w:val="18"/>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Inputs</w:t>
            </w:r>
          </w:p>
        </w:tc>
        <w:tc>
          <w:tcPr>
            <w:tcW w:w="0" w:type="dxa"/>
            <w:vAlign w:val="bottom"/>
          </w:tcPr>
          <w:p>
            <w:pPr>
              <w:spacing w:after="0"/>
              <w:rPr>
                <w:sz w:val="1"/>
                <w:szCs w:val="1"/>
                <w:color w:val="auto"/>
              </w:rPr>
            </w:pPr>
          </w:p>
        </w:tc>
      </w:tr>
      <w:tr>
        <w:trPr>
          <w:trHeight w:val="283"/>
        </w:trPr>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center"/>
              <w:ind w:right="99"/>
              <w:spacing w:after="0"/>
              <w:rPr>
                <w:sz w:val="20"/>
                <w:szCs w:val="20"/>
                <w:color w:val="auto"/>
              </w:rPr>
            </w:pPr>
            <w:r>
              <w:rPr>
                <w:rFonts w:ascii="Arial" w:cs="Arial" w:eastAsia="Arial" w:hAnsi="Arial"/>
                <w:sz w:val="16"/>
                <w:szCs w:val="16"/>
                <w:b w:val="1"/>
                <w:bCs w:val="1"/>
                <w:color w:val="auto"/>
              </w:rPr>
              <w:t>August 31, 2019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(Level 2)</w:t>
            </w:r>
          </w:p>
        </w:tc>
        <w:tc>
          <w:tcPr>
            <w:tcW w:w="200" w:type="dxa"/>
            <w:vAlign w:val="bottom"/>
          </w:tcPr>
          <w:p>
            <w:pPr>
              <w:spacing w:after="0"/>
              <w:rPr>
                <w:sz w:val="24"/>
                <w:szCs w:val="24"/>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 included in the fair value hierarchy:</w:t>
            </w:r>
          </w:p>
        </w:tc>
        <w:tc>
          <w:tcPr>
            <w:tcW w:w="180" w:type="dxa"/>
            <w:vAlign w:val="bottom"/>
            <w:tcBorders>
              <w:top w:val="single" w:sz="8" w:color="auto"/>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16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22.4</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Short-term fixed income investments</w:t>
            </w: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160" w:type="dxa"/>
            <w:vAlign w:val="bottom"/>
          </w:tcPr>
          <w:p>
            <w:pPr>
              <w:ind w:left="40"/>
              <w:spacing w:after="0"/>
              <w:rPr>
                <w:sz w:val="20"/>
                <w:szCs w:val="20"/>
                <w:color w:val="auto"/>
              </w:rPr>
            </w:pPr>
            <w:r>
              <w:rPr>
                <w:rFonts w:ascii="Arial" w:cs="Arial" w:eastAsia="Arial" w:hAnsi="Arial"/>
                <w:sz w:val="16"/>
                <w:szCs w:val="16"/>
                <w:color w:val="auto"/>
              </w:rPr>
              <w:t>Multi-strategy investments</w:t>
            </w:r>
          </w:p>
        </w:tc>
        <w:tc>
          <w:tcPr>
            <w:tcW w:w="180" w:type="dxa"/>
            <w:vAlign w:val="bottom"/>
          </w:tcPr>
          <w:p>
            <w:pPr>
              <w:spacing w:after="0"/>
              <w:rPr>
                <w:sz w:val="22"/>
                <w:szCs w:val="22"/>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Fixed-income investments</w:t>
            </w: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160" w:type="dxa"/>
            <w:vAlign w:val="bottom"/>
          </w:tcPr>
          <w:p>
            <w:pPr>
              <w:ind w:left="180"/>
              <w:spacing w:after="0"/>
              <w:rPr>
                <w:sz w:val="20"/>
                <w:szCs w:val="20"/>
                <w:color w:val="auto"/>
              </w:rPr>
            </w:pPr>
            <w:r>
              <w:rPr>
                <w:rFonts w:ascii="Arial" w:cs="Arial" w:eastAsia="Arial" w:hAnsi="Arial"/>
                <w:sz w:val="16"/>
                <w:szCs w:val="16"/>
                <w:color w:val="auto"/>
              </w:rPr>
              <w:t>Total assets at fair value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expect to contribute approximately $1.0 million and $1.2 million during fiscal 2021 to our domestic qualified plans and international defined benefit plans, respectively. These amounts are based on the total contributions required during fiscal 2021 to satisfy current legal minimum funding requirements for qualified plans and estimated benefit payments for non-qualified plans.</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Benefit payments are made primarily from funded benefit plan trusts. Benefit payments are expected to be paid as follows during the years ending August 31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International</w:t>
            </w:r>
          </w:p>
        </w:tc>
      </w:tr>
      <w:tr>
        <w:trPr>
          <w:trHeight w:val="228"/>
        </w:trPr>
        <w:tc>
          <w:tcPr>
            <w:tcW w:w="8440" w:type="dxa"/>
            <w:vAlign w:val="bottom"/>
          </w:tcPr>
          <w:p>
            <w:pPr>
              <w:spacing w:after="0"/>
              <w:rPr>
                <w:sz w:val="19"/>
                <w:szCs w:val="19"/>
                <w:color w:val="auto"/>
              </w:rPr>
            </w:pPr>
          </w:p>
        </w:tc>
        <w:tc>
          <w:tcPr>
            <w:tcW w:w="1440" w:type="dxa"/>
            <w:vAlign w:val="bottom"/>
            <w:gridSpan w:val="3"/>
          </w:tcPr>
          <w:p>
            <w:pPr>
              <w:ind w:left="60"/>
              <w:spacing w:after="0"/>
              <w:rPr>
                <w:sz w:val="20"/>
                <w:szCs w:val="20"/>
                <w:color w:val="auto"/>
              </w:rPr>
            </w:pPr>
            <w:r>
              <w:rPr>
                <w:rFonts w:ascii="Arial" w:cs="Arial" w:eastAsia="Arial" w:hAnsi="Arial"/>
                <w:sz w:val="16"/>
                <w:szCs w:val="16"/>
                <w:b w:val="1"/>
                <w:bCs w:val="1"/>
                <w:color w:val="auto"/>
              </w:rPr>
              <w:t>Domestic Plans</w:t>
            </w:r>
          </w:p>
        </w:tc>
        <w:tc>
          <w:tcPr>
            <w:tcW w:w="160" w:type="dxa"/>
            <w:vAlign w:val="bottom"/>
          </w:tcPr>
          <w:p>
            <w:pPr>
              <w:spacing w:after="0"/>
              <w:rPr>
                <w:sz w:val="19"/>
                <w:szCs w:val="19"/>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Plans</w:t>
            </w:r>
          </w:p>
        </w:tc>
      </w:tr>
      <w:tr>
        <w:trPr>
          <w:trHeight w:val="257"/>
        </w:trPr>
        <w:tc>
          <w:tcPr>
            <w:tcW w:w="8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60"/>
        </w:trPr>
        <w:tc>
          <w:tcPr>
            <w:tcW w:w="8440" w:type="dxa"/>
            <w:vAlign w:val="bottom"/>
          </w:tcPr>
          <w:p>
            <w:pPr>
              <w:ind w:left="40"/>
              <w:spacing w:after="0"/>
              <w:rPr>
                <w:sz w:val="20"/>
                <w:szCs w:val="20"/>
                <w:color w:val="auto"/>
              </w:rPr>
            </w:pPr>
            <w:r>
              <w:rPr>
                <w:rFonts w:ascii="Arial" w:cs="Arial" w:eastAsia="Arial" w:hAnsi="Arial"/>
                <w:sz w:val="16"/>
                <w:szCs w:val="16"/>
                <w:color w:val="auto"/>
              </w:rPr>
              <w:t>2022</w:t>
            </w:r>
          </w:p>
        </w:tc>
        <w:tc>
          <w:tcPr>
            <w:tcW w:w="52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280"/>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60"/>
        </w:trPr>
        <w:tc>
          <w:tcPr>
            <w:tcW w:w="8440" w:type="dxa"/>
            <w:vAlign w:val="bottom"/>
          </w:tcPr>
          <w:p>
            <w:pPr>
              <w:ind w:left="40"/>
              <w:spacing w:after="0"/>
              <w:rPr>
                <w:sz w:val="20"/>
                <w:szCs w:val="20"/>
                <w:color w:val="auto"/>
              </w:rPr>
            </w:pPr>
            <w:r>
              <w:rPr>
                <w:rFonts w:ascii="Arial" w:cs="Arial" w:eastAsia="Arial" w:hAnsi="Arial"/>
                <w:sz w:val="16"/>
                <w:szCs w:val="16"/>
                <w:color w:val="auto"/>
              </w:rPr>
              <w:t>2024</w:t>
            </w:r>
          </w:p>
        </w:tc>
        <w:tc>
          <w:tcPr>
            <w:tcW w:w="52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80"/>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2025</w:t>
            </w: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50"/>
        </w:trPr>
        <w:tc>
          <w:tcPr>
            <w:tcW w:w="8440" w:type="dxa"/>
            <w:vAlign w:val="bottom"/>
          </w:tcPr>
          <w:p>
            <w:pPr>
              <w:ind w:left="40"/>
              <w:spacing w:after="0"/>
              <w:rPr>
                <w:sz w:val="20"/>
                <w:szCs w:val="20"/>
                <w:color w:val="auto"/>
              </w:rPr>
            </w:pPr>
            <w:r>
              <w:rPr>
                <w:rFonts w:ascii="Arial" w:cs="Arial" w:eastAsia="Arial" w:hAnsi="Arial"/>
                <w:sz w:val="16"/>
                <w:szCs w:val="16"/>
                <w:color w:val="auto"/>
              </w:rPr>
              <w:t>2026-2030</w:t>
            </w:r>
          </w:p>
        </w:tc>
        <w:tc>
          <w:tcPr>
            <w:tcW w:w="52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7.5</w:t>
            </w: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contribute to two multi-employer defined benefit pension plans under the terms of collective-bargaining agreements that cover certain of our union-represented employees. The risks of participating in these multi-employer plans are different from single-employer plans in the following aspects: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240"/>
          </w:cols>
          <w:pgMar w:left="320" w:top="140" w:right="3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660" w:hanging="247"/>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Assets contributed to the multi-employer plan by one employer may be used to provide benefits to employees of other participating employers.</w:t>
      </w:r>
    </w:p>
    <w:p>
      <w:pPr>
        <w:ind w:left="660" w:hanging="247"/>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the unfunded obligations of the plan may be shared by the remaining participating employers.</w:t>
      </w:r>
    </w:p>
    <w:p>
      <w:pPr>
        <w:ind w:left="660" w:hanging="247"/>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 participating employer chooses to stop participating in some of its multi-employer plans, the employer may be required to pay those plans an amount based on the underfunded status of the plan, referred to as a withdrawal liability.</w:t>
      </w:r>
    </w:p>
    <w:p>
      <w:pPr>
        <w:spacing w:after="0" w:line="10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contributions to these plans were $0.6 million for the year ended August 31, 2020, and $0.5 million for each of the years ended August 31, 2019, and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have defined contribution plans to which both employees and we make contributions. Our cost for these plans was $8.2 million, $8.1 million, and $8.0 million for the years ended August 31, 2020, 2019, and 2018, respectively. Employer matching amounts are allocated in accordance with the participants’ investment elections for elective deferrals. At August 31, 2020, assets of the domestic defined contribution plans included shares of our common stock with a market value of approximately $5.9 million, which represented approximately 1.5% of the total fair market value of the assets in our domestic defined contribution plans.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Special Charges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year ended August 31, 2020, we recognized pre-tax special charges of $20.0 million. These charges were primarily severance costs and ROU lease asset impairments related to planned facility closures. We additionally recognized charges for relocation costs associated with the previously announced transfer of activities from planned facility closures. We expect these actions to streamline our business activities, integrate recent acquisitions, and respond to reduced demand due to the COVID-19 pandemic will allow us to reduce spending in certain areas while permitting continued investment in future growth initiatives, such as new products, expanded market presence, and technology and innovation.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the special charges during the periods presented are summarized as follows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6"/>
                <w:szCs w:val="16"/>
                <w:b w:val="1"/>
                <w:bCs w:val="1"/>
                <w:color w:val="auto"/>
              </w:rPr>
              <w:t>Year Ended August 31,</w:t>
            </w:r>
          </w:p>
        </w:tc>
        <w:tc>
          <w:tcPr>
            <w:tcW w:w="940" w:type="dxa"/>
            <w:vAlign w:val="bottom"/>
            <w:tcBorders>
              <w:bottom w:val="single" w:sz="8" w:color="auto"/>
            </w:tcBorders>
          </w:tcPr>
          <w:p>
            <w:pPr>
              <w:spacing w:after="0"/>
              <w:rPr>
                <w:sz w:val="19"/>
                <w:szCs w:val="19"/>
                <w:color w:val="auto"/>
              </w:rPr>
            </w:pPr>
          </w:p>
        </w:tc>
      </w:tr>
      <w:tr>
        <w:trPr>
          <w:trHeight w:val="263"/>
        </w:trPr>
        <w:tc>
          <w:tcPr>
            <w:tcW w:w="73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r>
      <w:tr>
        <w:trPr>
          <w:trHeight w:val="256"/>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Severance and employee-related costs</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r>
      <w:tr>
        <w:trPr>
          <w:trHeight w:val="260"/>
        </w:trPr>
        <w:tc>
          <w:tcPr>
            <w:tcW w:w="7320" w:type="dxa"/>
            <w:vAlign w:val="bottom"/>
          </w:tcPr>
          <w:p>
            <w:pPr>
              <w:ind w:left="40"/>
              <w:spacing w:after="0"/>
              <w:rPr>
                <w:sz w:val="20"/>
                <w:szCs w:val="20"/>
                <w:color w:val="auto"/>
              </w:rPr>
            </w:pPr>
            <w:r>
              <w:rPr>
                <w:rFonts w:ascii="Arial" w:cs="Arial" w:eastAsia="Arial" w:hAnsi="Arial"/>
                <w:sz w:val="16"/>
                <w:szCs w:val="16"/>
                <w:color w:val="auto"/>
              </w:rPr>
              <w:t>ROU lease asset impairment charges</w:t>
            </w:r>
          </w:p>
        </w:tc>
        <w:tc>
          <w:tcPr>
            <w:tcW w:w="820" w:type="dxa"/>
            <w:vAlign w:val="bottom"/>
          </w:tcPr>
          <w:p>
            <w:pPr>
              <w:spacing w:after="0"/>
              <w:rPr>
                <w:sz w:val="22"/>
                <w:szCs w:val="22"/>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restructuring costs</w:t>
            </w:r>
          </w:p>
        </w:tc>
        <w:tc>
          <w:tcPr>
            <w:tcW w:w="8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40"/>
        </w:trPr>
        <w:tc>
          <w:tcPr>
            <w:tcW w:w="7320" w:type="dxa"/>
            <w:vAlign w:val="bottom"/>
          </w:tcPr>
          <w:p>
            <w:pPr>
              <w:ind w:left="40"/>
              <w:spacing w:after="0"/>
              <w:rPr>
                <w:sz w:val="20"/>
                <w:szCs w:val="20"/>
                <w:color w:val="auto"/>
              </w:rPr>
            </w:pPr>
            <w:r>
              <w:rPr>
                <w:rFonts w:ascii="Arial" w:cs="Arial" w:eastAsia="Arial" w:hAnsi="Arial"/>
                <w:sz w:val="16"/>
                <w:szCs w:val="16"/>
                <w:color w:val="auto"/>
              </w:rPr>
              <w:t>Total special charges</w:t>
            </w: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6"/>
              </w:rPr>
              <w:t>20.0</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w:t>
            </w:r>
          </w:p>
        </w:tc>
      </w:tr>
      <w:tr>
        <w:trPr>
          <w:trHeight w:val="20"/>
        </w:trPr>
        <w:tc>
          <w:tcPr>
            <w:tcW w:w="7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of August 31, 2020, remaining accruals were $3.0 million and are included in </w:t>
      </w:r>
      <w:r>
        <w:rPr>
          <w:rFonts w:ascii="Arial" w:cs="Arial" w:eastAsia="Arial" w:hAnsi="Arial"/>
          <w:sz w:val="18"/>
          <w:szCs w:val="18"/>
          <w:i w:val="1"/>
          <w:iCs w:val="1"/>
          <w:color w:val="auto"/>
        </w:rPr>
        <w:t>Accrued compensation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accruals related to these programs during the period presented are summarized as follows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Fiscal 2020</w:t>
            </w: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Fiscal 2019</w:t>
            </w: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Fiscal 2018</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8"/>
        </w:trPr>
        <w:tc>
          <w:tcPr>
            <w:tcW w:w="55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Actions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Actions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Actions</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257"/>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August 31, 2019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Severance costs</w:t>
            </w: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9.3</w:t>
            </w:r>
          </w:p>
        </w:tc>
      </w:tr>
      <w:tr>
        <w:trPr>
          <w:trHeight w:val="273"/>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made during the period</w:t>
            </w: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40"/>
        </w:trPr>
        <w:tc>
          <w:tcPr>
            <w:tcW w:w="5520" w:type="dxa"/>
            <w:vAlign w:val="bottom"/>
          </w:tcPr>
          <w:p>
            <w:pPr>
              <w:ind w:left="40"/>
              <w:spacing w:after="0"/>
              <w:rPr>
                <w:sz w:val="20"/>
                <w:szCs w:val="20"/>
                <w:color w:val="auto"/>
              </w:rPr>
            </w:pPr>
            <w:r>
              <w:rPr>
                <w:rFonts w:ascii="Arial" w:cs="Arial" w:eastAsia="Arial" w:hAnsi="Arial"/>
                <w:sz w:val="16"/>
                <w:szCs w:val="16"/>
                <w:color w:val="auto"/>
              </w:rPr>
              <w:t>Balance as of August 31, 2020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20"/>
        </w:trPr>
        <w:tc>
          <w:tcPr>
            <w:tcW w:w="5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0"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Common Stock and Related Matters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Changes in common stock during the periods presented were as follows (amounts and shares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60" w:type="dxa"/>
            <w:vAlign w:val="bottom"/>
          </w:tcPr>
          <w:p>
            <w:pPr>
              <w:spacing w:after="0"/>
              <w:rPr>
                <w:sz w:val="19"/>
                <w:szCs w:val="19"/>
                <w:color w:val="auto"/>
              </w:rPr>
            </w:pPr>
          </w:p>
        </w:tc>
        <w:tc>
          <w:tcPr>
            <w:tcW w:w="268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Common Stock</w:t>
            </w:r>
          </w:p>
        </w:tc>
      </w:tr>
      <w:tr>
        <w:trPr>
          <w:trHeight w:val="263"/>
        </w:trPr>
        <w:tc>
          <w:tcPr>
            <w:tcW w:w="8560" w:type="dxa"/>
            <w:vAlign w:val="bottom"/>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Amount</w:t>
            </w:r>
          </w:p>
        </w:tc>
      </w:tr>
      <w:tr>
        <w:trPr>
          <w:trHeight w:val="260"/>
        </w:trPr>
        <w:tc>
          <w:tcPr>
            <w:tcW w:w="85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39"/>
              <w:spacing w:after="0"/>
              <w:rPr>
                <w:sz w:val="20"/>
                <w:szCs w:val="20"/>
                <w:color w:val="auto"/>
              </w:rPr>
            </w:pPr>
            <w:r>
              <w:rPr>
                <w:rFonts w:ascii="Arial" w:cs="Arial" w:eastAsia="Arial" w:hAnsi="Arial"/>
                <w:sz w:val="16"/>
                <w:szCs w:val="16"/>
                <w:b w:val="1"/>
                <w:bCs w:val="1"/>
                <w:color w:val="auto"/>
              </w:rPr>
              <w:t>(At par)</w:t>
            </w:r>
          </w:p>
        </w:tc>
      </w:tr>
      <w:tr>
        <w:trPr>
          <w:trHeight w:val="280"/>
        </w:trPr>
        <w:tc>
          <w:tcPr>
            <w:tcW w:w="8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August 31, 2017</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53.5</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r>
      <w:tr>
        <w:trPr>
          <w:trHeight w:val="260"/>
        </w:trPr>
        <w:tc>
          <w:tcPr>
            <w:tcW w:w="8560" w:type="dxa"/>
            <w:vAlign w:val="bottom"/>
          </w:tcPr>
          <w:p>
            <w:pPr>
              <w:ind w:left="40"/>
              <w:spacing w:after="0"/>
              <w:rPr>
                <w:sz w:val="20"/>
                <w:szCs w:val="20"/>
                <w:color w:val="auto"/>
              </w:rPr>
            </w:pPr>
            <w:r>
              <w:rPr>
                <w:rFonts w:ascii="Arial" w:cs="Arial" w:eastAsia="Arial" w:hAnsi="Arial"/>
                <w:sz w:val="16"/>
                <w:szCs w:val="16"/>
                <w:color w:val="auto"/>
              </w:rPr>
              <w:t>Issuance of restricted stock grants, net of cancellations</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6"/>
        </w:trPr>
        <w:tc>
          <w:tcPr>
            <w:tcW w:w="8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options exercised</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5"/>
              </w:rPr>
              <w:t>*</w:t>
            </w: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7"/>
        </w:trPr>
        <w:tc>
          <w:tcPr>
            <w:tcW w:w="8560" w:type="dxa"/>
            <w:vAlign w:val="bottom"/>
          </w:tcPr>
          <w:p>
            <w:pPr>
              <w:ind w:left="40"/>
              <w:spacing w:after="0"/>
              <w:rPr>
                <w:sz w:val="20"/>
                <w:szCs w:val="20"/>
                <w:color w:val="auto"/>
              </w:rPr>
            </w:pPr>
            <w:r>
              <w:rPr>
                <w:rFonts w:ascii="Arial" w:cs="Arial" w:eastAsia="Arial" w:hAnsi="Arial"/>
                <w:sz w:val="16"/>
                <w:szCs w:val="16"/>
                <w:color w:val="auto"/>
              </w:rPr>
              <w:t>Balance at August 31, 2018</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53.7</w:t>
            </w: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273"/>
        </w:trPr>
        <w:tc>
          <w:tcPr>
            <w:tcW w:w="8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restricted stock grants, net of cancellations</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7"/>
        </w:trPr>
        <w:tc>
          <w:tcPr>
            <w:tcW w:w="8560" w:type="dxa"/>
            <w:vAlign w:val="bottom"/>
          </w:tcPr>
          <w:p>
            <w:pPr>
              <w:ind w:left="40"/>
              <w:spacing w:after="0"/>
              <w:rPr>
                <w:sz w:val="20"/>
                <w:szCs w:val="20"/>
                <w:color w:val="auto"/>
              </w:rPr>
            </w:pPr>
            <w:r>
              <w:rPr>
                <w:rFonts w:ascii="Arial" w:cs="Arial" w:eastAsia="Arial" w:hAnsi="Arial"/>
                <w:sz w:val="16"/>
                <w:szCs w:val="16"/>
                <w:color w:val="auto"/>
              </w:rPr>
              <w:t>Balance at August 31, 2019</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53.8</w:t>
            </w: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280"/>
        </w:trPr>
        <w:tc>
          <w:tcPr>
            <w:tcW w:w="8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restricted stock grants, net of cancellations</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Stock options exercised</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w w:val="95"/>
              </w:rPr>
              <w:t>*</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8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August 31, 2020</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53.9</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 Represents shares of less than 0.1 million.</w:t>
      </w:r>
    </w:p>
    <w:p>
      <w:pPr>
        <w:spacing w:after="0" w:line="1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August 31, 2020 and 2019, we had 15.0 million and 14.3 million of repurchased shares recorded as treasury stock at an original repurchase cost of $1.23 billion and $1.16 billion, respectively.</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March 2018, the Board authorized the repurchase of up to six million shares of common stock. As of August 31, 2020, 2.1 million shares had been purchased under this authorization, of which 0.7 million were repurchased in fiscal 2020. The maximum number of shares that may yet be purchased under the program as of August 31, 2020 equaled 3.9 million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50 million shares of preferred stock authorized. No shares of preferred stock were issued in fiscal 2020 or 2019, and no shares of preferred stock are outstanding.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earnings per share for the periods presented is computed by dividing net earnings available to common stockholders by the weighted average number of common shares outstanding for these periods. Diluted earnings per share is computed similarly but reflects the potential dilution that would occur if dilutive options were exercised, all unvested share-based payment awards were vested, and other distributions related to deferred stock agreements were incurred.</w:t>
      </w:r>
    </w:p>
    <w:p>
      <w:pPr>
        <w:spacing w:after="0" w:line="10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during the periods presented (in millions, except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August 31,</w:t>
            </w:r>
          </w:p>
        </w:tc>
        <w:tc>
          <w:tcPr>
            <w:tcW w:w="820" w:type="dxa"/>
            <w:vAlign w:val="bottom"/>
            <w:tcBorders>
              <w:bottom w:val="single" w:sz="8" w:color="auto"/>
            </w:tcBorders>
          </w:tcPr>
          <w:p>
            <w:pPr>
              <w:spacing w:after="0"/>
              <w:rPr>
                <w:sz w:val="19"/>
                <w:szCs w:val="19"/>
                <w:color w:val="auto"/>
              </w:rPr>
            </w:pPr>
          </w:p>
        </w:tc>
      </w:tr>
      <w:tr>
        <w:trPr>
          <w:trHeight w:val="264"/>
        </w:trPr>
        <w:tc>
          <w:tcPr>
            <w:tcW w:w="76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r>
      <w:tr>
        <w:trPr>
          <w:trHeight w:val="24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248.3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330.4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349.6</w:t>
            </w: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7"/>
        </w:trPr>
        <w:tc>
          <w:tcPr>
            <w:tcW w:w="7640" w:type="dxa"/>
            <w:vAlign w:val="bottom"/>
          </w:tcPr>
          <w:p>
            <w:pPr>
              <w:ind w:left="40"/>
              <w:spacing w:after="0"/>
              <w:rPr>
                <w:sz w:val="20"/>
                <w:szCs w:val="20"/>
                <w:color w:val="auto"/>
              </w:rPr>
            </w:pPr>
            <w:r>
              <w:rPr>
                <w:rFonts w:ascii="Arial" w:cs="Arial" w:eastAsia="Arial" w:hAnsi="Arial"/>
                <w:sz w:val="16"/>
                <w:szCs w:val="16"/>
                <w:color w:val="auto"/>
              </w:rPr>
              <w:t>Basic weighted average shares outstanding</w:t>
            </w:r>
          </w:p>
        </w:tc>
        <w:tc>
          <w:tcPr>
            <w:tcW w:w="2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40.9</w:t>
            </w:r>
          </w:p>
        </w:tc>
      </w:tr>
      <w:tr>
        <w:trPr>
          <w:trHeight w:val="273"/>
        </w:trPr>
        <w:tc>
          <w:tcPr>
            <w:tcW w:w="7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equivalents</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80"/>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 weighted average shares outstanding</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41.0</w:t>
            </w:r>
          </w:p>
        </w:tc>
      </w:tr>
      <w:tr>
        <w:trPr>
          <w:trHeight w:val="22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8.54</w:t>
            </w: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3"/>
        </w:trPr>
        <w:tc>
          <w:tcPr>
            <w:tcW w:w="764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8.52</w:t>
            </w: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240"/>
          </w:cols>
          <w:pgMar w:left="320" w:top="140" w:right="3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stock options, restricted stock awards, and performance share units that were excluded from the diluted earnings per share calculation for the periods presented as the effect of inclusion would have been antidilutive: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40" w:type="dxa"/>
            <w:vAlign w:val="bottom"/>
          </w:tcPr>
          <w:p>
            <w:pPr>
              <w:spacing w:after="0"/>
              <w:rPr>
                <w:sz w:val="19"/>
                <w:szCs w:val="19"/>
                <w:color w:val="auto"/>
              </w:rPr>
            </w:pPr>
          </w:p>
        </w:tc>
        <w:tc>
          <w:tcPr>
            <w:tcW w:w="2780" w:type="dxa"/>
            <w:vAlign w:val="bottom"/>
            <w:tcBorders>
              <w:bottom w:val="single" w:sz="8" w:color="auto"/>
            </w:tcBorders>
            <w:gridSpan w:val="5"/>
          </w:tcPr>
          <w:p>
            <w:pPr>
              <w:ind w:left="940"/>
              <w:spacing w:after="0"/>
              <w:rPr>
                <w:sz w:val="20"/>
                <w:szCs w:val="20"/>
                <w:color w:val="auto"/>
              </w:rPr>
            </w:pPr>
            <w:r>
              <w:rPr>
                <w:rFonts w:ascii="Arial" w:cs="Arial" w:eastAsia="Arial" w:hAnsi="Arial"/>
                <w:sz w:val="16"/>
                <w:szCs w:val="16"/>
                <w:b w:val="1"/>
                <w:bCs w:val="1"/>
                <w:color w:val="auto"/>
              </w:rPr>
              <w:t>Year Ended August 31,</w:t>
            </w:r>
          </w:p>
        </w:tc>
        <w:tc>
          <w:tcPr>
            <w:tcW w:w="820" w:type="dxa"/>
            <w:vAlign w:val="bottom"/>
            <w:tcBorders>
              <w:bottom w:val="single" w:sz="8" w:color="auto"/>
            </w:tcBorders>
          </w:tcPr>
          <w:p>
            <w:pPr>
              <w:spacing w:after="0"/>
              <w:rPr>
                <w:sz w:val="19"/>
                <w:szCs w:val="19"/>
                <w:color w:val="auto"/>
              </w:rPr>
            </w:pPr>
          </w:p>
        </w:tc>
      </w:tr>
      <w:tr>
        <w:trPr>
          <w:trHeight w:val="263"/>
        </w:trPr>
        <w:tc>
          <w:tcPr>
            <w:tcW w:w="76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r>
      <w:tr>
        <w:trPr>
          <w:trHeight w:val="257"/>
        </w:trPr>
        <w:tc>
          <w:tcPr>
            <w:tcW w:w="7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598,000</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300,000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179,000</w:t>
            </w:r>
          </w:p>
        </w:tc>
      </w:tr>
      <w:tr>
        <w:trPr>
          <w:trHeight w:val="260"/>
        </w:trPr>
        <w:tc>
          <w:tcPr>
            <w:tcW w:w="7640" w:type="dxa"/>
            <w:vAlign w:val="bottom"/>
          </w:tcPr>
          <w:p>
            <w:pPr>
              <w:ind w:left="40"/>
              <w:spacing w:after="0"/>
              <w:rPr>
                <w:sz w:val="20"/>
                <w:szCs w:val="20"/>
                <w:color w:val="auto"/>
              </w:rPr>
            </w:pPr>
            <w:r>
              <w:rPr>
                <w:rFonts w:ascii="Arial" w:cs="Arial" w:eastAsia="Arial" w:hAnsi="Arial"/>
                <w:sz w:val="16"/>
                <w:szCs w:val="16"/>
                <w:color w:val="auto"/>
              </w:rPr>
              <w:t>Restricted stock awards</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213,000</w:t>
            </w:r>
          </w:p>
        </w:tc>
        <w:tc>
          <w:tcPr>
            <w:tcW w:w="12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160,000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227,000</w:t>
            </w:r>
          </w:p>
        </w:tc>
      </w:tr>
      <w:tr>
        <w:trPr>
          <w:trHeight w:val="280"/>
        </w:trPr>
        <w:tc>
          <w:tcPr>
            <w:tcW w:w="7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Performance stock units *</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640" w:type="dxa"/>
            <w:vAlign w:val="bottom"/>
          </w:tcPr>
          <w:p>
            <w:pPr>
              <w:jc w:val="right"/>
              <w:ind w:right="4857"/>
              <w:spacing w:after="0"/>
              <w:rPr>
                <w:sz w:val="20"/>
                <w:szCs w:val="20"/>
                <w:color w:val="auto"/>
              </w:rPr>
            </w:pPr>
            <w:r>
              <w:rPr>
                <w:rFonts w:ascii="Arial" w:cs="Arial" w:eastAsia="Arial" w:hAnsi="Arial"/>
                <w:sz w:val="18"/>
                <w:szCs w:val="18"/>
                <w:color w:val="auto"/>
                <w:w w:val="99"/>
              </w:rPr>
              <w:t>___________________________</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 Represents shares of less than 1,000 in fiscal 2020. No performance stock units awards were outstanding in fiscal 2019 or fiscal 2018.</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We account for income taxes using the asset and liability approach as prescribed by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This approach requires the recognition of deferred tax assets and liabilities for the expected future tax consequences of events that have been included in the financial statements or tax returns. Using the enacted tax rates in effect for the year in which the differences are expected to reverse, deferred tax liabilities and assets are determined based on the differences between the financial reporting and the tax basis of an asset or liability.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components during the periods presented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August 31,</w:t>
            </w:r>
          </w:p>
        </w:tc>
        <w:tc>
          <w:tcPr>
            <w:tcW w:w="1040" w:type="dxa"/>
            <w:vAlign w:val="bottom"/>
            <w:tcBorders>
              <w:bottom w:val="single" w:sz="8" w:color="auto"/>
            </w:tcBorders>
          </w:tcPr>
          <w:p>
            <w:pPr>
              <w:spacing w:after="0"/>
              <w:rPr>
                <w:sz w:val="19"/>
                <w:szCs w:val="19"/>
                <w:color w:val="auto"/>
              </w:rPr>
            </w:pPr>
          </w:p>
        </w:tc>
      </w:tr>
      <w:tr>
        <w:trPr>
          <w:trHeight w:val="263"/>
        </w:trPr>
        <w:tc>
          <w:tcPr>
            <w:tcW w:w="698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257"/>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current federal taxes</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88.9</w:t>
            </w:r>
          </w:p>
        </w:tc>
      </w:tr>
      <w:tr>
        <w:trPr>
          <w:trHeight w:val="260"/>
        </w:trPr>
        <w:tc>
          <w:tcPr>
            <w:tcW w:w="6980" w:type="dxa"/>
            <w:vAlign w:val="bottom"/>
          </w:tcPr>
          <w:p>
            <w:pPr>
              <w:ind w:left="40"/>
              <w:spacing w:after="0"/>
              <w:rPr>
                <w:sz w:val="20"/>
                <w:szCs w:val="20"/>
                <w:color w:val="auto"/>
              </w:rPr>
            </w:pPr>
            <w:r>
              <w:rPr>
                <w:rFonts w:ascii="Arial" w:cs="Arial" w:eastAsia="Arial" w:hAnsi="Arial"/>
                <w:sz w:val="16"/>
                <w:szCs w:val="16"/>
                <w:color w:val="auto"/>
              </w:rPr>
              <w:t>Provision for current state taxes</w:t>
            </w:r>
          </w:p>
        </w:tc>
        <w:tc>
          <w:tcPr>
            <w:tcW w:w="8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16.4</w:t>
            </w:r>
          </w:p>
        </w:tc>
      </w:tr>
      <w:tr>
        <w:trPr>
          <w:trHeight w:val="28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current foreign taxes</w:t>
            </w:r>
          </w:p>
        </w:tc>
        <w:tc>
          <w:tcPr>
            <w:tcW w:w="88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r>
      <w:tr>
        <w:trPr>
          <w:trHeight w:val="263"/>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(Benefit) provision for deferred taxes</w:t>
            </w:r>
          </w:p>
        </w:tc>
        <w:tc>
          <w:tcPr>
            <w:tcW w:w="8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r>
      <w:tr>
        <w:trPr>
          <w:trHeight w:val="24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provision for income taxes</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reconciles the provision at the federal statutory rate to the total provision for income taxes during the periods presented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August 31,</w:t>
            </w:r>
          </w:p>
        </w:tc>
        <w:tc>
          <w:tcPr>
            <w:tcW w:w="1040" w:type="dxa"/>
            <w:vAlign w:val="bottom"/>
            <w:tcBorders>
              <w:bottom w:val="single" w:sz="8" w:color="auto"/>
            </w:tcBorders>
          </w:tcPr>
          <w:p>
            <w:pPr>
              <w:spacing w:after="0"/>
              <w:rPr>
                <w:sz w:val="19"/>
                <w:szCs w:val="19"/>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256"/>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Federal income tax computed at statutory rate</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109.4</w:t>
            </w:r>
          </w:p>
        </w:tc>
      </w:tr>
      <w:tr>
        <w:trPr>
          <w:trHeight w:val="260"/>
        </w:trPr>
        <w:tc>
          <w:tcPr>
            <w:tcW w:w="6980" w:type="dxa"/>
            <w:vAlign w:val="bottom"/>
          </w:tcPr>
          <w:p>
            <w:pPr>
              <w:ind w:left="40"/>
              <w:spacing w:after="0"/>
              <w:rPr>
                <w:sz w:val="20"/>
                <w:szCs w:val="20"/>
                <w:color w:val="auto"/>
              </w:rPr>
            </w:pPr>
            <w:r>
              <w:rPr>
                <w:rFonts w:ascii="Arial" w:cs="Arial" w:eastAsia="Arial" w:hAnsi="Arial"/>
                <w:sz w:val="16"/>
                <w:szCs w:val="16"/>
                <w:color w:val="auto"/>
              </w:rPr>
              <w:t>State income tax, net of federal income tax benefit</w:t>
            </w:r>
          </w:p>
        </w:tc>
        <w:tc>
          <w:tcPr>
            <w:tcW w:w="8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11.5</w:t>
            </w:r>
          </w:p>
        </w:tc>
      </w:tr>
      <w:tr>
        <w:trPr>
          <w:trHeight w:val="28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permanent differences and rate differential</w:t>
            </w:r>
          </w:p>
        </w:tc>
        <w:tc>
          <w:tcPr>
            <w:tcW w:w="88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60"/>
        </w:trPr>
        <w:tc>
          <w:tcPr>
            <w:tcW w:w="6980" w:type="dxa"/>
            <w:vAlign w:val="bottom"/>
          </w:tcPr>
          <w:p>
            <w:pPr>
              <w:ind w:left="40"/>
              <w:spacing w:after="0"/>
              <w:rPr>
                <w:sz w:val="20"/>
                <w:szCs w:val="20"/>
                <w:color w:val="auto"/>
              </w:rPr>
            </w:pPr>
            <w:r>
              <w:rPr>
                <w:rFonts w:ascii="Arial" w:cs="Arial" w:eastAsia="Arial" w:hAnsi="Arial"/>
                <w:sz w:val="16"/>
                <w:szCs w:val="16"/>
                <w:color w:val="auto"/>
              </w:rPr>
              <w:t>Discrete income tax benefits of the TCJA</w:t>
            </w:r>
          </w:p>
        </w:tc>
        <w:tc>
          <w:tcPr>
            <w:tcW w:w="8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(34.6)</w:t>
            </w:r>
          </w:p>
        </w:tc>
      </w:tr>
      <w:tr>
        <w:trPr>
          <w:trHeight w:val="28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 tax credits</w:t>
            </w:r>
          </w:p>
        </w:tc>
        <w:tc>
          <w:tcPr>
            <w:tcW w:w="8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60"/>
        </w:trPr>
        <w:tc>
          <w:tcPr>
            <w:tcW w:w="6980" w:type="dxa"/>
            <w:vAlign w:val="bottom"/>
          </w:tcPr>
          <w:p>
            <w:pPr>
              <w:ind w:left="40"/>
              <w:spacing w:after="0"/>
              <w:rPr>
                <w:sz w:val="20"/>
                <w:szCs w:val="20"/>
                <w:color w:val="auto"/>
              </w:rPr>
            </w:pPr>
            <w:r>
              <w:rPr>
                <w:rFonts w:ascii="Arial" w:cs="Arial" w:eastAsia="Arial" w:hAnsi="Arial"/>
                <w:sz w:val="16"/>
                <w:szCs w:val="16"/>
                <w:color w:val="auto"/>
              </w:rPr>
              <w:t>Unrecognized tax benefits</w:t>
            </w:r>
          </w:p>
        </w:tc>
        <w:tc>
          <w:tcPr>
            <w:tcW w:w="8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27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88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40"/>
        </w:trPr>
        <w:tc>
          <w:tcPr>
            <w:tcW w:w="6980" w:type="dxa"/>
            <w:vAlign w:val="bottom"/>
          </w:tcPr>
          <w:p>
            <w:pPr>
              <w:ind w:left="40"/>
              <w:spacing w:after="0"/>
              <w:rPr>
                <w:sz w:val="20"/>
                <w:szCs w:val="20"/>
                <w:color w:val="auto"/>
              </w:rPr>
            </w:pPr>
            <w:r>
              <w:rPr>
                <w:rFonts w:ascii="Arial" w:cs="Arial" w:eastAsia="Arial" w:hAnsi="Arial"/>
                <w:sz w:val="16"/>
                <w:szCs w:val="16"/>
                <w:color w:val="auto"/>
              </w:rPr>
              <w:t>Total provision for income taxes</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76.4</w:t>
            </w:r>
          </w:p>
        </w:tc>
        <w:tc>
          <w:tcPr>
            <w:tcW w:w="5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76.3</w:t>
            </w:r>
          </w:p>
        </w:tc>
      </w:tr>
      <w:tr>
        <w:trPr>
          <w:trHeight w:val="20"/>
        </w:trPr>
        <w:tc>
          <w:tcPr>
            <w:tcW w:w="69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0"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net deferred income tax liabilities as of the dates presented include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9"/>
                <w:szCs w:val="19"/>
                <w:color w:val="auto"/>
              </w:rPr>
            </w:pPr>
          </w:p>
        </w:tc>
      </w:tr>
      <w:tr>
        <w:trPr>
          <w:trHeight w:val="263"/>
        </w:trPr>
        <w:tc>
          <w:tcPr>
            <w:tcW w:w="8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257"/>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Deferred income tax liabilities:</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60"/>
        </w:trPr>
        <w:tc>
          <w:tcPr>
            <w:tcW w:w="844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2"/>
                <w:szCs w:val="22"/>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80"/>
        </w:trPr>
        <w:tc>
          <w:tcPr>
            <w:tcW w:w="8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Goodwill and intangibles</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w:t>
            </w:r>
          </w:p>
        </w:tc>
      </w:tr>
      <w:tr>
        <w:trPr>
          <w:trHeight w:val="260"/>
        </w:trPr>
        <w:tc>
          <w:tcPr>
            <w:tcW w:w="8440" w:type="dxa"/>
            <w:vAlign w:val="bottom"/>
          </w:tcPr>
          <w:p>
            <w:pPr>
              <w:ind w:left="180"/>
              <w:spacing w:after="0"/>
              <w:rPr>
                <w:sz w:val="20"/>
                <w:szCs w:val="20"/>
                <w:color w:val="auto"/>
              </w:rPr>
            </w:pPr>
            <w:r>
              <w:rPr>
                <w:rFonts w:ascii="Arial" w:cs="Arial" w:eastAsia="Arial" w:hAnsi="Arial"/>
                <w:sz w:val="16"/>
                <w:szCs w:val="16"/>
                <w:color w:val="auto"/>
              </w:rPr>
              <w:t>Operating lease right of use asset</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8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47"/>
        </w:trPr>
        <w:tc>
          <w:tcPr>
            <w:tcW w:w="8440" w:type="dxa"/>
            <w:vAlign w:val="bottom"/>
          </w:tcPr>
          <w:p>
            <w:pPr>
              <w:ind w:left="280"/>
              <w:spacing w:after="0"/>
              <w:rPr>
                <w:sz w:val="20"/>
                <w:szCs w:val="20"/>
                <w:color w:val="auto"/>
              </w:rPr>
            </w:pPr>
            <w:r>
              <w:rPr>
                <w:rFonts w:ascii="Arial" w:cs="Arial" w:eastAsia="Arial" w:hAnsi="Arial"/>
                <w:sz w:val="16"/>
                <w:szCs w:val="16"/>
                <w:color w:val="auto"/>
              </w:rPr>
              <w:t>Total deferred income tax liabilities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(174.4)</w:t>
            </w:r>
          </w:p>
        </w:tc>
      </w:tr>
      <w:tr>
        <w:trPr>
          <w:trHeight w:val="280"/>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Deferred income tax assets:</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0"/>
        </w:trPr>
        <w:tc>
          <w:tcPr>
            <w:tcW w:w="8440" w:type="dxa"/>
            <w:vAlign w:val="bottom"/>
          </w:tcPr>
          <w:p>
            <w:pPr>
              <w:ind w:left="180"/>
              <w:spacing w:after="0"/>
              <w:rPr>
                <w:sz w:val="20"/>
                <w:szCs w:val="20"/>
                <w:color w:val="auto"/>
              </w:rPr>
            </w:pPr>
            <w:r>
              <w:rPr>
                <w:rFonts w:ascii="Arial" w:cs="Arial" w:eastAsia="Arial" w:hAnsi="Arial"/>
                <w:sz w:val="16"/>
                <w:szCs w:val="16"/>
                <w:color w:val="auto"/>
              </w:rPr>
              <w:t>Self-insurance</w:t>
            </w: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280"/>
        </w:trPr>
        <w:tc>
          <w:tcPr>
            <w:tcW w:w="8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Pension</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r>
      <w:tr>
        <w:trPr>
          <w:trHeight w:val="260"/>
        </w:trPr>
        <w:tc>
          <w:tcPr>
            <w:tcW w:w="8440" w:type="dxa"/>
            <w:vAlign w:val="bottom"/>
          </w:tcPr>
          <w:p>
            <w:pPr>
              <w:ind w:left="180"/>
              <w:spacing w:after="0"/>
              <w:rPr>
                <w:sz w:val="20"/>
                <w:szCs w:val="20"/>
                <w:color w:val="auto"/>
              </w:rPr>
            </w:pPr>
            <w:r>
              <w:rPr>
                <w:rFonts w:ascii="Arial" w:cs="Arial" w:eastAsia="Arial" w:hAnsi="Arial"/>
                <w:sz w:val="16"/>
                <w:szCs w:val="16"/>
                <w:color w:val="auto"/>
              </w:rPr>
              <w:t>Deferred compensation</w:t>
            </w: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20.5</w:t>
            </w:r>
          </w:p>
        </w:tc>
      </w:tr>
      <w:tr>
        <w:trPr>
          <w:trHeight w:val="280"/>
        </w:trPr>
        <w:tc>
          <w:tcPr>
            <w:tcW w:w="8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operating losses</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r>
      <w:tr>
        <w:trPr>
          <w:trHeight w:val="260"/>
        </w:trPr>
        <w:tc>
          <w:tcPr>
            <w:tcW w:w="8440" w:type="dxa"/>
            <w:vAlign w:val="bottom"/>
          </w:tcPr>
          <w:p>
            <w:pPr>
              <w:ind w:left="180"/>
              <w:spacing w:after="0"/>
              <w:rPr>
                <w:sz w:val="20"/>
                <w:szCs w:val="20"/>
                <w:color w:val="auto"/>
              </w:rPr>
            </w:pPr>
            <w:r>
              <w:rPr>
                <w:rFonts w:ascii="Arial" w:cs="Arial" w:eastAsia="Arial" w:hAnsi="Arial"/>
                <w:sz w:val="16"/>
                <w:szCs w:val="16"/>
                <w:color w:val="auto"/>
              </w:rPr>
              <w:t>Other accruals not yet deductible</w:t>
            </w: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26.9</w:t>
            </w:r>
          </w:p>
        </w:tc>
      </w:tr>
      <w:tr>
        <w:trPr>
          <w:trHeight w:val="280"/>
        </w:trPr>
        <w:tc>
          <w:tcPr>
            <w:tcW w:w="8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 liabilities</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3"/>
        </w:trPr>
        <w:tc>
          <w:tcPr>
            <w:tcW w:w="84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w:t>
            </w:r>
          </w:p>
        </w:tc>
      </w:tr>
      <w:tr>
        <w:trPr>
          <w:trHeight w:val="257"/>
        </w:trPr>
        <w:tc>
          <w:tcPr>
            <w:tcW w:w="8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deferred income tax assets</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88.6</w:t>
            </w:r>
          </w:p>
        </w:tc>
      </w:tr>
      <w:tr>
        <w:trPr>
          <w:trHeight w:val="263"/>
        </w:trPr>
        <w:tc>
          <w:tcPr>
            <w:tcW w:w="84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Valuation allowance</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4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deferred income tax liabilities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August 31, 2020 and 2019, the estimated undistributed earnings from foreign subsidiaries was $144.9 million. We have recorded a deferred income tax liability of $2.9 million for certain foreign withholding taxes and U.S. state taxes related to foreign earnings for which we do not assert indefinite reinvestment. With respect to unremitted earnings and original investments in foreign subsidiaries where we are continuing to assert indefinite reinvestment, any future remittances could be subject to additional foreign withholding taxes, U.S. state taxes, and certain tax impacts relating to foreign currency exchange effects. It is not practicable to estimate the amount of any unrecognized tax effects on these reinvested earnings and original investments in foreign subsidiaries.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On December 22, 2017, the President of the United States signed into law the Tax Cuts and Jobs Act (“TCJA”). The TCJA included changes that took effect during fiscal 2019 including, but not limited to, additional limitations on certain executive compensation, limitations on interest deductions, a new U.S. tax on certain offshore earnings referred to as Global Intangible Low-Taxed Income (“GILTI”), a new alternative U.S. tax on certain Base Erosion Anti-Avoidance (“BEAT”) payments from a U.S. company to any foreign related party, a new deduction for Foreign Derived Intangible Income (“FDII”), and the repeal of the Section 199 domestic production activities deduction. Our U.S. federal corporate tax rate was 21.0% for fiscal 2019. During fiscal 2018, we recorded a provisional discrete tax benefit of $34.6 million within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 expense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following the enactment of the TCJA. During fiscal 2019, we</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an additional tax benefit of $2.2 million related to TCJA impacts including, but not limited to, our one-time transition tax, deferred income taxes, and executive compensation. The total tax benefit related to the enactment of the TCJA was $ 36.8 million, which included a benefit of $32.5 million to decrease our deferred income taxes to the revised statutory federal rate as well as a current estimated benefit of approximately $4.3 million for the transition tax on unremitted foreign earnings.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elected to account for the tax on GILTI as a period cost and, therefore, do not record deferred taxes related to GILTI on our foreign subsidiaries.</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August 31, 2020, we had state tax credit carryforwards of approximately $1.6 million, which will expire beginning in 2021. At August 31, 2020, we had federal net operating loss carryforwards of $32.0 million that expire beginning in 2029, state net operating loss carryforwards of $21.2 million that began expiring in 2021, and foreign net operating loss carryforwards of $2.9 million that expire beginning in 2026.</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gross amount of unrecognized tax benefits as of August 31, 2020 and 2019 totaled $17.2 million and $16.6 million, respectively, which includes $16.7 million and $15.9 million, respectively, of net unrecognized tax benefits that, if recognized, would affect the annual effective tax rate. We recognize potential interest and penalties related to</w:t>
      </w:r>
    </w:p>
    <w:p>
      <w:pPr>
        <w:sectPr>
          <w:pgSz w:w="11900" w:h="16838" w:orient="portrait"/>
          <w:cols w:equalWidth="0" w:num="1">
            <w:col w:w="11240"/>
          </w:cols>
          <w:pgMar w:left="320" w:top="140" w:right="339"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240"/>
          </w:cols>
          <w:pgMar w:left="320" w:top="140" w:right="3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unrecognized tax benefits as a component of income tax expense; such accrued interest and penalties are not material. With few exceptions, we are no longer subject to United States federal, state, and local income tax examinations for years ended before 2015 or for foreign income tax examinations before 2014. We do not anticipate unrecognized tax benefits will significantly increase or decrease within the next twelve months.</w:t>
      </w:r>
    </w:p>
    <w:p>
      <w:pPr>
        <w:spacing w:after="0" w:line="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following table reconciles the change in the unrecognized income tax benefit (reported 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Balance Sheets</w:t>
      </w:r>
      <w:r>
        <w:rPr>
          <w:rFonts w:ascii="Arial" w:cs="Arial" w:eastAsia="Arial" w:hAnsi="Arial"/>
          <w:sz w:val="18"/>
          <w:szCs w:val="18"/>
          <w:color w:val="auto"/>
        </w:rPr>
        <w:t>) during the periods presented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40" w:type="dxa"/>
            <w:vAlign w:val="bottom"/>
          </w:tcPr>
          <w:p>
            <w:pPr>
              <w:spacing w:after="0"/>
              <w:rPr>
                <w:sz w:val="19"/>
                <w:szCs w:val="19"/>
                <w:color w:val="auto"/>
              </w:rPr>
            </w:pPr>
          </w:p>
        </w:tc>
        <w:tc>
          <w:tcPr>
            <w:tcW w:w="23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August 31,</w:t>
            </w:r>
          </w:p>
        </w:tc>
        <w:tc>
          <w:tcPr>
            <w:tcW w:w="460" w:type="dxa"/>
            <w:vAlign w:val="bottom"/>
            <w:tcBorders>
              <w:bottom w:val="single" w:sz="8" w:color="auto"/>
            </w:tcBorders>
          </w:tcPr>
          <w:p>
            <w:pPr>
              <w:spacing w:after="0"/>
              <w:rPr>
                <w:sz w:val="19"/>
                <w:szCs w:val="19"/>
                <w:color w:val="auto"/>
              </w:rPr>
            </w:pPr>
          </w:p>
        </w:tc>
      </w:tr>
      <w:tr>
        <w:trPr>
          <w:trHeight w:val="263"/>
        </w:trPr>
        <w:tc>
          <w:tcPr>
            <w:tcW w:w="84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22"/>
                <w:szCs w:val="22"/>
                <w:color w:val="auto"/>
              </w:rPr>
            </w:pPr>
          </w:p>
        </w:tc>
      </w:tr>
      <w:tr>
        <w:trPr>
          <w:trHeight w:val="257"/>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Unrecognized tax benefits balance at beginning of year</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60"/>
        </w:trPr>
        <w:tc>
          <w:tcPr>
            <w:tcW w:w="8440" w:type="dxa"/>
            <w:vAlign w:val="bottom"/>
          </w:tcPr>
          <w:p>
            <w:pPr>
              <w:ind w:left="40"/>
              <w:spacing w:after="0"/>
              <w:rPr>
                <w:sz w:val="20"/>
                <w:szCs w:val="20"/>
                <w:color w:val="auto"/>
              </w:rPr>
            </w:pPr>
            <w:r>
              <w:rPr>
                <w:rFonts w:ascii="Arial" w:cs="Arial" w:eastAsia="Arial" w:hAnsi="Arial"/>
                <w:sz w:val="16"/>
                <w:szCs w:val="16"/>
                <w:color w:val="auto"/>
              </w:rPr>
              <w:t>Additions based on tax positions related to the current year</w:t>
            </w:r>
          </w:p>
        </w:tc>
        <w:tc>
          <w:tcPr>
            <w:tcW w:w="880" w:type="dxa"/>
            <w:vAlign w:val="bottom"/>
          </w:tcPr>
          <w:p>
            <w:pPr>
              <w:spacing w:after="0"/>
              <w:rPr>
                <w:sz w:val="22"/>
                <w:szCs w:val="22"/>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280"/>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Additions for tax positions of prior years</w:t>
            </w:r>
          </w:p>
        </w:tc>
        <w:tc>
          <w:tcPr>
            <w:tcW w:w="88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r>
      <w:tr>
        <w:trPr>
          <w:trHeight w:val="260"/>
        </w:trPr>
        <w:tc>
          <w:tcPr>
            <w:tcW w:w="8440" w:type="dxa"/>
            <w:vAlign w:val="bottom"/>
          </w:tcPr>
          <w:p>
            <w:pPr>
              <w:ind w:left="40"/>
              <w:spacing w:after="0"/>
              <w:rPr>
                <w:sz w:val="20"/>
                <w:szCs w:val="20"/>
                <w:color w:val="auto"/>
              </w:rPr>
            </w:pPr>
            <w:r>
              <w:rPr>
                <w:rFonts w:ascii="Arial" w:cs="Arial" w:eastAsia="Arial" w:hAnsi="Arial"/>
                <w:sz w:val="16"/>
                <w:szCs w:val="16"/>
                <w:color w:val="auto"/>
              </w:rPr>
              <w:t>Reductions for tax positions of prior years</w:t>
            </w:r>
          </w:p>
        </w:tc>
        <w:tc>
          <w:tcPr>
            <w:tcW w:w="8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Reductions due to settlements</w:t>
            </w:r>
          </w:p>
        </w:tc>
        <w:tc>
          <w:tcPr>
            <w:tcW w:w="8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3"/>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Reductions due to lapse of statute of limitations</w:t>
            </w:r>
          </w:p>
        </w:tc>
        <w:tc>
          <w:tcPr>
            <w:tcW w:w="8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r>
      <w:tr>
        <w:trPr>
          <w:trHeight w:val="24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balance at end of year</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r>
      <w:tr>
        <w:trPr>
          <w:trHeight w:val="20"/>
        </w:trPr>
        <w:tc>
          <w:tcPr>
            <w:tcW w:w="8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Total accrued interest was $1.7 million and $1.0 million as of August 31, 2020 and 2019, respectively. There were no accruals related to income tax penalties during fiscal 2020. Interest, net of tax benefits, and penalties are included in </w:t>
      </w:r>
      <w:r>
        <w:rPr>
          <w:rFonts w:ascii="Arial" w:cs="Arial" w:eastAsia="Arial" w:hAnsi="Arial"/>
          <w:sz w:val="18"/>
          <w:szCs w:val="18"/>
          <w:i w:val="1"/>
          <w:iCs w:val="1"/>
          <w:color w:val="auto"/>
        </w:rPr>
        <w:t>Income tax expense</w:t>
      </w:r>
      <w:r>
        <w:rPr>
          <w:rFonts w:ascii="Arial" w:cs="Arial" w:eastAsia="Arial" w:hAnsi="Arial"/>
          <w:sz w:val="18"/>
          <w:szCs w:val="18"/>
          <w:color w:val="auto"/>
        </w:rPr>
        <w:t xml:space="preserve"> within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The classification of interest and penalties did not change during the current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We are currently under an IRS audit for fiscal years 2017, 2016, and 2015. We do not believe this audit will result in adjustments that would materially change our uncertain tax positions.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0"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Supplemental Disaggregated Information</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one reportable segment. Sales of lighting and building technology solutions, excluding services, accounted for approximately 99% of total consolidated net sales in fiscal 2020, 2019, and 2018. Our geographic distribution of net sales, operating profit, income before provision for income taxes, and long-lived assets is summarized in the following table during and as of the periods presented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w w:val="99"/>
              </w:rPr>
              <w:t>Year Ended August 31,</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9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180"/>
              <w:spacing w:after="0"/>
              <w:rPr>
                <w:sz w:val="20"/>
                <w:szCs w:val="20"/>
                <w:color w:val="auto"/>
              </w:rPr>
            </w:pPr>
            <w:r>
              <w:rPr>
                <w:rFonts w:ascii="Arial" w:cs="Arial" w:eastAsia="Arial" w:hAnsi="Arial"/>
                <w:sz w:val="16"/>
                <w:szCs w:val="16"/>
                <w:color w:val="auto"/>
              </w:rPr>
              <w:t>Domestic</w:t>
            </w:r>
            <w:r>
              <w:rPr>
                <w:rFonts w:ascii="Arial" w:cs="Arial" w:eastAsia="Arial" w:hAnsi="Arial"/>
                <w:sz w:val="21"/>
                <w:szCs w:val="21"/>
                <w:color w:val="auto"/>
                <w:vertAlign w:val="superscript"/>
              </w:rPr>
              <w:t>(2)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2,925.0</w:t>
            </w:r>
          </w:p>
        </w:tc>
        <w:tc>
          <w:tcPr>
            <w:tcW w:w="5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3,277.4</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3,292.6</w:t>
            </w:r>
          </w:p>
        </w:tc>
        <w:tc>
          <w:tcPr>
            <w:tcW w:w="0" w:type="dxa"/>
            <w:vAlign w:val="bottom"/>
          </w:tcPr>
          <w:p>
            <w:pPr>
              <w:spacing w:after="0"/>
              <w:rPr>
                <w:sz w:val="1"/>
                <w:szCs w:val="1"/>
                <w:color w:val="auto"/>
              </w:rPr>
            </w:pPr>
          </w:p>
        </w:tc>
      </w:tr>
      <w:tr>
        <w:trPr>
          <w:trHeight w:val="263"/>
        </w:trPr>
        <w:tc>
          <w:tcPr>
            <w:tcW w:w="6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401.3</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395.3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387.5</w:t>
            </w:r>
          </w:p>
        </w:tc>
        <w:tc>
          <w:tcPr>
            <w:tcW w:w="0" w:type="dxa"/>
            <w:vAlign w:val="bottom"/>
          </w:tcPr>
          <w:p>
            <w:pPr>
              <w:spacing w:after="0"/>
              <w:rPr>
                <w:sz w:val="1"/>
                <w:szCs w:val="1"/>
                <w:color w:val="auto"/>
              </w:rPr>
            </w:pPr>
          </w:p>
        </w:tc>
      </w:tr>
      <w:tr>
        <w:trPr>
          <w:trHeight w:val="280"/>
        </w:trPr>
        <w:tc>
          <w:tcPr>
            <w:tcW w:w="6980" w:type="dxa"/>
            <w:vAlign w:val="bottom"/>
          </w:tcPr>
          <w:p>
            <w:pPr>
              <w:ind w:left="28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3,326.3</w:t>
            </w:r>
          </w:p>
        </w:tc>
        <w:tc>
          <w:tcPr>
            <w:tcW w:w="5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3,672.7</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3,680.1</w:t>
            </w:r>
          </w:p>
        </w:tc>
        <w:tc>
          <w:tcPr>
            <w:tcW w:w="0" w:type="dxa"/>
            <w:vAlign w:val="bottom"/>
          </w:tcPr>
          <w:p>
            <w:pPr>
              <w:spacing w:after="0"/>
              <w:rPr>
                <w:sz w:val="1"/>
                <w:szCs w:val="1"/>
                <w:color w:val="auto"/>
              </w:rPr>
            </w:pPr>
          </w:p>
        </w:tc>
      </w:tr>
      <w:tr>
        <w:trPr>
          <w:trHeight w:val="253"/>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profit:</w:t>
            </w:r>
          </w:p>
        </w:tc>
        <w:tc>
          <w:tcPr>
            <w:tcW w:w="3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180"/>
              <w:spacing w:after="0"/>
              <w:rPr>
                <w:sz w:val="20"/>
                <w:szCs w:val="20"/>
                <w:color w:val="auto"/>
              </w:rPr>
            </w:pPr>
            <w:r>
              <w:rPr>
                <w:rFonts w:ascii="Arial" w:cs="Arial" w:eastAsia="Arial" w:hAnsi="Arial"/>
                <w:sz w:val="16"/>
                <w:szCs w:val="16"/>
                <w:color w:val="auto"/>
              </w:rPr>
              <w:t>Domestic</w:t>
            </w:r>
            <w:r>
              <w:rPr>
                <w:rFonts w:ascii="Arial" w:cs="Arial" w:eastAsia="Arial" w:hAnsi="Arial"/>
                <w:sz w:val="21"/>
                <w:szCs w:val="21"/>
                <w:color w:val="auto"/>
                <w:vertAlign w:val="superscript"/>
              </w:rPr>
              <w:t>(2)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300.6</w:t>
            </w:r>
          </w:p>
        </w:tc>
        <w:tc>
          <w:tcPr>
            <w:tcW w:w="5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419.3</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419.0</w:t>
            </w:r>
          </w:p>
        </w:tc>
        <w:tc>
          <w:tcPr>
            <w:tcW w:w="0" w:type="dxa"/>
            <w:vAlign w:val="bottom"/>
          </w:tcPr>
          <w:p>
            <w:pPr>
              <w:spacing w:after="0"/>
              <w:rPr>
                <w:sz w:val="1"/>
                <w:szCs w:val="1"/>
                <w:color w:val="auto"/>
              </w:rPr>
            </w:pPr>
          </w:p>
        </w:tc>
      </w:tr>
      <w:tr>
        <w:trPr>
          <w:trHeight w:val="264"/>
        </w:trPr>
        <w:tc>
          <w:tcPr>
            <w:tcW w:w="6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80"/>
        </w:trPr>
        <w:tc>
          <w:tcPr>
            <w:tcW w:w="6980" w:type="dxa"/>
            <w:vAlign w:val="bottom"/>
          </w:tcPr>
          <w:p>
            <w:pPr>
              <w:ind w:left="28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353.9</w:t>
            </w:r>
          </w:p>
        </w:tc>
        <w:tc>
          <w:tcPr>
            <w:tcW w:w="5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462.9</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460.8</w:t>
            </w:r>
          </w:p>
        </w:tc>
        <w:tc>
          <w:tcPr>
            <w:tcW w:w="0" w:type="dxa"/>
            <w:vAlign w:val="bottom"/>
          </w:tcPr>
          <w:p>
            <w:pPr>
              <w:spacing w:after="0"/>
              <w:rPr>
                <w:sz w:val="1"/>
                <w:szCs w:val="1"/>
                <w:color w:val="auto"/>
              </w:rPr>
            </w:pPr>
          </w:p>
        </w:tc>
      </w:tr>
      <w:tr>
        <w:trPr>
          <w:trHeight w:val="254"/>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provision for income taxes:</w:t>
            </w:r>
          </w:p>
        </w:tc>
        <w:tc>
          <w:tcPr>
            <w:tcW w:w="3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180"/>
              <w:spacing w:after="0"/>
              <w:rPr>
                <w:sz w:val="20"/>
                <w:szCs w:val="20"/>
                <w:color w:val="auto"/>
              </w:rPr>
            </w:pPr>
            <w:r>
              <w:rPr>
                <w:rFonts w:ascii="Arial" w:cs="Arial" w:eastAsia="Arial" w:hAnsi="Arial"/>
                <w:sz w:val="16"/>
                <w:szCs w:val="16"/>
                <w:color w:val="auto"/>
              </w:rPr>
              <w:t>Domestic</w:t>
            </w:r>
            <w:r>
              <w:rPr>
                <w:rFonts w:ascii="Arial" w:cs="Arial" w:eastAsia="Arial" w:hAnsi="Arial"/>
                <w:sz w:val="21"/>
                <w:szCs w:val="21"/>
                <w:color w:val="auto"/>
                <w:vertAlign w:val="superscript"/>
              </w:rPr>
              <w:t>(2)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274.2</w:t>
            </w:r>
          </w:p>
        </w:tc>
        <w:tc>
          <w:tcPr>
            <w:tcW w:w="5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386.4</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386.4</w:t>
            </w:r>
          </w:p>
        </w:tc>
        <w:tc>
          <w:tcPr>
            <w:tcW w:w="0" w:type="dxa"/>
            <w:vAlign w:val="bottom"/>
          </w:tcPr>
          <w:p>
            <w:pPr>
              <w:spacing w:after="0"/>
              <w:rPr>
                <w:sz w:val="1"/>
                <w:szCs w:val="1"/>
                <w:color w:val="auto"/>
              </w:rPr>
            </w:pPr>
          </w:p>
        </w:tc>
      </w:tr>
      <w:tr>
        <w:trPr>
          <w:trHeight w:val="263"/>
        </w:trPr>
        <w:tc>
          <w:tcPr>
            <w:tcW w:w="6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80"/>
        </w:trPr>
        <w:tc>
          <w:tcPr>
            <w:tcW w:w="6980" w:type="dxa"/>
            <w:vAlign w:val="bottom"/>
          </w:tcPr>
          <w:p>
            <w:pPr>
              <w:ind w:left="28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324.7</w:t>
            </w:r>
          </w:p>
        </w:tc>
        <w:tc>
          <w:tcPr>
            <w:tcW w:w="5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424.9</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425.9</w:t>
            </w:r>
          </w:p>
        </w:tc>
        <w:tc>
          <w:tcPr>
            <w:tcW w:w="0" w:type="dxa"/>
            <w:vAlign w:val="bottom"/>
          </w:tcPr>
          <w:p>
            <w:pPr>
              <w:spacing w:after="0"/>
              <w:rPr>
                <w:sz w:val="1"/>
                <w:szCs w:val="1"/>
                <w:color w:val="auto"/>
              </w:rPr>
            </w:pPr>
          </w:p>
        </w:tc>
      </w:tr>
      <w:tr>
        <w:trPr>
          <w:trHeight w:val="253"/>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Long-lived assets</w:t>
            </w:r>
            <w:r>
              <w:rPr>
                <w:rFonts w:ascii="Arial" w:cs="Arial" w:eastAsia="Arial" w:hAnsi="Arial"/>
                <w:sz w:val="21"/>
                <w:szCs w:val="21"/>
                <w:b w:val="1"/>
                <w:bCs w:val="1"/>
                <w:color w:val="auto"/>
                <w:vertAlign w:val="superscript"/>
              </w:rPr>
              <w:t>(3)</w:t>
            </w:r>
            <w:r>
              <w:rPr>
                <w:rFonts w:ascii="Arial" w:cs="Arial" w:eastAsia="Arial" w:hAnsi="Arial"/>
                <w:sz w:val="16"/>
                <w:szCs w:val="16"/>
                <w:b w:val="1"/>
                <w:bCs w:val="1"/>
                <w:color w:val="auto"/>
              </w:rPr>
              <w:t>:</w:t>
            </w:r>
          </w:p>
        </w:tc>
        <w:tc>
          <w:tcPr>
            <w:tcW w:w="3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180"/>
              <w:spacing w:after="0"/>
              <w:rPr>
                <w:sz w:val="20"/>
                <w:szCs w:val="20"/>
                <w:color w:val="auto"/>
              </w:rPr>
            </w:pPr>
            <w:r>
              <w:rPr>
                <w:rFonts w:ascii="Arial" w:cs="Arial" w:eastAsia="Arial" w:hAnsi="Arial"/>
                <w:sz w:val="16"/>
                <w:szCs w:val="16"/>
                <w:color w:val="auto"/>
              </w:rPr>
              <w:t>Domestic</w:t>
            </w:r>
            <w:r>
              <w:rPr>
                <w:rFonts w:ascii="Arial" w:cs="Arial" w:eastAsia="Arial" w:hAnsi="Arial"/>
                <w:sz w:val="21"/>
                <w:szCs w:val="21"/>
                <w:color w:val="auto"/>
                <w:vertAlign w:val="superscript"/>
              </w:rPr>
              <w:t>(2)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301.2</w:t>
            </w:r>
          </w:p>
        </w:tc>
        <w:tc>
          <w:tcPr>
            <w:tcW w:w="5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248.9</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256.4</w:t>
            </w:r>
          </w:p>
        </w:tc>
        <w:tc>
          <w:tcPr>
            <w:tcW w:w="0" w:type="dxa"/>
            <w:vAlign w:val="bottom"/>
          </w:tcPr>
          <w:p>
            <w:pPr>
              <w:spacing w:after="0"/>
              <w:rPr>
                <w:sz w:val="1"/>
                <w:szCs w:val="1"/>
                <w:color w:val="auto"/>
              </w:rPr>
            </w:pPr>
          </w:p>
        </w:tc>
      </w:tr>
      <w:tr>
        <w:trPr>
          <w:trHeight w:val="263"/>
        </w:trPr>
        <w:tc>
          <w:tcPr>
            <w:tcW w:w="6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366.1</w:t>
            </w:r>
          </w:p>
        </w:tc>
        <w:tc>
          <w:tcPr>
            <w:tcW w:w="5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297.3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308.4</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660" w:hanging="328"/>
        <w:spacing w:after="0" w:line="238" w:lineRule="auto"/>
        <w:tabs>
          <w:tab w:leader="none" w:pos="6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Net sales are attributed to each country based on the selling location.</w:t>
      </w:r>
    </w:p>
    <w:p>
      <w:pPr>
        <w:ind w:left="660" w:hanging="328"/>
        <w:spacing w:after="0" w:line="187" w:lineRule="auto"/>
        <w:tabs>
          <w:tab w:leader="none" w:pos="6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Domestic amounts include amounts for U.S. based operations.</w:t>
      </w:r>
    </w:p>
    <w:p>
      <w:pPr>
        <w:ind w:left="660" w:hanging="328"/>
        <w:spacing w:after="0" w:line="217" w:lineRule="auto"/>
        <w:tabs>
          <w:tab w:leader="none" w:pos="6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 xml:space="preserve">Long-lived assets include net property, plant, and equipment, operating lease right-of-use assets, long-term deferred income tax assets, and other long-term assets as reflected in the </w:t>
      </w:r>
      <w:r>
        <w:rPr>
          <w:rFonts w:ascii="Arial" w:cs="Arial" w:eastAsia="Arial" w:hAnsi="Arial"/>
          <w:sz w:val="14"/>
          <w:szCs w:val="14"/>
          <w:i w:val="1"/>
          <w:iCs w:val="1"/>
          <w:color w:val="auto"/>
        </w:rPr>
        <w:t>Consolidated Balance Sheets</w:t>
      </w:r>
      <w:r>
        <w:rPr>
          <w:rFonts w:ascii="Arial" w:cs="Arial" w:eastAsia="Arial" w:hAnsi="Arial"/>
          <w:sz w:val="14"/>
          <w:szCs w:val="14"/>
          <w:color w:val="auto"/>
        </w:rPr>
        <w: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From September 1, 2020 through October 22, 2020, we repurchased an additional 1.7 million shares of our common stock under the March 2018 share repurchase authorization. On October 23, 2020, the Board authorized the repurchase of an additional 3.8 million shares of our common stock, bringing our total authorization back to six million shares. Refer to </w:t>
      </w:r>
      <w:r>
        <w:rPr>
          <w:rFonts w:ascii="Arial" w:cs="Arial" w:eastAsia="Arial" w:hAnsi="Arial"/>
          <w:sz w:val="18"/>
          <w:szCs w:val="18"/>
          <w:i w:val="1"/>
          <w:iCs w:val="1"/>
          <w:color w:val="auto"/>
        </w:rPr>
        <w:t>Part II, Item 9b. Other information</w:t>
      </w:r>
      <w:r>
        <w:rPr>
          <w:rFonts w:ascii="Arial" w:cs="Arial" w:eastAsia="Arial" w:hAnsi="Arial"/>
          <w:sz w:val="18"/>
          <w:szCs w:val="18"/>
          <w:color w:val="auto"/>
        </w:rPr>
        <w:t xml:space="preserve"> for further details.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0"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980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Quarterly Financial Data (Unaudited)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5"/>
          </w:tcPr>
          <w:p>
            <w:pPr>
              <w:ind w:left="620"/>
              <w:spacing w:after="0"/>
              <w:rPr>
                <w:sz w:val="20"/>
                <w:szCs w:val="20"/>
                <w:color w:val="auto"/>
              </w:rPr>
            </w:pPr>
            <w:r>
              <w:rPr>
                <w:rFonts w:ascii="Arial" w:cs="Arial" w:eastAsia="Arial" w:hAnsi="Arial"/>
                <w:sz w:val="16"/>
                <w:szCs w:val="16"/>
                <w:b w:val="1"/>
                <w:bCs w:val="1"/>
                <w:color w:val="auto"/>
              </w:rPr>
              <w:t>Fiscal Year 2020</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263"/>
        </w:trPr>
        <w:tc>
          <w:tcPr>
            <w:tcW w:w="552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18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1st Quarter</w:t>
            </w: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2nd Quarter</w:t>
            </w:r>
          </w:p>
        </w:tc>
        <w:tc>
          <w:tcPr>
            <w:tcW w:w="16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3rd Quarter</w:t>
            </w:r>
          </w:p>
        </w:tc>
        <w:tc>
          <w:tcPr>
            <w:tcW w:w="180" w:type="dxa"/>
            <w:vAlign w:val="bottom"/>
          </w:tcPr>
          <w:p>
            <w:pPr>
              <w:spacing w:after="0"/>
              <w:rPr>
                <w:sz w:val="22"/>
                <w:szCs w:val="22"/>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4th Quarter</w:t>
            </w:r>
          </w:p>
        </w:tc>
      </w:tr>
      <w:tr>
        <w:trPr>
          <w:trHeight w:val="256"/>
        </w:trPr>
        <w:tc>
          <w:tcPr>
            <w:tcW w:w="5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834.7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824.2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776.2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891.2</w:t>
            </w: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355.8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343.9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327.6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375.1</w:t>
            </w: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73.7</w:t>
            </w: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Basic earnings per share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1.88</w:t>
            </w: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5"/>
          </w:tcPr>
          <w:p>
            <w:pPr>
              <w:ind w:left="620"/>
              <w:spacing w:after="0"/>
              <w:rPr>
                <w:sz w:val="20"/>
                <w:szCs w:val="20"/>
                <w:color w:val="auto"/>
              </w:rPr>
            </w:pPr>
            <w:r>
              <w:rPr>
                <w:rFonts w:ascii="Arial" w:cs="Arial" w:eastAsia="Arial" w:hAnsi="Arial"/>
                <w:sz w:val="16"/>
                <w:szCs w:val="16"/>
                <w:b w:val="1"/>
                <w:bCs w:val="1"/>
                <w:color w:val="auto"/>
              </w:rPr>
              <w:t>Fiscal Year 2019</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263"/>
        </w:trPr>
        <w:tc>
          <w:tcPr>
            <w:tcW w:w="552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18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1st Quarter</w:t>
            </w:r>
          </w:p>
        </w:tc>
        <w:tc>
          <w:tcPr>
            <w:tcW w:w="160" w:type="dxa"/>
            <w:vAlign w:val="bottom"/>
          </w:tcPr>
          <w:p>
            <w:pPr>
              <w:spacing w:after="0"/>
              <w:rPr>
                <w:sz w:val="22"/>
                <w:szCs w:val="22"/>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2nd Quarter</w:t>
            </w:r>
          </w:p>
        </w:tc>
        <w:tc>
          <w:tcPr>
            <w:tcW w:w="16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3rd Quarter</w:t>
            </w:r>
          </w:p>
        </w:tc>
        <w:tc>
          <w:tcPr>
            <w:tcW w:w="180" w:type="dxa"/>
            <w:vAlign w:val="bottom"/>
          </w:tcPr>
          <w:p>
            <w:pPr>
              <w:spacing w:after="0"/>
              <w:rPr>
                <w:sz w:val="22"/>
                <w:szCs w:val="22"/>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4th Quarter</w:t>
            </w:r>
          </w:p>
        </w:tc>
      </w:tr>
      <w:tr>
        <w:trPr>
          <w:trHeight w:val="257"/>
        </w:trPr>
        <w:tc>
          <w:tcPr>
            <w:tcW w:w="5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932.6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854.4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947.6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938.1</w:t>
            </w: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367.5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333.9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383.6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394.7</w:t>
            </w: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96.1</w:t>
            </w: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Basic earnings per share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2.43</w:t>
            </w: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r>
    </w:tbl>
    <w:p>
      <w:pPr>
        <w:spacing w:after="0" w:line="337" w:lineRule="exact"/>
        <w:rPr>
          <w:sz w:val="20"/>
          <w:szCs w:val="20"/>
          <w:color w:val="auto"/>
        </w:rPr>
      </w:pPr>
    </w:p>
    <w:p>
      <w:pPr>
        <w:ind w:left="60" w:right="340"/>
        <w:spacing w:after="0" w:line="261" w:lineRule="auto"/>
        <w:rPr>
          <w:sz w:val="20"/>
          <w:szCs w:val="20"/>
          <w:color w:val="auto"/>
        </w:rPr>
      </w:pPr>
      <w:r>
        <w:rPr>
          <w:rFonts w:ascii="Arial" w:cs="Arial" w:eastAsia="Arial" w:hAnsi="Arial"/>
          <w:sz w:val="18"/>
          <w:szCs w:val="18"/>
          <w:color w:val="auto"/>
        </w:rPr>
        <w:t>Certain amounts in the tables above have been rounded. Accordingly, the sum of the quarters may not be an exact match to the full year amounts.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0"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i w:val="1"/>
          <w:iCs w:val="1"/>
          <w:color w:val="auto"/>
        </w:rPr>
        <w:t>Changes in and Disagreements with Accountants on Accounting and Financial Disclosure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8"/>
          <w:szCs w:val="18"/>
          <w:b w:val="1"/>
          <w:bCs w:val="1"/>
          <w:i w:val="1"/>
          <w:iCs w:val="1"/>
          <w:color w:val="auto"/>
        </w:rPr>
        <w:t>Controls and Procedures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August 31, 2020. This evaluation was carried out under the supervision and with the participation of management, including the principal executive officer and principal financial officer. Based on this evaluation, these officers have concluded that the design and operation of our disclosure controls and procedures are effective at a reasonable assurance level as of August 31, 2020. 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year ended August 31, 2020, we completed our acquisitions of The Luminaires Group (“TLG”) and LocusLabs, Inc (“LocusLabs”). SEC guidance permits management to omit an assessment of an acquired business' internal control over financial reporting from management's assessment of internal control over financial reporting for a period not to exceed one year from the date of the acquisition. Accordingly, management has not assessed TLG's or LocusLabs' internal control over financial reporting as of August 31, 2020. Excluding the acquisitions, there have been no changes in our internal control over financial reporting that occurred during our most recent completed fiscal quarter that have materially affected, or are reasonably likely to materially affect, our internal control over financial reporting. We began integrating TLG and LocusLabs into our existing control procedures from their respective dates of acquisition. We do not anticipate the integration of the acquired companies to result in changes that would materially affect our internal control over financial reporting.</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Management’s annual report on our internal control over financial reporting and the independent registered public accounting firm’s attestation report are included in our 2020 Financial Statements in Item 8 of this Annual Report on Form 10-K, under the headings, </w:t>
      </w:r>
      <w:r>
        <w:rPr>
          <w:rFonts w:ascii="Arial" w:cs="Arial" w:eastAsia="Arial" w:hAnsi="Arial"/>
          <w:sz w:val="18"/>
          <w:szCs w:val="18"/>
          <w:i w:val="1"/>
          <w:iCs w:val="1"/>
          <w:color w:val="auto"/>
        </w:rPr>
        <w:t xml:space="preserve">Management’s Report on Internal Control over Financial Reporting </w:t>
      </w:r>
      <w:r>
        <w:rPr>
          <w:rFonts w:ascii="Arial" w:cs="Arial" w:eastAsia="Arial" w:hAnsi="Arial"/>
          <w:sz w:val="18"/>
          <w:szCs w:val="18"/>
          <w:color w:val="auto"/>
        </w:rPr>
        <w:t>and</w:t>
      </w:r>
      <w:r>
        <w:rPr>
          <w:rFonts w:ascii="Arial" w:cs="Arial" w:eastAsia="Arial" w:hAnsi="Arial"/>
          <w:sz w:val="18"/>
          <w:szCs w:val="18"/>
          <w:i w:val="1"/>
          <w:iCs w:val="1"/>
          <w:color w:val="auto"/>
        </w:rPr>
        <w:t xml:space="preserve"> Report of Independent Registered Public Accounting Firm </w:t>
      </w:r>
      <w:r>
        <w:rPr>
          <w:rFonts w:ascii="Arial" w:cs="Arial" w:eastAsia="Arial" w:hAnsi="Arial"/>
          <w:sz w:val="18"/>
          <w:szCs w:val="18"/>
          <w:color w:val="auto"/>
        </w:rPr>
        <w:t>as it</w:t>
      </w:r>
      <w:r>
        <w:rPr>
          <w:rFonts w:ascii="Arial" w:cs="Arial" w:eastAsia="Arial" w:hAnsi="Arial"/>
          <w:sz w:val="18"/>
          <w:szCs w:val="18"/>
          <w:i w:val="1"/>
          <w:iCs w:val="1"/>
          <w:color w:val="auto"/>
        </w:rPr>
        <w:t xml:space="preserve"> </w:t>
      </w:r>
      <w:r>
        <w:rPr>
          <w:rFonts w:ascii="Arial" w:cs="Arial" w:eastAsia="Arial" w:hAnsi="Arial"/>
          <w:sz w:val="18"/>
          <w:szCs w:val="18"/>
          <w:color w:val="auto"/>
        </w:rPr>
        <w:t>relates to Internal Control Over Financial Reporting, respectively, and are incorporated herein by reference.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260"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Authorization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March 2018, the Board of Directors (the “Board”) authorized the repurchase of up to six million shares of our common stock. As of August 31, 2020, 2.1 million had been purchased under this authorization. We purchased an additional 1.7 million shares under this authorization from September 1, 2020 through October 22, 2020, leaving 2.2 million shares under the original March 2018 authorization. On October 23, 2020, the Board authorized the repurchase of an additional 3.8 million shares of our common stock, bringing our total authorization back to six million shares. Under the new increased share repurchase authorization, we may repurchase shares of our common stock from time to time at prevailing market prices, depending on market conditions, through open market or privately negotiated transactions. No date has been established for the completion of the share repurchase program, and we are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Consistent with previously announced succession plans, Vernon J. Nagel will not stand for reelection as a Director at the upcoming stockholders' meeting to be held on January 6, 2021 (the “Annual Meeting”); however, he will continue to serve as Director and Chairman of the Board until such time. Mr. Nagel will also cease to be an employee of the Company effective as of December 28, 2020. In addition, Robert F. McCullough will not stand for reelection as a Director at the Annual Meeting.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260"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information required by this item, with respect to directors and corporate governance, is included under the captions </w:t>
      </w:r>
      <w:r>
        <w:rPr>
          <w:rFonts w:ascii="Arial" w:cs="Arial" w:eastAsia="Arial" w:hAnsi="Arial"/>
          <w:sz w:val="18"/>
          <w:szCs w:val="18"/>
          <w:i w:val="1"/>
          <w:iCs w:val="1"/>
          <w:color w:val="auto"/>
        </w:rPr>
        <w:t>Item 1 — Election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Directors </w:t>
      </w:r>
      <w:r>
        <w:rPr>
          <w:rFonts w:ascii="Arial" w:cs="Arial" w:eastAsia="Arial" w:hAnsi="Arial"/>
          <w:sz w:val="18"/>
          <w:szCs w:val="18"/>
          <w:color w:val="auto"/>
        </w:rPr>
        <w:t>of our proxy statement for the annual meeting of stockholders to be held January 6, 2021, to be filed with the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Commission pursuant to Regulation 14A, and is incorporated herein by reference.</w:t>
      </w:r>
    </w:p>
    <w:p>
      <w:pPr>
        <w:spacing w:after="0" w:line="8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information required by this item, with respect to executive officers, will be included under the caption </w:t>
      </w:r>
      <w:r>
        <w:rPr>
          <w:rFonts w:ascii="Arial" w:cs="Arial" w:eastAsia="Arial" w:hAnsi="Arial"/>
          <w:sz w:val="18"/>
          <w:szCs w:val="18"/>
          <w:i w:val="1"/>
          <w:iCs w:val="1"/>
          <w:color w:val="auto"/>
        </w:rPr>
        <w:t>Executive Officers</w:t>
      </w:r>
      <w:r>
        <w:rPr>
          <w:rFonts w:ascii="Arial" w:cs="Arial" w:eastAsia="Arial" w:hAnsi="Arial"/>
          <w:sz w:val="18"/>
          <w:szCs w:val="18"/>
          <w:color w:val="auto"/>
        </w:rPr>
        <w:t xml:space="preserve"> of our proxy statement for the annual meeting of stockholders to be held January 6, 2021, to be filed with the Securities and Exchange Commission pursuant to Regulation 14A, and is incorporated herein by reference.</w:t>
      </w:r>
    </w:p>
    <w:p>
      <w:pPr>
        <w:spacing w:after="0" w:line="8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The information required by this item, with respect to the code of ethics, will be included under the caption </w:t>
      </w:r>
      <w:r>
        <w:rPr>
          <w:rFonts w:ascii="Arial" w:cs="Arial" w:eastAsia="Arial" w:hAnsi="Arial"/>
          <w:sz w:val="18"/>
          <w:szCs w:val="18"/>
          <w:i w:val="1"/>
          <w:iCs w:val="1"/>
          <w:color w:val="auto"/>
        </w:rPr>
        <w:t>Governance Policies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Procedures </w:t>
      </w:r>
      <w:r>
        <w:rPr>
          <w:rFonts w:ascii="Arial" w:cs="Arial" w:eastAsia="Arial" w:hAnsi="Arial"/>
          <w:sz w:val="18"/>
          <w:szCs w:val="18"/>
          <w:color w:val="auto"/>
        </w:rPr>
        <w:t>and</w:t>
      </w:r>
      <w:r>
        <w:rPr>
          <w:rFonts w:ascii="Arial" w:cs="Arial" w:eastAsia="Arial" w:hAnsi="Arial"/>
          <w:sz w:val="18"/>
          <w:szCs w:val="18"/>
          <w:i w:val="1"/>
          <w:iCs w:val="1"/>
          <w:color w:val="auto"/>
        </w:rPr>
        <w:t xml:space="preserve"> Contacting the Board of Directors </w:t>
      </w:r>
      <w:r>
        <w:rPr>
          <w:rFonts w:ascii="Arial" w:cs="Arial" w:eastAsia="Arial" w:hAnsi="Arial"/>
          <w:sz w:val="18"/>
          <w:szCs w:val="18"/>
          <w:color w:val="auto"/>
        </w:rPr>
        <w:t>of our proxy statement for the annual meeting of stockholders to be held January 6, 2021,</w:t>
      </w:r>
      <w:r>
        <w:rPr>
          <w:rFonts w:ascii="Arial" w:cs="Arial" w:eastAsia="Arial" w:hAnsi="Arial"/>
          <w:sz w:val="18"/>
          <w:szCs w:val="18"/>
          <w:i w:val="1"/>
          <w:iCs w:val="1"/>
          <w:color w:val="auto"/>
        </w:rPr>
        <w:t xml:space="preserve"> </w:t>
      </w:r>
      <w:r>
        <w:rPr>
          <w:rFonts w:ascii="Arial" w:cs="Arial" w:eastAsia="Arial" w:hAnsi="Arial"/>
          <w:sz w:val="18"/>
          <w:szCs w:val="18"/>
          <w:color w:val="auto"/>
        </w:rPr>
        <w:t>to be filed with the Securities and Exchange Commission pursuant to Regulation 14A, and is incorporated herein by reference.</w:t>
      </w:r>
    </w:p>
    <w:p>
      <w:pPr>
        <w:spacing w:after="0" w:line="8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information required by this item, with respect to delinquent filings, will be included under the caption </w:t>
      </w:r>
      <w:r>
        <w:rPr>
          <w:rFonts w:ascii="Arial" w:cs="Arial" w:eastAsia="Arial" w:hAnsi="Arial"/>
          <w:sz w:val="18"/>
          <w:szCs w:val="18"/>
          <w:i w:val="1"/>
          <w:iCs w:val="1"/>
          <w:color w:val="auto"/>
        </w:rPr>
        <w:t>Delinquent Section 16(a) Reports</w:t>
      </w:r>
      <w:r>
        <w:rPr>
          <w:rFonts w:ascii="Arial" w:cs="Arial" w:eastAsia="Arial" w:hAnsi="Arial"/>
          <w:sz w:val="18"/>
          <w:szCs w:val="18"/>
          <w:color w:val="auto"/>
        </w:rPr>
        <w:t xml:space="preserve"> of the Company’s proxy statement for the annual meeting of stockholders to be held January 6, 2021, to be filed with the Securities and Exchange Commission pursuant to Regulation 14A, and is incorporated herein by reference.</w:t>
      </w:r>
    </w:p>
    <w:p>
      <w:pPr>
        <w:spacing w:after="0" w:line="29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information required by this item will be included under the captions </w:t>
      </w:r>
      <w:r>
        <w:rPr>
          <w:rFonts w:ascii="Arial" w:cs="Arial" w:eastAsia="Arial" w:hAnsi="Arial"/>
          <w:sz w:val="18"/>
          <w:szCs w:val="18"/>
          <w:i w:val="1"/>
          <w:iCs w:val="1"/>
          <w:color w:val="auto"/>
        </w:rPr>
        <w:t>Compensation of Directors, Board Composition, Board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Committees, Compensation Committee Interlocks and Insider Participation, Report of the Compensation Committee, Compensation Discussion and Analysis, Fiscal 2020 Summary Compensation Table, Fiscal 2020 Grants of Plan-Based Awards, Outstanding Equity Awards at Fiscal 2020 Year-End, Option Exercises and Stock Vested in Fiscal 2020, Pension Benefits in Fiscal 2020, Fiscal 2020 Non-Qualified Deferred Compensation, Employment Arrangements, Potential Payments upon Termination,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Equity Compensation Plans </w:t>
      </w:r>
      <w:r>
        <w:rPr>
          <w:rFonts w:ascii="Arial" w:cs="Arial" w:eastAsia="Arial" w:hAnsi="Arial"/>
          <w:sz w:val="18"/>
          <w:szCs w:val="18"/>
          <w:color w:val="auto"/>
        </w:rPr>
        <w:t>of our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for the annual meeting of stockholders to be held January 6, 2021, to be filed with the Securities and Exchange Commission pursuant to Regulation 14A, and is incorporated herein by reference.</w:t>
      </w:r>
    </w:p>
    <w:p>
      <w:pPr>
        <w:spacing w:after="0" w:line="3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information required by this item will be included under the captions </w:t>
      </w:r>
      <w:r>
        <w:rPr>
          <w:rFonts w:ascii="Arial" w:cs="Arial" w:eastAsia="Arial" w:hAnsi="Arial"/>
          <w:sz w:val="18"/>
          <w:szCs w:val="18"/>
          <w:i w:val="1"/>
          <w:iCs w:val="1"/>
          <w:color w:val="auto"/>
        </w:rPr>
        <w:t>Beneficial Ownership of the Company’s Securities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Equity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Plans </w:t>
      </w:r>
      <w:r>
        <w:rPr>
          <w:rFonts w:ascii="Arial" w:cs="Arial" w:eastAsia="Arial" w:hAnsi="Arial"/>
          <w:sz w:val="18"/>
          <w:szCs w:val="18"/>
          <w:color w:val="auto"/>
        </w:rPr>
        <w:t>of our proxy statement for the annual meeting of stockholders to be held January 6, 2021, to be filed with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Exchange Commission pursuant to Regulation 14A, and is incorporated herein by reference.</w:t>
      </w:r>
    </w:p>
    <w:p>
      <w:pPr>
        <w:spacing w:after="0" w:line="2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information required by this item will be included under the caption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 xml:space="preserve"> of our proxy statement for the annual meeting of stockholders to be held January 6, 2021, to be filed with the Securities and Exchange Commission pursuant to Regulation 14A, and is incorporated herein by reference.</w:t>
      </w:r>
    </w:p>
    <w:p>
      <w:pPr>
        <w:spacing w:after="0" w:line="2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information required by this item will be included under the caption </w:t>
      </w:r>
      <w:r>
        <w:rPr>
          <w:rFonts w:ascii="Arial" w:cs="Arial" w:eastAsia="Arial" w:hAnsi="Arial"/>
          <w:sz w:val="18"/>
          <w:szCs w:val="18"/>
          <w:i w:val="1"/>
          <w:iCs w:val="1"/>
          <w:color w:val="auto"/>
        </w:rPr>
        <w:t>Audit Fees and Other Fees, Pre-Approval Policies and Procedures,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Report of the Audit Committee </w:t>
      </w:r>
      <w:r>
        <w:rPr>
          <w:rFonts w:ascii="Arial" w:cs="Arial" w:eastAsia="Arial" w:hAnsi="Arial"/>
          <w:sz w:val="18"/>
          <w:szCs w:val="18"/>
          <w:color w:val="auto"/>
        </w:rPr>
        <w:t>of our proxy statement for the annual meeting of stockholders to be held January 6, 2021, to be filed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Securities and Exchange Commission pursuant to Regulation 14A,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260"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7"/>
        </w:trPr>
        <w:tc>
          <w:tcPr>
            <w:tcW w:w="1036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860" w:type="dxa"/>
            <w:vAlign w:val="bottom"/>
          </w:tcPr>
          <w:p>
            <w:pPr>
              <w:spacing w:after="0"/>
              <w:rPr>
                <w:sz w:val="18"/>
                <w:szCs w:val="18"/>
                <w:color w:val="auto"/>
              </w:rPr>
            </w:pPr>
          </w:p>
        </w:tc>
      </w:tr>
      <w:tr>
        <w:trPr>
          <w:trHeight w:val="769"/>
        </w:trPr>
        <w:tc>
          <w:tcPr>
            <w:tcW w:w="700" w:type="dxa"/>
            <w:vAlign w:val="bottom"/>
          </w:tcPr>
          <w:p>
            <w:pPr>
              <w:spacing w:after="0"/>
              <w:rPr>
                <w:sz w:val="24"/>
                <w:szCs w:val="24"/>
                <w:color w:val="auto"/>
              </w:rPr>
            </w:pPr>
          </w:p>
        </w:tc>
        <w:tc>
          <w:tcPr>
            <w:tcW w:w="9660" w:type="dxa"/>
            <w:vAlign w:val="bottom"/>
          </w:tcPr>
          <w:p>
            <w:pPr>
              <w:ind w:left="4580"/>
              <w:spacing w:after="0"/>
              <w:rPr>
                <w:sz w:val="20"/>
                <w:szCs w:val="20"/>
                <w:color w:val="auto"/>
              </w:rPr>
            </w:pPr>
            <w:r>
              <w:rPr>
                <w:rFonts w:ascii="Arial" w:cs="Arial" w:eastAsia="Arial" w:hAnsi="Arial"/>
                <w:sz w:val="18"/>
                <w:szCs w:val="18"/>
                <w:b w:val="1"/>
                <w:bCs w:val="1"/>
                <w:color w:val="auto"/>
              </w:rPr>
              <w:t>PART IV</w:t>
            </w:r>
          </w:p>
        </w:tc>
        <w:tc>
          <w:tcPr>
            <w:tcW w:w="860" w:type="dxa"/>
            <w:vAlign w:val="bottom"/>
          </w:tcPr>
          <w:p>
            <w:pPr>
              <w:spacing w:after="0"/>
              <w:rPr>
                <w:sz w:val="24"/>
                <w:szCs w:val="24"/>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9660" w:type="dxa"/>
            <w:vAlign w:val="bottom"/>
          </w:tcPr>
          <w:p>
            <w:pPr>
              <w:ind w:left="600"/>
              <w:spacing w:after="0"/>
              <w:rPr>
                <w:sz w:val="20"/>
                <w:szCs w:val="20"/>
                <w:color w:val="auto"/>
              </w:rPr>
            </w:pPr>
            <w:r>
              <w:rPr>
                <w:rFonts w:ascii="Arial" w:cs="Arial" w:eastAsia="Arial" w:hAnsi="Arial"/>
                <w:sz w:val="18"/>
                <w:szCs w:val="18"/>
                <w:b w:val="1"/>
                <w:bCs w:val="1"/>
                <w:i w:val="1"/>
                <w:iCs w:val="1"/>
                <w:color w:val="auto"/>
              </w:rPr>
              <w:t>Exhibits and Financial Statement Schedules</w:t>
            </w:r>
          </w:p>
        </w:tc>
        <w:tc>
          <w:tcPr>
            <w:tcW w:w="860" w:type="dxa"/>
            <w:vAlign w:val="bottom"/>
          </w:tcPr>
          <w:p>
            <w:pPr>
              <w:spacing w:after="0"/>
              <w:rPr>
                <w:sz w:val="24"/>
                <w:szCs w:val="24"/>
                <w:color w:val="auto"/>
              </w:rPr>
            </w:pPr>
          </w:p>
        </w:tc>
      </w:tr>
      <w:tr>
        <w:trPr>
          <w:trHeight w:val="338"/>
        </w:trPr>
        <w:tc>
          <w:tcPr>
            <w:tcW w:w="10360" w:type="dxa"/>
            <w:vAlign w:val="bottom"/>
            <w:gridSpan w:val="2"/>
          </w:tcPr>
          <w:p>
            <w:pPr>
              <w:spacing w:after="0"/>
              <w:rPr>
                <w:sz w:val="20"/>
                <w:szCs w:val="20"/>
                <w:color w:val="auto"/>
              </w:rPr>
            </w:pPr>
            <w:r>
              <w:rPr>
                <w:rFonts w:ascii="Arial" w:cs="Arial" w:eastAsia="Arial" w:hAnsi="Arial"/>
                <w:sz w:val="18"/>
                <w:szCs w:val="18"/>
                <w:color w:val="auto"/>
              </w:rPr>
              <w:t>(a) The following documents are filed as a part of this report:</w:t>
            </w:r>
          </w:p>
        </w:tc>
        <w:tc>
          <w:tcPr>
            <w:tcW w:w="860" w:type="dxa"/>
            <w:vAlign w:val="bottom"/>
          </w:tcPr>
          <w:p>
            <w:pPr>
              <w:spacing w:after="0"/>
              <w:rPr>
                <w:sz w:val="24"/>
                <w:szCs w:val="24"/>
                <w:color w:val="auto"/>
              </w:rPr>
            </w:pPr>
          </w:p>
        </w:tc>
      </w:tr>
      <w:tr>
        <w:trPr>
          <w:trHeight w:val="594"/>
        </w:trPr>
        <w:tc>
          <w:tcPr>
            <w:tcW w:w="10360" w:type="dxa"/>
            <w:vAlign w:val="bottom"/>
            <w:gridSpan w:val="2"/>
          </w:tcPr>
          <w:p>
            <w:pPr>
              <w:ind w:left="2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(1)   Management’s Report on Internal Control over Financial Reporting</w:t>
              </w:r>
            </w:hyperlink>
          </w:p>
        </w:tc>
        <w:tc>
          <w:tcPr>
            <w:tcW w:w="860" w:type="dxa"/>
            <w:vAlign w:val="bottom"/>
          </w:tcPr>
          <w:p>
            <w:pPr>
              <w:jc w:val="right"/>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35</w:t>
              </w:r>
            </w:hyperlink>
          </w:p>
        </w:tc>
      </w:tr>
      <w:tr>
        <w:trPr>
          <w:trHeight w:val="257"/>
        </w:trPr>
        <w:tc>
          <w:tcPr>
            <w:tcW w:w="700" w:type="dxa"/>
            <w:vAlign w:val="bottom"/>
          </w:tcPr>
          <w:p>
            <w:pPr>
              <w:spacing w:after="0"/>
              <w:rPr>
                <w:sz w:val="22"/>
                <w:szCs w:val="22"/>
                <w:color w:val="auto"/>
              </w:rPr>
            </w:pPr>
          </w:p>
        </w:tc>
        <w:tc>
          <w:tcPr>
            <w:tcW w:w="9660" w:type="dxa"/>
            <w:vAlign w:val="bottom"/>
          </w:tcPr>
          <w:p>
            <w:pPr>
              <w:ind w:left="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Reports of Independent Registered Public Accounting Firm</w:t>
              </w:r>
            </w:hyperlink>
          </w:p>
        </w:tc>
        <w:tc>
          <w:tcPr>
            <w:tcW w:w="860" w:type="dxa"/>
            <w:vAlign w:val="bottom"/>
          </w:tcPr>
          <w:p>
            <w:pPr>
              <w:jc w:val="right"/>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36</w:t>
              </w:r>
            </w:hyperlink>
          </w:p>
        </w:tc>
      </w:tr>
      <w:tr>
        <w:trPr>
          <w:trHeight w:val="257"/>
        </w:trPr>
        <w:tc>
          <w:tcPr>
            <w:tcW w:w="700" w:type="dxa"/>
            <w:vAlign w:val="bottom"/>
          </w:tcPr>
          <w:p>
            <w:pPr>
              <w:spacing w:after="0"/>
              <w:rPr>
                <w:sz w:val="22"/>
                <w:szCs w:val="22"/>
                <w:color w:val="auto"/>
              </w:rPr>
            </w:pPr>
          </w:p>
        </w:tc>
        <w:tc>
          <w:tcPr>
            <w:tcW w:w="9660" w:type="dxa"/>
            <w:vAlign w:val="bottom"/>
          </w:tcPr>
          <w:p>
            <w:pPr>
              <w:ind w:left="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Consolidated Balance Sheets as of August 31, 2020 and 2019</w:t>
              </w:r>
            </w:hyperlink>
          </w:p>
        </w:tc>
        <w:tc>
          <w:tcPr>
            <w:tcW w:w="860" w:type="dxa"/>
            <w:vAlign w:val="bottom"/>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41</w:t>
              </w:r>
            </w:hyperlink>
          </w:p>
        </w:tc>
      </w:tr>
      <w:tr>
        <w:trPr>
          <w:trHeight w:val="257"/>
        </w:trPr>
        <w:tc>
          <w:tcPr>
            <w:tcW w:w="700" w:type="dxa"/>
            <w:vAlign w:val="bottom"/>
          </w:tcPr>
          <w:p>
            <w:pPr>
              <w:spacing w:after="0"/>
              <w:rPr>
                <w:sz w:val="22"/>
                <w:szCs w:val="22"/>
                <w:color w:val="auto"/>
              </w:rPr>
            </w:pPr>
          </w:p>
        </w:tc>
        <w:tc>
          <w:tcPr>
            <w:tcW w:w="9660" w:type="dxa"/>
            <w:vAlign w:val="bottom"/>
          </w:tcPr>
          <w:p>
            <w:pPr>
              <w:ind w:left="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Consolidated Statements of Comprehensive Income for the years ended August 31, 2020, 2019, and 2018</w:t>
              </w:r>
            </w:hyperlink>
          </w:p>
        </w:tc>
        <w:tc>
          <w:tcPr>
            <w:tcW w:w="86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42</w:t>
              </w:r>
            </w:hyperlink>
          </w:p>
        </w:tc>
      </w:tr>
      <w:tr>
        <w:trPr>
          <w:trHeight w:val="256"/>
        </w:trPr>
        <w:tc>
          <w:tcPr>
            <w:tcW w:w="700" w:type="dxa"/>
            <w:vAlign w:val="bottom"/>
          </w:tcPr>
          <w:p>
            <w:pPr>
              <w:spacing w:after="0"/>
              <w:rPr>
                <w:sz w:val="22"/>
                <w:szCs w:val="22"/>
                <w:color w:val="auto"/>
              </w:rPr>
            </w:pPr>
          </w:p>
        </w:tc>
        <w:tc>
          <w:tcPr>
            <w:tcW w:w="9660" w:type="dxa"/>
            <w:vAlign w:val="bottom"/>
          </w:tcPr>
          <w:p>
            <w:pPr>
              <w:ind w:left="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Consolidated Statements of Cash Flows for the years ended August 31, 2020, 2019, and 2018</w:t>
              </w:r>
            </w:hyperlink>
          </w:p>
        </w:tc>
        <w:tc>
          <w:tcPr>
            <w:tcW w:w="860" w:type="dxa"/>
            <w:vAlign w:val="bottom"/>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43</w:t>
              </w:r>
            </w:hyperlink>
          </w:p>
        </w:tc>
      </w:tr>
      <w:tr>
        <w:trPr>
          <w:trHeight w:val="257"/>
        </w:trPr>
        <w:tc>
          <w:tcPr>
            <w:tcW w:w="700" w:type="dxa"/>
            <w:vAlign w:val="bottom"/>
          </w:tcPr>
          <w:p>
            <w:pPr>
              <w:spacing w:after="0"/>
              <w:rPr>
                <w:sz w:val="22"/>
                <w:szCs w:val="22"/>
                <w:color w:val="auto"/>
              </w:rPr>
            </w:pPr>
          </w:p>
        </w:tc>
        <w:tc>
          <w:tcPr>
            <w:tcW w:w="9660" w:type="dxa"/>
            <w:vAlign w:val="bottom"/>
          </w:tcPr>
          <w:p>
            <w:pPr>
              <w:ind w:left="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Consolidated Statements of Stockholders’ Equity for the years ended August 31, 2020, 2019, and 2018</w:t>
              </w:r>
            </w:hyperlink>
          </w:p>
        </w:tc>
        <w:tc>
          <w:tcPr>
            <w:tcW w:w="860" w:type="dxa"/>
            <w:vAlign w:val="bottom"/>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44</w:t>
              </w:r>
            </w:hyperlink>
          </w:p>
        </w:tc>
      </w:tr>
      <w:tr>
        <w:trPr>
          <w:trHeight w:val="257"/>
        </w:trPr>
        <w:tc>
          <w:tcPr>
            <w:tcW w:w="700" w:type="dxa"/>
            <w:vAlign w:val="bottom"/>
          </w:tcPr>
          <w:p>
            <w:pPr>
              <w:spacing w:after="0"/>
              <w:rPr>
                <w:sz w:val="22"/>
                <w:szCs w:val="22"/>
                <w:color w:val="auto"/>
              </w:rPr>
            </w:pPr>
          </w:p>
        </w:tc>
        <w:tc>
          <w:tcPr>
            <w:tcW w:w="9660" w:type="dxa"/>
            <w:vAlign w:val="bottom"/>
          </w:tcPr>
          <w:p>
            <w:pPr>
              <w:ind w:left="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Notes to Consolidated Financial Statements</w:t>
              </w:r>
            </w:hyperlink>
          </w:p>
        </w:tc>
        <w:tc>
          <w:tcPr>
            <w:tcW w:w="860" w:type="dxa"/>
            <w:vAlign w:val="bottom"/>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45</w:t>
              </w:r>
            </w:hyperlink>
          </w:p>
        </w:tc>
      </w:tr>
      <w:tr>
        <w:trPr>
          <w:trHeight w:val="257"/>
        </w:trPr>
        <w:tc>
          <w:tcPr>
            <w:tcW w:w="700" w:type="dxa"/>
            <w:vAlign w:val="bottom"/>
          </w:tcPr>
          <w:p>
            <w:pPr>
              <w:ind w:left="240"/>
              <w:spacing w:after="0"/>
              <w:rPr>
                <w:sz w:val="20"/>
                <w:szCs w:val="20"/>
                <w:color w:val="auto"/>
              </w:rPr>
            </w:pPr>
            <w:r>
              <w:rPr>
                <w:rFonts w:ascii="Arial" w:cs="Arial" w:eastAsia="Arial" w:hAnsi="Arial"/>
                <w:sz w:val="18"/>
                <w:szCs w:val="18"/>
                <w:color w:val="auto"/>
              </w:rPr>
              <w:t>(2)</w:t>
            </w:r>
          </w:p>
        </w:tc>
        <w:tc>
          <w:tcPr>
            <w:tcW w:w="9660" w:type="dxa"/>
            <w:vAlign w:val="bottom"/>
          </w:tcPr>
          <w:p>
            <w:pPr>
              <w:ind w:left="20"/>
              <w:spacing w:after="0"/>
              <w:rPr>
                <w:sz w:val="20"/>
                <w:szCs w:val="20"/>
                <w:color w:val="auto"/>
              </w:rPr>
            </w:pPr>
            <w:r>
              <w:rPr>
                <w:rFonts w:ascii="Arial" w:cs="Arial" w:eastAsia="Arial" w:hAnsi="Arial"/>
                <w:sz w:val="18"/>
                <w:szCs w:val="18"/>
                <w:color w:val="auto"/>
              </w:rPr>
              <w:t>Financial Statement Schedules:</w:t>
            </w:r>
          </w:p>
        </w:tc>
        <w:tc>
          <w:tcPr>
            <w:tcW w:w="860" w:type="dxa"/>
            <w:vAlign w:val="bottom"/>
          </w:tcPr>
          <w:p>
            <w:pPr>
              <w:spacing w:after="0"/>
              <w:rPr>
                <w:sz w:val="22"/>
                <w:szCs w:val="22"/>
                <w:color w:val="auto"/>
              </w:rPr>
            </w:pPr>
          </w:p>
        </w:tc>
      </w:tr>
      <w:tr>
        <w:trPr>
          <w:trHeight w:val="270"/>
        </w:trPr>
        <w:tc>
          <w:tcPr>
            <w:tcW w:w="700" w:type="dxa"/>
            <w:vAlign w:val="bottom"/>
          </w:tcPr>
          <w:p>
            <w:pPr>
              <w:spacing w:after="0"/>
              <w:rPr>
                <w:sz w:val="23"/>
                <w:szCs w:val="23"/>
                <w:color w:val="auto"/>
              </w:rPr>
            </w:pPr>
          </w:p>
        </w:tc>
        <w:tc>
          <w:tcPr>
            <w:tcW w:w="9660" w:type="dxa"/>
            <w:vAlign w:val="bottom"/>
          </w:tcPr>
          <w:p>
            <w:pPr>
              <w:ind w:left="2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Schedule II Valuation and Qualifying Accounts</w:t>
              </w:r>
            </w:hyperlink>
          </w:p>
        </w:tc>
        <w:tc>
          <w:tcPr>
            <w:tcW w:w="860" w:type="dxa"/>
            <w:vAlign w:val="bottom"/>
          </w:tcPr>
          <w:p>
            <w:pPr>
              <w:jc w:val="right"/>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93</w:t>
              </w:r>
            </w:hyperlink>
          </w:p>
        </w:tc>
      </w:tr>
      <w:tr>
        <w:trPr>
          <w:trHeight w:val="242"/>
        </w:trPr>
        <w:tc>
          <w:tcPr>
            <w:tcW w:w="700" w:type="dxa"/>
            <w:vAlign w:val="bottom"/>
          </w:tcPr>
          <w:p>
            <w:pPr>
              <w:spacing w:after="0"/>
              <w:rPr>
                <w:sz w:val="21"/>
                <w:szCs w:val="21"/>
                <w:color w:val="auto"/>
              </w:rPr>
            </w:pPr>
          </w:p>
        </w:tc>
        <w:tc>
          <w:tcPr>
            <w:tcW w:w="9660" w:type="dxa"/>
            <w:vAlign w:val="bottom"/>
          </w:tcPr>
          <w:p>
            <w:pPr>
              <w:ind w:left="20"/>
              <w:spacing w:after="0"/>
              <w:rPr>
                <w:sz w:val="20"/>
                <w:szCs w:val="20"/>
                <w:color w:val="auto"/>
              </w:rPr>
            </w:pPr>
            <w:r>
              <w:rPr>
                <w:rFonts w:ascii="Arial" w:cs="Arial" w:eastAsia="Arial" w:hAnsi="Arial"/>
                <w:sz w:val="18"/>
                <w:szCs w:val="18"/>
                <w:color w:val="auto"/>
              </w:rPr>
              <w:t>Any of Schedules I through V not listed above have been omitted because they are not applicable or the required</w:t>
            </w:r>
          </w:p>
        </w:tc>
        <w:tc>
          <w:tcPr>
            <w:tcW w:w="860" w:type="dxa"/>
            <w:vAlign w:val="bottom"/>
          </w:tcPr>
          <w:p>
            <w:pPr>
              <w:spacing w:after="0"/>
              <w:rPr>
                <w:sz w:val="21"/>
                <w:szCs w:val="21"/>
                <w:color w:val="auto"/>
              </w:rPr>
            </w:pPr>
          </w:p>
        </w:tc>
      </w:tr>
      <w:tr>
        <w:trPr>
          <w:trHeight w:val="217"/>
        </w:trPr>
        <w:tc>
          <w:tcPr>
            <w:tcW w:w="700" w:type="dxa"/>
            <w:vAlign w:val="bottom"/>
          </w:tcPr>
          <w:p>
            <w:pPr>
              <w:spacing w:after="0"/>
              <w:rPr>
                <w:sz w:val="18"/>
                <w:szCs w:val="18"/>
                <w:color w:val="auto"/>
              </w:rPr>
            </w:pPr>
          </w:p>
        </w:tc>
        <w:tc>
          <w:tcPr>
            <w:tcW w:w="9660" w:type="dxa"/>
            <w:vAlign w:val="bottom"/>
          </w:tcPr>
          <w:p>
            <w:pPr>
              <w:ind w:left="20"/>
              <w:spacing w:after="0"/>
              <w:rPr>
                <w:sz w:val="20"/>
                <w:szCs w:val="20"/>
                <w:color w:val="auto"/>
              </w:rPr>
            </w:pPr>
            <w:r>
              <w:rPr>
                <w:rFonts w:ascii="Arial" w:cs="Arial" w:eastAsia="Arial" w:hAnsi="Arial"/>
                <w:sz w:val="18"/>
                <w:szCs w:val="18"/>
                <w:color w:val="auto"/>
              </w:rPr>
              <w:t>information is included in the consolidated financial statements or notes thereto</w:t>
            </w:r>
          </w:p>
        </w:tc>
        <w:tc>
          <w:tcPr>
            <w:tcW w:w="860" w:type="dxa"/>
            <w:vAlign w:val="bottom"/>
          </w:tcPr>
          <w:p>
            <w:pPr>
              <w:spacing w:after="0"/>
              <w:rPr>
                <w:sz w:val="18"/>
                <w:szCs w:val="18"/>
                <w:color w:val="auto"/>
              </w:rPr>
            </w:pPr>
          </w:p>
        </w:tc>
      </w:tr>
    </w:tbl>
    <w:p>
      <w:pPr>
        <w:spacing w:after="0" w:line="40" w:lineRule="exact"/>
        <w:rPr>
          <w:sz w:val="20"/>
          <w:szCs w:val="20"/>
          <w:color w:val="auto"/>
        </w:rPr>
      </w:pPr>
    </w:p>
    <w:p>
      <w:pPr>
        <w:ind w:left="720" w:hanging="484"/>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Exhibits filed with this report (begins on next page):</w:t>
      </w:r>
    </w:p>
    <w:p>
      <w:pPr>
        <w:spacing w:after="0" w:line="49" w:lineRule="exact"/>
        <w:rPr>
          <w:rFonts w:ascii="Arial" w:cs="Arial" w:eastAsia="Arial" w:hAnsi="Arial"/>
          <w:sz w:val="18"/>
          <w:szCs w:val="18"/>
          <w:color w:val="auto"/>
        </w:rPr>
      </w:pPr>
    </w:p>
    <w:p>
      <w:pPr>
        <w:jc w:val="both"/>
        <w:ind w:left="720" w:right="1240"/>
        <w:spacing w:after="0" w:line="274" w:lineRule="auto"/>
        <w:rPr>
          <w:rFonts w:ascii="Arial" w:cs="Arial" w:eastAsia="Arial" w:hAnsi="Arial"/>
          <w:sz w:val="18"/>
          <w:szCs w:val="18"/>
          <w:color w:val="auto"/>
        </w:rPr>
      </w:pPr>
      <w:r>
        <w:rPr>
          <w:rFonts w:ascii="Arial" w:cs="Arial" w:eastAsia="Arial" w:hAnsi="Arial"/>
          <w:sz w:val="17"/>
          <w:szCs w:val="17"/>
          <w:color w:val="auto"/>
        </w:rPr>
        <w:t>Copies of exhibits will be furnished to stockholders upon request at a nominal fee. Requests should be sent to Acuity Brands, Inc., Investor Relations Department, 1170 Peachtree Street, N.E., Suite 2300, Atlanta, Georgia 30309-7676</w:t>
      </w:r>
    </w:p>
    <w:p>
      <w:pPr>
        <w:sectPr>
          <w:pgSz w:w="11900" w:h="16838" w:orient="portrait"/>
          <w:cols w:equalWidth="0" w:num="1">
            <w:col w:w="11220"/>
          </w:cols>
          <w:pgMar w:left="320" w:top="260" w:right="359" w:bottom="1440" w:gutter="0" w:footer="0" w:header="0"/>
        </w:sectPr>
      </w:pP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1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gridSpan w:val="11"/>
          </w:tcPr>
          <w:p>
            <w:pPr>
              <w:ind w:left="780"/>
              <w:spacing w:after="0"/>
              <w:rPr>
                <w:sz w:val="20"/>
                <w:szCs w:val="20"/>
                <w:color w:val="auto"/>
              </w:rPr>
            </w:pPr>
            <w:r>
              <w:rPr>
                <w:rFonts w:ascii="Arial" w:cs="Arial" w:eastAsia="Arial" w:hAnsi="Arial"/>
                <w:sz w:val="18"/>
                <w:szCs w:val="18"/>
                <w:b w:val="1"/>
                <w:bCs w:val="1"/>
                <w:color w:val="auto"/>
                <w:w w:val="99"/>
              </w:rPr>
              <w:t>INDEX TO EXHIBITS</w:t>
            </w:r>
          </w:p>
        </w:tc>
      </w:tr>
      <w:tr>
        <w:trPr>
          <w:trHeight w:val="337"/>
        </w:trPr>
        <w:tc>
          <w:tcPr>
            <w:tcW w:w="1460" w:type="dxa"/>
            <w:vAlign w:val="bottom"/>
          </w:tcPr>
          <w:p>
            <w:pPr>
              <w:spacing w:after="0"/>
              <w:rPr>
                <w:sz w:val="20"/>
                <w:szCs w:val="20"/>
                <w:color w:val="auto"/>
              </w:rPr>
            </w:pPr>
            <w:r>
              <w:rPr>
                <w:rFonts w:ascii="Arial" w:cs="Arial" w:eastAsia="Arial" w:hAnsi="Arial"/>
                <w:sz w:val="18"/>
                <w:szCs w:val="18"/>
                <w:color w:val="auto"/>
              </w:rPr>
              <w:t>EXHIBIT 3</w:t>
            </w:r>
          </w:p>
        </w:tc>
        <w:tc>
          <w:tcPr>
            <w:tcW w:w="780" w:type="dxa"/>
            <w:vAlign w:val="bottom"/>
          </w:tcPr>
          <w:p>
            <w:pPr>
              <w:ind w:left="360"/>
              <w:spacing w:after="0"/>
              <w:rPr>
                <w:sz w:val="20"/>
                <w:szCs w:val="20"/>
                <w:color w:val="auto"/>
              </w:rPr>
            </w:pPr>
            <w:r>
              <w:rPr>
                <w:rFonts w:ascii="Arial" w:cs="Arial" w:eastAsia="Arial" w:hAnsi="Arial"/>
                <w:sz w:val="18"/>
                <w:szCs w:val="18"/>
                <w:color w:val="auto"/>
              </w:rPr>
              <w:t>(a)</w:t>
            </w:r>
          </w:p>
        </w:tc>
        <w:tc>
          <w:tcPr>
            <w:tcW w:w="4220" w:type="dxa"/>
            <w:vAlign w:val="bottom"/>
            <w:gridSpan w:val="14"/>
          </w:tcPr>
          <w:p>
            <w:pPr>
              <w:spacing w:after="0"/>
              <w:rPr>
                <w:rFonts w:ascii="Arial" w:cs="Arial" w:eastAsia="Arial" w:hAnsi="Arial"/>
                <w:sz w:val="18"/>
                <w:szCs w:val="18"/>
                <w:color w:val="0000FF"/>
              </w:rPr>
            </w:pPr>
            <w:hyperlink r:id="rId51">
              <w:r>
                <w:rPr>
                  <w:rFonts w:ascii="Arial" w:cs="Arial" w:eastAsia="Arial" w:hAnsi="Arial"/>
                  <w:sz w:val="18"/>
                  <w:szCs w:val="18"/>
                  <w:color w:val="0000FF"/>
                </w:rPr>
                <w:t>Restated Certificate of Incorporation of Acuity</w:t>
              </w:r>
            </w:hyperlink>
          </w:p>
        </w:tc>
      </w:tr>
      <w:tr>
        <w:trPr>
          <w:trHeight w:val="20"/>
        </w:trPr>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14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51">
              <w:r>
                <w:rPr>
                  <w:rFonts w:ascii="Arial" w:cs="Arial" w:eastAsia="Arial" w:hAnsi="Arial"/>
                  <w:sz w:val="18"/>
                  <w:szCs w:val="18"/>
                  <w:color w:val="0000FF"/>
                  <w:w w:val="99"/>
                </w:rPr>
                <w:t>Brands, Inc. (formerly Acuity Brands Holdings, Inc.),</w:t>
              </w:r>
            </w:hyperlink>
          </w:p>
        </w:tc>
        <w:tc>
          <w:tcPr>
            <w:tcW w:w="80" w:type="dxa"/>
            <w:vAlign w:val="bottom"/>
            <w:gridSpan w:val="2"/>
          </w:tcPr>
          <w:p>
            <w:pPr>
              <w:spacing w:after="0"/>
              <w:rPr>
                <w:sz w:val="15"/>
                <w:szCs w:val="15"/>
                <w:color w:val="auto"/>
              </w:rPr>
            </w:pPr>
          </w:p>
        </w:tc>
      </w:tr>
      <w:tr>
        <w:trPr>
          <w:trHeight w:val="183"/>
        </w:trPr>
        <w:tc>
          <w:tcPr>
            <w:tcW w:w="1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4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r:id="rId51">
              <w:r>
                <w:rPr>
                  <w:rFonts w:ascii="Arial" w:cs="Arial" w:eastAsia="Arial" w:hAnsi="Arial"/>
                  <w:sz w:val="18"/>
                  <w:szCs w:val="18"/>
                  <w:color w:val="0000FF"/>
                  <w:w w:val="99"/>
                </w:rPr>
                <w:t>dated as of September 26, 2007.</w:t>
              </w:r>
            </w:hyperlink>
          </w:p>
        </w:tc>
        <w:tc>
          <w:tcPr>
            <w:tcW w:w="1580" w:type="dxa"/>
            <w:vAlign w:val="bottom"/>
            <w:gridSpan w:val="10"/>
          </w:tcPr>
          <w:p>
            <w:pPr>
              <w:spacing w:after="0"/>
              <w:rPr>
                <w:sz w:val="15"/>
                <w:szCs w:val="15"/>
                <w:color w:val="auto"/>
              </w:rPr>
            </w:pPr>
          </w:p>
        </w:tc>
      </w:tr>
      <w:tr>
        <w:trPr>
          <w:trHeight w:val="236"/>
        </w:trPr>
        <w:tc>
          <w:tcPr>
            <w:tcW w:w="1460" w:type="dxa"/>
            <w:vAlign w:val="bottom"/>
          </w:tcPr>
          <w:p>
            <w:pPr>
              <w:spacing w:after="0"/>
              <w:rPr>
                <w:sz w:val="20"/>
                <w:szCs w:val="20"/>
                <w:color w:val="auto"/>
              </w:rPr>
            </w:pPr>
          </w:p>
        </w:tc>
        <w:tc>
          <w:tcPr>
            <w:tcW w:w="5000" w:type="dxa"/>
            <w:vAlign w:val="bottom"/>
            <w:gridSpan w:val="15"/>
          </w:tcPr>
          <w:p>
            <w:pPr>
              <w:ind w:left="360"/>
              <w:spacing w:after="0"/>
              <w:rPr>
                <w:rFonts w:ascii="Arial" w:cs="Arial" w:eastAsia="Arial" w:hAnsi="Arial"/>
                <w:sz w:val="18"/>
                <w:szCs w:val="18"/>
                <w:color w:val="auto"/>
              </w:rPr>
            </w:pPr>
            <w:r>
              <w:rPr>
                <w:rFonts w:ascii="Arial" w:cs="Arial" w:eastAsia="Arial" w:hAnsi="Arial"/>
                <w:sz w:val="18"/>
                <w:szCs w:val="18"/>
                <w:color w:val="auto"/>
              </w:rPr>
              <w:t xml:space="preserve">(b)  </w:t>
            </w:r>
            <w:hyperlink r:id="rId52">
              <w:r>
                <w:rPr>
                  <w:rFonts w:ascii="Arial" w:cs="Arial" w:eastAsia="Arial" w:hAnsi="Arial"/>
                  <w:sz w:val="18"/>
                  <w:szCs w:val="18"/>
                  <w:color w:val="0000FF"/>
                </w:rPr>
                <w:t>Certificate of Amendment of Acuity Brands, Inc.</w:t>
              </w:r>
            </w:hyperlink>
          </w:p>
        </w:tc>
      </w:tr>
      <w:tr>
        <w:trPr>
          <w:trHeight w:val="20"/>
        </w:trPr>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20" w:type="dxa"/>
            <w:vAlign w:val="bottom"/>
            <w:gridSpan w:val="14"/>
          </w:tcPr>
          <w:p>
            <w:pPr>
              <w:spacing w:after="0" w:line="182" w:lineRule="exact"/>
              <w:rPr>
                <w:rFonts w:ascii="Arial" w:cs="Arial" w:eastAsia="Arial" w:hAnsi="Arial"/>
                <w:sz w:val="18"/>
                <w:szCs w:val="18"/>
                <w:color w:val="0000FF"/>
              </w:rPr>
            </w:pPr>
            <w:hyperlink r:id="rId52">
              <w:r>
                <w:rPr>
                  <w:rFonts w:ascii="Arial" w:cs="Arial" w:eastAsia="Arial" w:hAnsi="Arial"/>
                  <w:sz w:val="18"/>
                  <w:szCs w:val="18"/>
                  <w:color w:val="0000FF"/>
                </w:rPr>
                <w:t>(formerly Acuity Brands Holdings, Inc.), dated as of</w:t>
              </w:r>
            </w:hyperlink>
          </w:p>
        </w:tc>
      </w:tr>
      <w:tr>
        <w:trPr>
          <w:trHeight w:val="183"/>
        </w:trPr>
        <w:tc>
          <w:tcPr>
            <w:tcW w:w="1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0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r:id="rId52">
              <w:r>
                <w:rPr>
                  <w:rFonts w:ascii="Arial" w:cs="Arial" w:eastAsia="Arial" w:hAnsi="Arial"/>
                  <w:sz w:val="18"/>
                  <w:szCs w:val="18"/>
                  <w:color w:val="0000FF"/>
                  <w:w w:val="99"/>
                </w:rPr>
                <w:t>September 26, 2007.</w:t>
              </w:r>
            </w:hyperlink>
          </w:p>
        </w:tc>
        <w:tc>
          <w:tcPr>
            <w:tcW w:w="2360" w:type="dxa"/>
            <w:vAlign w:val="bottom"/>
            <w:tcBorders>
              <w:top w:val="single" w:sz="8" w:color="0000FF"/>
            </w:tcBorders>
            <w:gridSpan w:val="7"/>
          </w:tcPr>
          <w:p>
            <w:pPr>
              <w:spacing w:after="0"/>
              <w:rPr>
                <w:sz w:val="15"/>
                <w:szCs w:val="15"/>
                <w:color w:val="auto"/>
              </w:rPr>
            </w:pPr>
          </w:p>
        </w:tc>
        <w:tc>
          <w:tcPr>
            <w:tcW w:w="160" w:type="dxa"/>
            <w:vAlign w:val="bottom"/>
            <w:gridSpan w:val="4"/>
          </w:tcPr>
          <w:p>
            <w:pPr>
              <w:spacing w:after="0"/>
              <w:rPr>
                <w:sz w:val="15"/>
                <w:szCs w:val="15"/>
                <w:color w:val="auto"/>
              </w:rPr>
            </w:pPr>
          </w:p>
        </w:tc>
      </w:tr>
      <w:tr>
        <w:trPr>
          <w:trHeight w:val="237"/>
        </w:trPr>
        <w:tc>
          <w:tcPr>
            <w:tcW w:w="1460" w:type="dxa"/>
            <w:vAlign w:val="bottom"/>
          </w:tcPr>
          <w:p>
            <w:pPr>
              <w:spacing w:after="0"/>
              <w:rPr>
                <w:sz w:val="20"/>
                <w:szCs w:val="20"/>
                <w:color w:val="auto"/>
              </w:rPr>
            </w:pPr>
          </w:p>
        </w:tc>
        <w:tc>
          <w:tcPr>
            <w:tcW w:w="5000" w:type="dxa"/>
            <w:vAlign w:val="bottom"/>
            <w:gridSpan w:val="15"/>
          </w:tcPr>
          <w:p>
            <w:pPr>
              <w:ind w:left="380"/>
              <w:spacing w:after="0"/>
              <w:rPr>
                <w:rFonts w:ascii="Arial" w:cs="Arial" w:eastAsia="Arial" w:hAnsi="Arial"/>
                <w:sz w:val="18"/>
                <w:szCs w:val="18"/>
                <w:color w:val="auto"/>
              </w:rPr>
            </w:pPr>
            <w:r>
              <w:rPr>
                <w:rFonts w:ascii="Arial" w:cs="Arial" w:eastAsia="Arial" w:hAnsi="Arial"/>
                <w:sz w:val="18"/>
                <w:szCs w:val="18"/>
                <w:color w:val="auto"/>
              </w:rPr>
              <w:t xml:space="preserve">(c)  </w:t>
            </w:r>
            <w:hyperlink r:id="rId53">
              <w:r>
                <w:rPr>
                  <w:rFonts w:ascii="Arial" w:cs="Arial" w:eastAsia="Arial" w:hAnsi="Arial"/>
                  <w:sz w:val="18"/>
                  <w:szCs w:val="18"/>
                  <w:color w:val="0000FF"/>
                </w:rPr>
                <w:t>Certificate of Amendment to the Restated Certificate</w:t>
              </w:r>
            </w:hyperlink>
          </w:p>
        </w:tc>
      </w:tr>
      <w:tr>
        <w:trPr>
          <w:trHeight w:val="183"/>
        </w:trPr>
        <w:tc>
          <w:tcPr>
            <w:tcW w:w="1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16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53">
              <w:r>
                <w:rPr>
                  <w:rFonts w:ascii="Arial" w:cs="Arial" w:eastAsia="Arial" w:hAnsi="Arial"/>
                  <w:sz w:val="18"/>
                  <w:szCs w:val="18"/>
                  <w:color w:val="0000FF"/>
                </w:rPr>
                <w:t>of Incorporation of Acuity Brands, Inc., dated as of</w:t>
              </w:r>
            </w:hyperlink>
          </w:p>
        </w:tc>
        <w:tc>
          <w:tcPr>
            <w:tcW w:w="60" w:type="dxa"/>
            <w:vAlign w:val="bottom"/>
          </w:tcPr>
          <w:p>
            <w:pPr>
              <w:spacing w:after="0"/>
              <w:rPr>
                <w:sz w:val="15"/>
                <w:szCs w:val="15"/>
                <w:color w:val="auto"/>
              </w:rPr>
            </w:pPr>
          </w:p>
        </w:tc>
      </w:tr>
      <w:tr>
        <w:trPr>
          <w:trHeight w:val="183"/>
        </w:trPr>
        <w:tc>
          <w:tcPr>
            <w:tcW w:w="1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53">
              <w:r>
                <w:rPr>
                  <w:rFonts w:ascii="Arial" w:cs="Arial" w:eastAsia="Arial" w:hAnsi="Arial"/>
                  <w:sz w:val="18"/>
                  <w:szCs w:val="18"/>
                  <w:color w:val="0000FF"/>
                  <w:w w:val="99"/>
                </w:rPr>
                <w:t>January 6, 2017.</w:t>
              </w:r>
            </w:hyperlink>
          </w:p>
        </w:tc>
        <w:tc>
          <w:tcPr>
            <w:tcW w:w="2640" w:type="dxa"/>
            <w:vAlign w:val="bottom"/>
            <w:tcBorders>
              <w:top w:val="single" w:sz="8" w:color="0000FF"/>
            </w:tcBorders>
            <w:gridSpan w:val="7"/>
          </w:tcPr>
          <w:p>
            <w:pPr>
              <w:spacing w:after="0"/>
              <w:rPr>
                <w:sz w:val="15"/>
                <w:szCs w:val="15"/>
                <w:color w:val="auto"/>
              </w:rPr>
            </w:pPr>
          </w:p>
        </w:tc>
        <w:tc>
          <w:tcPr>
            <w:tcW w:w="220" w:type="dxa"/>
            <w:vAlign w:val="bottom"/>
            <w:gridSpan w:val="5"/>
          </w:tcPr>
          <w:p>
            <w:pPr>
              <w:spacing w:after="0"/>
              <w:rPr>
                <w:sz w:val="15"/>
                <w:szCs w:val="15"/>
                <w:color w:val="auto"/>
              </w:rPr>
            </w:pPr>
          </w:p>
        </w:tc>
      </w:tr>
      <w:tr>
        <w:trPr>
          <w:trHeight w:val="439"/>
        </w:trPr>
        <w:tc>
          <w:tcPr>
            <w:tcW w:w="1460" w:type="dxa"/>
            <w:vAlign w:val="bottom"/>
          </w:tcPr>
          <w:p>
            <w:pPr>
              <w:spacing w:after="0"/>
              <w:rPr>
                <w:sz w:val="24"/>
                <w:szCs w:val="24"/>
                <w:color w:val="auto"/>
              </w:rPr>
            </w:pPr>
          </w:p>
        </w:tc>
        <w:tc>
          <w:tcPr>
            <w:tcW w:w="5000" w:type="dxa"/>
            <w:vAlign w:val="bottom"/>
            <w:gridSpan w:val="15"/>
          </w:tcPr>
          <w:p>
            <w:pPr>
              <w:ind w:left="360"/>
              <w:spacing w:after="0"/>
              <w:rPr>
                <w:rFonts w:ascii="Arial" w:cs="Arial" w:eastAsia="Arial" w:hAnsi="Arial"/>
                <w:sz w:val="18"/>
                <w:szCs w:val="18"/>
                <w:color w:val="auto"/>
              </w:rPr>
            </w:pPr>
            <w:r>
              <w:rPr>
                <w:rFonts w:ascii="Arial" w:cs="Arial" w:eastAsia="Arial" w:hAnsi="Arial"/>
                <w:sz w:val="18"/>
                <w:szCs w:val="18"/>
                <w:color w:val="auto"/>
              </w:rPr>
              <w:t xml:space="preserve">(d)  </w:t>
            </w:r>
            <w:hyperlink r:id="rId54">
              <w:r>
                <w:rPr>
                  <w:rFonts w:ascii="Arial" w:cs="Arial" w:eastAsia="Arial" w:hAnsi="Arial"/>
                  <w:sz w:val="18"/>
                  <w:szCs w:val="18"/>
                  <w:color w:val="0000FF"/>
                </w:rPr>
                <w:t>Amended and Restated Bylaws of Acuity Brands,</w:t>
              </w:r>
            </w:hyperlink>
          </w:p>
        </w:tc>
      </w:tr>
      <w:tr>
        <w:trPr>
          <w:trHeight w:val="183"/>
        </w:trPr>
        <w:tc>
          <w:tcPr>
            <w:tcW w:w="1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92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54">
              <w:r>
                <w:rPr>
                  <w:rFonts w:ascii="Arial" w:cs="Arial" w:eastAsia="Arial" w:hAnsi="Arial"/>
                  <w:sz w:val="18"/>
                  <w:szCs w:val="18"/>
                  <w:color w:val="0000FF"/>
                </w:rPr>
                <w:t>Inc., dated as of January 6, 2017.</w:t>
              </w:r>
            </w:hyperlink>
          </w:p>
        </w:tc>
        <w:tc>
          <w:tcPr>
            <w:tcW w:w="300" w:type="dxa"/>
            <w:vAlign w:val="bottom"/>
            <w:gridSpan w:val="6"/>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439"/>
        </w:trPr>
        <w:tc>
          <w:tcPr>
            <w:tcW w:w="1460" w:type="dxa"/>
            <w:vAlign w:val="bottom"/>
          </w:tcPr>
          <w:p>
            <w:pPr>
              <w:spacing w:after="0"/>
              <w:rPr>
                <w:sz w:val="20"/>
                <w:szCs w:val="20"/>
                <w:color w:val="auto"/>
              </w:rPr>
            </w:pPr>
            <w:r>
              <w:rPr>
                <w:rFonts w:ascii="Arial" w:cs="Arial" w:eastAsia="Arial" w:hAnsi="Arial"/>
                <w:sz w:val="18"/>
                <w:szCs w:val="18"/>
                <w:color w:val="auto"/>
              </w:rPr>
              <w:t>EXHIBIT 4</w:t>
            </w:r>
          </w:p>
        </w:tc>
        <w:tc>
          <w:tcPr>
            <w:tcW w:w="780" w:type="dxa"/>
            <w:vAlign w:val="bottom"/>
          </w:tcPr>
          <w:p>
            <w:pPr>
              <w:ind w:left="360"/>
              <w:spacing w:after="0"/>
              <w:rPr>
                <w:sz w:val="20"/>
                <w:szCs w:val="20"/>
                <w:color w:val="auto"/>
              </w:rPr>
            </w:pPr>
            <w:r>
              <w:rPr>
                <w:rFonts w:ascii="Arial" w:cs="Arial" w:eastAsia="Arial" w:hAnsi="Arial"/>
                <w:sz w:val="18"/>
                <w:szCs w:val="18"/>
                <w:color w:val="auto"/>
              </w:rPr>
              <w:t>(a)</w:t>
            </w:r>
          </w:p>
        </w:tc>
        <w:tc>
          <w:tcPr>
            <w:tcW w:w="4220" w:type="dxa"/>
            <w:vAlign w:val="bottom"/>
            <w:gridSpan w:val="14"/>
          </w:tcPr>
          <w:p>
            <w:pPr>
              <w:spacing w:after="0"/>
              <w:rPr>
                <w:rFonts w:ascii="Arial" w:cs="Arial" w:eastAsia="Arial" w:hAnsi="Arial"/>
                <w:sz w:val="18"/>
                <w:szCs w:val="18"/>
                <w:color w:val="0000FF"/>
              </w:rPr>
            </w:pPr>
            <w:hyperlink r:id="rId55">
              <w:r>
                <w:rPr>
                  <w:rFonts w:ascii="Arial" w:cs="Arial" w:eastAsia="Arial" w:hAnsi="Arial"/>
                  <w:sz w:val="18"/>
                  <w:szCs w:val="18"/>
                  <w:color w:val="0000FF"/>
                </w:rPr>
                <w:t>Form of Certificate representing Acuity Brands, Inc.</w:t>
              </w:r>
            </w:hyperlink>
          </w:p>
        </w:tc>
      </w:tr>
      <w:tr>
        <w:trPr>
          <w:trHeight w:val="183"/>
        </w:trPr>
        <w:tc>
          <w:tcPr>
            <w:tcW w:w="1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8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55">
              <w:r>
                <w:rPr>
                  <w:rFonts w:ascii="Arial" w:cs="Arial" w:eastAsia="Arial" w:hAnsi="Arial"/>
                  <w:sz w:val="18"/>
                  <w:szCs w:val="18"/>
                  <w:color w:val="0000FF"/>
                </w:rPr>
                <w:t>Common Stock.</w:t>
              </w:r>
            </w:hyperlink>
          </w:p>
        </w:tc>
        <w:tc>
          <w:tcPr>
            <w:tcW w:w="140" w:type="dxa"/>
            <w:vAlign w:val="bottom"/>
            <w:gridSpan w:val="3"/>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940" w:type="dxa"/>
            <w:vAlign w:val="bottom"/>
            <w:gridSpan w:val="13"/>
          </w:tcPr>
          <w:p>
            <w:pPr>
              <w:spacing w:after="0" w:line="20" w:lineRule="exact"/>
              <w:rPr>
                <w:sz w:val="1"/>
                <w:szCs w:val="1"/>
                <w:color w:val="auto"/>
              </w:rPr>
            </w:pPr>
          </w:p>
        </w:tc>
      </w:tr>
      <w:tr>
        <w:trPr>
          <w:trHeight w:val="480"/>
        </w:trPr>
        <w:tc>
          <w:tcPr>
            <w:tcW w:w="1460" w:type="dxa"/>
            <w:vAlign w:val="bottom"/>
          </w:tcPr>
          <w:p>
            <w:pPr>
              <w:spacing w:after="0"/>
              <w:rPr>
                <w:sz w:val="24"/>
                <w:szCs w:val="24"/>
                <w:color w:val="auto"/>
              </w:rPr>
            </w:pPr>
          </w:p>
        </w:tc>
        <w:tc>
          <w:tcPr>
            <w:tcW w:w="5000" w:type="dxa"/>
            <w:vAlign w:val="bottom"/>
            <w:gridSpan w:val="15"/>
          </w:tcPr>
          <w:p>
            <w:pPr>
              <w:ind w:left="360"/>
              <w:spacing w:after="0"/>
              <w:rPr>
                <w:rFonts w:ascii="Arial" w:cs="Arial" w:eastAsia="Arial" w:hAnsi="Arial"/>
                <w:sz w:val="18"/>
                <w:szCs w:val="18"/>
                <w:color w:val="auto"/>
              </w:rPr>
            </w:pPr>
            <w:r>
              <w:rPr>
                <w:rFonts w:ascii="Arial" w:cs="Arial" w:eastAsia="Arial" w:hAnsi="Arial"/>
                <w:sz w:val="18"/>
                <w:szCs w:val="18"/>
                <w:color w:val="auto"/>
              </w:rPr>
              <w:t xml:space="preserve">(b)  </w:t>
            </w:r>
            <w:hyperlink w:anchor="page96">
              <w:r>
                <w:rPr>
                  <w:rFonts w:ascii="Arial" w:cs="Arial" w:eastAsia="Arial" w:hAnsi="Arial"/>
                  <w:sz w:val="18"/>
                  <w:szCs w:val="18"/>
                  <w:u w:val="single" w:color="auto"/>
                  <w:color w:val="0000FF"/>
                </w:rPr>
                <w:t>Description of Securities.</w:t>
              </w:r>
            </w:hyperlink>
          </w:p>
        </w:tc>
      </w:tr>
      <w:tr>
        <w:trPr>
          <w:trHeight w:val="270"/>
        </w:trPr>
        <w:tc>
          <w:tcPr>
            <w:tcW w:w="1460" w:type="dxa"/>
            <w:vAlign w:val="bottom"/>
          </w:tcPr>
          <w:p>
            <w:pPr>
              <w:spacing w:after="0"/>
              <w:rPr>
                <w:sz w:val="20"/>
                <w:szCs w:val="20"/>
                <w:color w:val="auto"/>
              </w:rPr>
            </w:pPr>
            <w:r>
              <w:rPr>
                <w:rFonts w:ascii="Arial" w:cs="Arial" w:eastAsia="Arial" w:hAnsi="Arial"/>
                <w:sz w:val="18"/>
                <w:szCs w:val="18"/>
                <w:color w:val="auto"/>
              </w:rPr>
              <w:t>EXHIBIT 10(i)</w:t>
            </w:r>
          </w:p>
        </w:tc>
        <w:tc>
          <w:tcPr>
            <w:tcW w:w="780" w:type="dxa"/>
            <w:vAlign w:val="bottom"/>
          </w:tcPr>
          <w:p>
            <w:pPr>
              <w:ind w:left="360"/>
              <w:spacing w:after="0"/>
              <w:rPr>
                <w:sz w:val="20"/>
                <w:szCs w:val="20"/>
                <w:color w:val="auto"/>
              </w:rPr>
            </w:pPr>
            <w:r>
              <w:rPr>
                <w:rFonts w:ascii="Arial" w:cs="Arial" w:eastAsia="Arial" w:hAnsi="Arial"/>
                <w:sz w:val="18"/>
                <w:szCs w:val="18"/>
                <w:color w:val="auto"/>
              </w:rPr>
              <w:t>(1)</w:t>
            </w:r>
          </w:p>
        </w:tc>
        <w:tc>
          <w:tcPr>
            <w:tcW w:w="4220" w:type="dxa"/>
            <w:vAlign w:val="bottom"/>
            <w:gridSpan w:val="14"/>
          </w:tcPr>
          <w:p>
            <w:pPr>
              <w:spacing w:after="0"/>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Five-Year Credit Agreement dated June 29, 2018.</w:t>
              </w:r>
            </w:hyperlink>
          </w:p>
        </w:tc>
      </w:tr>
      <w:tr>
        <w:trPr>
          <w:trHeight w:val="621"/>
        </w:trPr>
        <w:tc>
          <w:tcPr>
            <w:tcW w:w="1460" w:type="dxa"/>
            <w:vAlign w:val="bottom"/>
          </w:tcPr>
          <w:p>
            <w:pPr>
              <w:spacing w:after="0"/>
              <w:rPr>
                <w:sz w:val="24"/>
                <w:szCs w:val="24"/>
                <w:color w:val="auto"/>
              </w:rPr>
            </w:pPr>
          </w:p>
        </w:tc>
        <w:tc>
          <w:tcPr>
            <w:tcW w:w="780" w:type="dxa"/>
            <w:vAlign w:val="bottom"/>
          </w:tcPr>
          <w:p>
            <w:pPr>
              <w:ind w:left="360"/>
              <w:spacing w:after="0"/>
              <w:rPr>
                <w:sz w:val="20"/>
                <w:szCs w:val="20"/>
                <w:color w:val="auto"/>
              </w:rPr>
            </w:pPr>
            <w:r>
              <w:rPr>
                <w:rFonts w:ascii="Arial" w:cs="Arial" w:eastAsia="Arial" w:hAnsi="Arial"/>
                <w:sz w:val="18"/>
                <w:szCs w:val="18"/>
                <w:color w:val="auto"/>
              </w:rPr>
              <w:t>(2)</w:t>
            </w:r>
          </w:p>
        </w:tc>
        <w:tc>
          <w:tcPr>
            <w:tcW w:w="4220" w:type="dxa"/>
            <w:vAlign w:val="bottom"/>
            <w:tcBorders>
              <w:bottom w:val="single" w:sz="8" w:color="0000FF"/>
            </w:tcBorders>
            <w:gridSpan w:val="14"/>
          </w:tcPr>
          <w:p>
            <w:pPr>
              <w:spacing w:after="0"/>
              <w:rPr>
                <w:rFonts w:ascii="Arial" w:cs="Arial" w:eastAsia="Arial" w:hAnsi="Arial"/>
                <w:sz w:val="18"/>
                <w:szCs w:val="18"/>
                <w:color w:val="0000FF"/>
                <w:w w:val="99"/>
              </w:rPr>
            </w:pPr>
            <w:hyperlink r:id="rId57">
              <w:r>
                <w:rPr>
                  <w:rFonts w:ascii="Arial" w:cs="Arial" w:eastAsia="Arial" w:hAnsi="Arial"/>
                  <w:sz w:val="18"/>
                  <w:szCs w:val="18"/>
                  <w:color w:val="0000FF"/>
                  <w:w w:val="99"/>
                </w:rPr>
                <w:t>Amendment No. 1 dated as of April 22, 2019 to Five-</w:t>
              </w:r>
            </w:hyperlink>
          </w:p>
        </w:tc>
      </w:tr>
      <w:tr>
        <w:trPr>
          <w:trHeight w:val="223"/>
        </w:trPr>
        <w:tc>
          <w:tcPr>
            <w:tcW w:w="1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20" w:type="dxa"/>
            <w:vAlign w:val="bottom"/>
            <w:gridSpan w:val="14"/>
          </w:tcPr>
          <w:p>
            <w:pPr>
              <w:spacing w:after="0"/>
              <w:rPr>
                <w:rFonts w:ascii="Arial" w:cs="Arial" w:eastAsia="Arial" w:hAnsi="Arial"/>
                <w:sz w:val="18"/>
                <w:szCs w:val="18"/>
                <w:u w:val="single" w:color="auto"/>
                <w:color w:val="0000FF"/>
              </w:rPr>
            </w:pPr>
            <w:hyperlink r:id="rId57">
              <w:r>
                <w:rPr>
                  <w:rFonts w:ascii="Arial" w:cs="Arial" w:eastAsia="Arial" w:hAnsi="Arial"/>
                  <w:sz w:val="18"/>
                  <w:szCs w:val="18"/>
                  <w:u w:val="single" w:color="auto"/>
                  <w:color w:val="0000FF"/>
                </w:rPr>
                <w:t>Year Credit Agreement dated June 29, 2018.</w:t>
              </w:r>
            </w:hyperlink>
          </w:p>
        </w:tc>
      </w:tr>
      <w:tr>
        <w:trPr>
          <w:trHeight w:val="648"/>
        </w:trPr>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20" w:type="dxa"/>
            <w:vAlign w:val="bottom"/>
            <w:gridSpan w:val="6"/>
          </w:tcPr>
          <w:p>
            <w:pPr>
              <w:ind w:left="324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Reference is made to Exhibit 3.1 of registrant’s Form 8-K as filed with the Commission on September 26, 2007, which is incorporated herein by reference.</w:t>
      </w:r>
    </w:p>
    <w:p>
      <w:pPr>
        <w:spacing w:after="0" w:line="24"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Reference is made to Exhibit 3.2 of registrant’s Form 8-K as filed with the Commission on September 26, 2007, which is incorporated herein by reference.</w:t>
      </w:r>
    </w:p>
    <w:p>
      <w:pPr>
        <w:spacing w:after="0" w:line="24"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Reference is made to Exhibit 3(c) of registrant’s Form 10 -Q as filed with the Commission on January 9, 2017, which is incorporated herein by reference.</w:t>
      </w:r>
    </w:p>
    <w:p>
      <w:pPr>
        <w:spacing w:after="0" w:line="226"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Reference is made to Exhibit 3(d) of registrant’s Form 10 -Q as filed with the Commission on January 9, 2017, which is incorporated herein by reference.</w:t>
      </w:r>
    </w:p>
    <w:p>
      <w:pPr>
        <w:spacing w:after="0" w:line="24"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Reference is made to Exhibit 4.1 of registrant’s Form 8-K as filed with the Commission on December 14, 2001, which is incorporated herein by reference.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Filed with the Commission as part of this Form 10-K.</w:t>
      </w:r>
    </w:p>
    <w:p>
      <w:pPr>
        <w:spacing w:after="0" w:line="63"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Reference is made to Exhibit 10.1 of registrant’s Form 10-Q as filed with the Commission on July 3, 2018, which is incorporated herein by reference.</w:t>
      </w:r>
    </w:p>
    <w:p>
      <w:pPr>
        <w:spacing w:after="0" w:line="24"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Reference is made to Exhibit 10.1 of registrant's Form 8-K as filed with the Commission on April 24, 2019, which is incorporated herein by reference.</w:t>
      </w:r>
    </w:p>
    <w:p>
      <w:pPr>
        <w:sectPr>
          <w:pgSz w:w="11900" w:h="16838" w:orient="portrait"/>
          <w:cols w:equalWidth="0" w:num="2">
            <w:col w:w="6500" w:space="500"/>
            <w:col w:w="4220"/>
          </w:cols>
          <w:pgMar w:left="320" w:top="260" w:right="35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17"/>
        </w:trPr>
        <w:tc>
          <w:tcPr>
            <w:tcW w:w="2400" w:type="dxa"/>
            <w:vAlign w:val="bottom"/>
          </w:tcPr>
          <w:p>
            <w:pPr>
              <w:jc w:val="center"/>
              <w:ind w:right="910"/>
              <w:spacing w:after="0"/>
              <w:rPr>
                <w:rFonts w:ascii="Arial" w:cs="Arial" w:eastAsia="Arial" w:hAnsi="Arial"/>
                <w:sz w:val="18"/>
                <w:szCs w:val="18"/>
                <w:u w:val="single" w:color="auto"/>
                <w:color w:val="0000EE"/>
                <w:w w:val="98"/>
              </w:rPr>
            </w:pPr>
            <w:hyperlink w:anchor="page2">
              <w:r>
                <w:rPr>
                  <w:rFonts w:ascii="Arial" w:cs="Arial" w:eastAsia="Arial" w:hAnsi="Arial"/>
                  <w:sz w:val="18"/>
                  <w:szCs w:val="18"/>
                  <w:u w:val="single" w:color="auto"/>
                  <w:color w:val="0000EE"/>
                  <w:w w:val="98"/>
                </w:rPr>
                <w:t>Table of Contents</w:t>
              </w:r>
            </w:hyperlink>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580"/>
        </w:trPr>
        <w:tc>
          <w:tcPr>
            <w:tcW w:w="2400" w:type="dxa"/>
            <w:vAlign w:val="bottom"/>
          </w:tcPr>
          <w:p>
            <w:pPr>
              <w:jc w:val="center"/>
              <w:ind w:right="930"/>
              <w:spacing w:after="0"/>
              <w:rPr>
                <w:sz w:val="20"/>
                <w:szCs w:val="20"/>
                <w:color w:val="auto"/>
              </w:rPr>
            </w:pPr>
            <w:r>
              <w:rPr>
                <w:rFonts w:ascii="Arial" w:cs="Arial" w:eastAsia="Arial" w:hAnsi="Arial"/>
                <w:sz w:val="18"/>
                <w:szCs w:val="18"/>
                <w:color w:val="auto"/>
                <w:w w:val="99"/>
              </w:rPr>
              <w:t>EXHIBIT 10(iii)A</w:t>
            </w:r>
          </w:p>
        </w:tc>
        <w:tc>
          <w:tcPr>
            <w:tcW w:w="4200" w:type="dxa"/>
            <w:vAlign w:val="bottom"/>
            <w:gridSpan w:val="19"/>
          </w:tcPr>
          <w:p>
            <w:pPr>
              <w:spacing w:after="0"/>
              <w:rPr>
                <w:sz w:val="20"/>
                <w:szCs w:val="20"/>
                <w:color w:val="auto"/>
              </w:rPr>
            </w:pPr>
            <w:r>
              <w:rPr>
                <w:rFonts w:ascii="Arial" w:cs="Arial" w:eastAsia="Arial" w:hAnsi="Arial"/>
                <w:sz w:val="18"/>
                <w:szCs w:val="18"/>
                <w:color w:val="auto"/>
              </w:rPr>
              <w:t>Management Contracts and Compensatory</w:t>
            </w:r>
          </w:p>
        </w:tc>
      </w:tr>
      <w:tr>
        <w:trPr>
          <w:trHeight w:val="217"/>
        </w:trPr>
        <w:tc>
          <w:tcPr>
            <w:tcW w:w="2400" w:type="dxa"/>
            <w:vAlign w:val="bottom"/>
          </w:tcPr>
          <w:p>
            <w:pPr>
              <w:spacing w:after="0"/>
              <w:rPr>
                <w:sz w:val="18"/>
                <w:szCs w:val="18"/>
                <w:color w:val="auto"/>
              </w:rPr>
            </w:pPr>
          </w:p>
        </w:tc>
        <w:tc>
          <w:tcPr>
            <w:tcW w:w="4200" w:type="dxa"/>
            <w:vAlign w:val="bottom"/>
            <w:gridSpan w:val="19"/>
          </w:tcPr>
          <w:p>
            <w:pPr>
              <w:spacing w:after="0"/>
              <w:rPr>
                <w:sz w:val="20"/>
                <w:szCs w:val="20"/>
                <w:color w:val="auto"/>
              </w:rPr>
            </w:pPr>
            <w:r>
              <w:rPr>
                <w:rFonts w:ascii="Arial" w:cs="Arial" w:eastAsia="Arial" w:hAnsi="Arial"/>
                <w:sz w:val="18"/>
                <w:szCs w:val="18"/>
                <w:color w:val="auto"/>
              </w:rPr>
              <w:t>Arrangements:</w:t>
            </w:r>
          </w:p>
        </w:tc>
      </w:tr>
      <w:tr>
        <w:trPr>
          <w:trHeight w:val="216"/>
        </w:trPr>
        <w:tc>
          <w:tcPr>
            <w:tcW w:w="2400" w:type="dxa"/>
            <w:vAlign w:val="bottom"/>
          </w:tcPr>
          <w:p>
            <w:pPr>
              <w:jc w:val="center"/>
              <w:ind w:left="1570"/>
              <w:spacing w:after="0"/>
              <w:rPr>
                <w:sz w:val="20"/>
                <w:szCs w:val="20"/>
                <w:color w:val="auto"/>
              </w:rPr>
            </w:pPr>
            <w:r>
              <w:rPr>
                <w:rFonts w:ascii="Arial" w:cs="Arial" w:eastAsia="Arial" w:hAnsi="Arial"/>
                <w:sz w:val="18"/>
                <w:szCs w:val="18"/>
                <w:color w:val="auto"/>
                <w:w w:val="99"/>
              </w:rPr>
              <w:t>(1)</w:t>
            </w:r>
          </w:p>
        </w:tc>
        <w:tc>
          <w:tcPr>
            <w:tcW w:w="3920" w:type="dxa"/>
            <w:vAlign w:val="bottom"/>
            <w:tcBorders>
              <w:bottom w:val="single" w:sz="8" w:color="0000FF"/>
            </w:tcBorders>
            <w:gridSpan w:val="13"/>
          </w:tcPr>
          <w:p>
            <w:pPr>
              <w:spacing w:after="0"/>
              <w:rPr>
                <w:rFonts w:ascii="Arial" w:cs="Arial" w:eastAsia="Arial" w:hAnsi="Arial"/>
                <w:sz w:val="18"/>
                <w:szCs w:val="18"/>
                <w:color w:val="0000FF"/>
                <w:w w:val="99"/>
              </w:rPr>
            </w:pPr>
            <w:hyperlink r:id="rId58">
              <w:r>
                <w:rPr>
                  <w:rFonts w:ascii="Arial" w:cs="Arial" w:eastAsia="Arial" w:hAnsi="Arial"/>
                  <w:sz w:val="18"/>
                  <w:szCs w:val="18"/>
                  <w:color w:val="0000FF"/>
                  <w:w w:val="99"/>
                </w:rPr>
                <w:t>Acuity Brands, Inc. 2001 Nonemployee Directors’</w:t>
              </w:r>
            </w:hyperlink>
          </w:p>
        </w:tc>
        <w:tc>
          <w:tcPr>
            <w:tcW w:w="280" w:type="dxa"/>
            <w:vAlign w:val="bottom"/>
            <w:gridSpan w:val="6"/>
          </w:tcPr>
          <w:p>
            <w:pPr>
              <w:spacing w:after="0"/>
              <w:rPr>
                <w:sz w:val="18"/>
                <w:szCs w:val="18"/>
                <w:color w:val="auto"/>
              </w:rPr>
            </w:pPr>
          </w:p>
        </w:tc>
      </w:tr>
      <w:tr>
        <w:trPr>
          <w:trHeight w:val="183"/>
        </w:trPr>
        <w:tc>
          <w:tcPr>
            <w:tcW w:w="2400" w:type="dxa"/>
            <w:vAlign w:val="bottom"/>
          </w:tcPr>
          <w:p>
            <w:pPr>
              <w:spacing w:after="0"/>
              <w:rPr>
                <w:sz w:val="15"/>
                <w:szCs w:val="15"/>
                <w:color w:val="auto"/>
              </w:rPr>
            </w:pPr>
          </w:p>
        </w:tc>
        <w:tc>
          <w:tcPr>
            <w:tcW w:w="4200" w:type="dxa"/>
            <w:vAlign w:val="bottom"/>
            <w:gridSpan w:val="19"/>
          </w:tcPr>
          <w:p>
            <w:pPr>
              <w:spacing w:after="0" w:line="182" w:lineRule="exact"/>
              <w:rPr>
                <w:rFonts w:ascii="Arial" w:cs="Arial" w:eastAsia="Arial" w:hAnsi="Arial"/>
                <w:sz w:val="18"/>
                <w:szCs w:val="18"/>
                <w:color w:val="0000FF"/>
              </w:rPr>
            </w:pPr>
            <w:hyperlink r:id="rId58">
              <w:r>
                <w:rPr>
                  <w:rFonts w:ascii="Arial" w:cs="Arial" w:eastAsia="Arial" w:hAnsi="Arial"/>
                  <w:sz w:val="18"/>
                  <w:szCs w:val="18"/>
                  <w:color w:val="0000FF"/>
                </w:rPr>
                <w:t>Stock Option Plan.</w:t>
              </w:r>
            </w:hyperlink>
          </w:p>
        </w:tc>
      </w:tr>
      <w:tr>
        <w:trPr>
          <w:trHeight w:val="20"/>
        </w:trPr>
        <w:tc>
          <w:tcPr>
            <w:tcW w:w="2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2400" w:type="dxa"/>
            <w:vAlign w:val="bottom"/>
          </w:tcPr>
          <w:p>
            <w:pPr>
              <w:jc w:val="center"/>
              <w:ind w:left="1570"/>
              <w:spacing w:after="0"/>
              <w:rPr>
                <w:sz w:val="20"/>
                <w:szCs w:val="20"/>
                <w:color w:val="auto"/>
              </w:rPr>
            </w:pPr>
            <w:r>
              <w:rPr>
                <w:rFonts w:ascii="Arial" w:cs="Arial" w:eastAsia="Arial" w:hAnsi="Arial"/>
                <w:sz w:val="18"/>
                <w:szCs w:val="18"/>
                <w:color w:val="auto"/>
                <w:w w:val="99"/>
              </w:rPr>
              <w:t>(2)</w:t>
            </w:r>
          </w:p>
        </w:tc>
        <w:tc>
          <w:tcPr>
            <w:tcW w:w="3660" w:type="dxa"/>
            <w:vAlign w:val="bottom"/>
            <w:tcBorders>
              <w:bottom w:val="single" w:sz="8" w:color="0000FF"/>
            </w:tcBorders>
            <w:gridSpan w:val="10"/>
          </w:tcPr>
          <w:p>
            <w:pPr>
              <w:spacing w:after="0"/>
              <w:rPr>
                <w:rFonts w:ascii="Arial" w:cs="Arial" w:eastAsia="Arial" w:hAnsi="Arial"/>
                <w:sz w:val="18"/>
                <w:szCs w:val="18"/>
                <w:color w:val="0000FF"/>
                <w:w w:val="99"/>
              </w:rPr>
            </w:pPr>
            <w:hyperlink r:id="rId59">
              <w:r>
                <w:rPr>
                  <w:rFonts w:ascii="Arial" w:cs="Arial" w:eastAsia="Arial" w:hAnsi="Arial"/>
                  <w:sz w:val="18"/>
                  <w:szCs w:val="18"/>
                  <w:color w:val="0000FF"/>
                  <w:w w:val="99"/>
                </w:rPr>
                <w:t>Amendment No. 1 to Acuity Brands, Inc. 2001</w:t>
              </w:r>
            </w:hyperlink>
          </w:p>
        </w:tc>
        <w:tc>
          <w:tcPr>
            <w:tcW w:w="540" w:type="dxa"/>
            <w:vAlign w:val="bottom"/>
            <w:gridSpan w:val="9"/>
          </w:tcPr>
          <w:p>
            <w:pPr>
              <w:spacing w:after="0"/>
              <w:rPr>
                <w:sz w:val="24"/>
                <w:szCs w:val="24"/>
                <w:color w:val="auto"/>
              </w:rPr>
            </w:pPr>
          </w:p>
        </w:tc>
      </w:tr>
      <w:tr>
        <w:trPr>
          <w:trHeight w:val="183"/>
        </w:trPr>
        <w:tc>
          <w:tcPr>
            <w:tcW w:w="2400" w:type="dxa"/>
            <w:vAlign w:val="bottom"/>
          </w:tcPr>
          <w:p>
            <w:pPr>
              <w:spacing w:after="0"/>
              <w:rPr>
                <w:sz w:val="15"/>
                <w:szCs w:val="15"/>
                <w:color w:val="auto"/>
              </w:rPr>
            </w:pPr>
          </w:p>
        </w:tc>
        <w:tc>
          <w:tcPr>
            <w:tcW w:w="396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59">
              <w:r>
                <w:rPr>
                  <w:rFonts w:ascii="Arial" w:cs="Arial" w:eastAsia="Arial" w:hAnsi="Arial"/>
                  <w:sz w:val="18"/>
                  <w:szCs w:val="18"/>
                  <w:color w:val="0000FF"/>
                  <w:w w:val="99"/>
                </w:rPr>
                <w:t>Nonemployee Directors’ Stock Option Plan, dated</w:t>
              </w:r>
            </w:hyperlink>
          </w:p>
        </w:tc>
        <w:tc>
          <w:tcPr>
            <w:tcW w:w="240" w:type="dxa"/>
            <w:vAlign w:val="bottom"/>
            <w:gridSpan w:val="4"/>
          </w:tcPr>
          <w:p>
            <w:pPr>
              <w:spacing w:after="0"/>
              <w:rPr>
                <w:sz w:val="15"/>
                <w:szCs w:val="15"/>
                <w:color w:val="auto"/>
              </w:rPr>
            </w:pPr>
          </w:p>
        </w:tc>
      </w:tr>
      <w:tr>
        <w:trPr>
          <w:trHeight w:val="183"/>
        </w:trPr>
        <w:tc>
          <w:tcPr>
            <w:tcW w:w="2400" w:type="dxa"/>
            <w:vAlign w:val="bottom"/>
          </w:tcPr>
          <w:p>
            <w:pPr>
              <w:spacing w:after="0"/>
              <w:rPr>
                <w:sz w:val="15"/>
                <w:szCs w:val="15"/>
                <w:color w:val="auto"/>
              </w:rPr>
            </w:pPr>
          </w:p>
        </w:tc>
        <w:tc>
          <w:tcPr>
            <w:tcW w:w="4200" w:type="dxa"/>
            <w:vAlign w:val="bottom"/>
            <w:gridSpan w:val="19"/>
          </w:tcPr>
          <w:p>
            <w:pPr>
              <w:spacing w:after="0" w:line="182" w:lineRule="exact"/>
              <w:rPr>
                <w:rFonts w:ascii="Arial" w:cs="Arial" w:eastAsia="Arial" w:hAnsi="Arial"/>
                <w:sz w:val="18"/>
                <w:szCs w:val="18"/>
                <w:color w:val="0000FF"/>
              </w:rPr>
            </w:pPr>
            <w:hyperlink r:id="rId59">
              <w:r>
                <w:rPr>
                  <w:rFonts w:ascii="Arial" w:cs="Arial" w:eastAsia="Arial" w:hAnsi="Arial"/>
                  <w:sz w:val="18"/>
                  <w:szCs w:val="18"/>
                  <w:color w:val="0000FF"/>
                </w:rPr>
                <w:t>December 20, 2001.</w:t>
              </w:r>
            </w:hyperlink>
          </w:p>
        </w:tc>
      </w:tr>
      <w:tr>
        <w:trPr>
          <w:trHeight w:val="20"/>
        </w:trPr>
        <w:tc>
          <w:tcPr>
            <w:tcW w:w="2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2400" w:type="dxa"/>
            <w:vAlign w:val="bottom"/>
          </w:tcPr>
          <w:p>
            <w:pPr>
              <w:jc w:val="center"/>
              <w:ind w:left="1570"/>
              <w:spacing w:after="0"/>
              <w:rPr>
                <w:sz w:val="20"/>
                <w:szCs w:val="20"/>
                <w:color w:val="auto"/>
              </w:rPr>
            </w:pPr>
            <w:r>
              <w:rPr>
                <w:rFonts w:ascii="Arial" w:cs="Arial" w:eastAsia="Arial" w:hAnsi="Arial"/>
                <w:sz w:val="18"/>
                <w:szCs w:val="18"/>
                <w:color w:val="auto"/>
                <w:w w:val="99"/>
              </w:rPr>
              <w:t>(3)</w:t>
            </w:r>
          </w:p>
        </w:tc>
        <w:tc>
          <w:tcPr>
            <w:tcW w:w="3920" w:type="dxa"/>
            <w:vAlign w:val="bottom"/>
            <w:tcBorders>
              <w:bottom w:val="single" w:sz="8" w:color="0000FF"/>
            </w:tcBorders>
            <w:gridSpan w:val="13"/>
          </w:tcPr>
          <w:p>
            <w:pPr>
              <w:spacing w:after="0"/>
              <w:rPr>
                <w:rFonts w:ascii="Arial" w:cs="Arial" w:eastAsia="Arial" w:hAnsi="Arial"/>
                <w:sz w:val="18"/>
                <w:szCs w:val="18"/>
                <w:color w:val="0000FF"/>
                <w:w w:val="99"/>
              </w:rPr>
            </w:pPr>
            <w:hyperlink r:id="rId60">
              <w:r>
                <w:rPr>
                  <w:rFonts w:ascii="Arial" w:cs="Arial" w:eastAsia="Arial" w:hAnsi="Arial"/>
                  <w:sz w:val="18"/>
                  <w:szCs w:val="18"/>
                  <w:color w:val="0000FF"/>
                  <w:w w:val="99"/>
                </w:rPr>
                <w:t>Amendment No. 1 to Stock Option Agreement for</w:t>
              </w:r>
            </w:hyperlink>
          </w:p>
        </w:tc>
        <w:tc>
          <w:tcPr>
            <w:tcW w:w="280" w:type="dxa"/>
            <w:vAlign w:val="bottom"/>
            <w:gridSpan w:val="6"/>
          </w:tcPr>
          <w:p>
            <w:pPr>
              <w:spacing w:after="0"/>
              <w:rPr>
                <w:sz w:val="24"/>
                <w:szCs w:val="24"/>
                <w:color w:val="auto"/>
              </w:rPr>
            </w:pPr>
          </w:p>
        </w:tc>
      </w:tr>
      <w:tr>
        <w:trPr>
          <w:trHeight w:val="223"/>
        </w:trPr>
        <w:tc>
          <w:tcPr>
            <w:tcW w:w="2400" w:type="dxa"/>
            <w:vAlign w:val="bottom"/>
          </w:tcPr>
          <w:p>
            <w:pPr>
              <w:spacing w:after="0"/>
              <w:rPr>
                <w:sz w:val="19"/>
                <w:szCs w:val="19"/>
                <w:color w:val="auto"/>
              </w:rPr>
            </w:pPr>
          </w:p>
        </w:tc>
        <w:tc>
          <w:tcPr>
            <w:tcW w:w="4200" w:type="dxa"/>
            <w:vAlign w:val="bottom"/>
            <w:gridSpan w:val="19"/>
          </w:tcPr>
          <w:p>
            <w:pPr>
              <w:spacing w:after="0"/>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Nonemployee Director dated October 25, 2006.</w:t>
              </w:r>
            </w:hyperlink>
          </w:p>
        </w:tc>
      </w:tr>
      <w:tr>
        <w:trPr>
          <w:trHeight w:val="418"/>
        </w:trPr>
        <w:tc>
          <w:tcPr>
            <w:tcW w:w="2400" w:type="dxa"/>
            <w:vAlign w:val="bottom"/>
          </w:tcPr>
          <w:p>
            <w:pPr>
              <w:jc w:val="center"/>
              <w:ind w:left="1570"/>
              <w:spacing w:after="0"/>
              <w:rPr>
                <w:sz w:val="20"/>
                <w:szCs w:val="20"/>
                <w:color w:val="auto"/>
              </w:rPr>
            </w:pPr>
            <w:r>
              <w:rPr>
                <w:rFonts w:ascii="Arial" w:cs="Arial" w:eastAsia="Arial" w:hAnsi="Arial"/>
                <w:sz w:val="18"/>
                <w:szCs w:val="18"/>
                <w:color w:val="auto"/>
                <w:w w:val="99"/>
              </w:rPr>
              <w:t>(4)</w:t>
            </w:r>
          </w:p>
        </w:tc>
        <w:tc>
          <w:tcPr>
            <w:tcW w:w="4100" w:type="dxa"/>
            <w:vAlign w:val="bottom"/>
            <w:tcBorders>
              <w:bottom w:val="single" w:sz="8" w:color="0000FF"/>
            </w:tcBorders>
            <w:gridSpan w:val="17"/>
          </w:tcPr>
          <w:p>
            <w:pPr>
              <w:spacing w:after="0"/>
              <w:rPr>
                <w:rFonts w:ascii="Arial" w:cs="Arial" w:eastAsia="Arial" w:hAnsi="Arial"/>
                <w:sz w:val="18"/>
                <w:szCs w:val="18"/>
                <w:color w:val="0000FF"/>
                <w:w w:val="99"/>
              </w:rPr>
            </w:pPr>
            <w:hyperlink r:id="rId61">
              <w:r>
                <w:rPr>
                  <w:rFonts w:ascii="Arial" w:cs="Arial" w:eastAsia="Arial" w:hAnsi="Arial"/>
                  <w:sz w:val="18"/>
                  <w:szCs w:val="18"/>
                  <w:color w:val="0000FF"/>
                  <w:w w:val="99"/>
                </w:rPr>
                <w:t>Amendment No. 2 to Acuity Brands, Inc. 2001 Non-</w:t>
              </w:r>
            </w:hyperlink>
          </w:p>
        </w:tc>
        <w:tc>
          <w:tcPr>
            <w:tcW w:w="100" w:type="dxa"/>
            <w:vAlign w:val="bottom"/>
            <w:gridSpan w:val="2"/>
          </w:tcPr>
          <w:p>
            <w:pPr>
              <w:spacing w:after="0"/>
              <w:rPr>
                <w:sz w:val="24"/>
                <w:szCs w:val="24"/>
                <w:color w:val="auto"/>
              </w:rPr>
            </w:pPr>
          </w:p>
        </w:tc>
      </w:tr>
      <w:tr>
        <w:trPr>
          <w:trHeight w:val="183"/>
        </w:trPr>
        <w:tc>
          <w:tcPr>
            <w:tcW w:w="2400" w:type="dxa"/>
            <w:vAlign w:val="bottom"/>
          </w:tcPr>
          <w:p>
            <w:pPr>
              <w:spacing w:after="0"/>
              <w:rPr>
                <w:sz w:val="15"/>
                <w:szCs w:val="15"/>
                <w:color w:val="auto"/>
              </w:rPr>
            </w:pPr>
          </w:p>
        </w:tc>
        <w:tc>
          <w:tcPr>
            <w:tcW w:w="4200" w:type="dxa"/>
            <w:vAlign w:val="bottom"/>
            <w:gridSpan w:val="19"/>
          </w:tcPr>
          <w:p>
            <w:pPr>
              <w:spacing w:after="0" w:line="182" w:lineRule="exact"/>
              <w:rPr>
                <w:rFonts w:ascii="Arial" w:cs="Arial" w:eastAsia="Arial" w:hAnsi="Arial"/>
                <w:sz w:val="18"/>
                <w:szCs w:val="18"/>
                <w:color w:val="0000FF"/>
              </w:rPr>
            </w:pPr>
            <w:hyperlink r:id="rId61">
              <w:r>
                <w:rPr>
                  <w:rFonts w:ascii="Arial" w:cs="Arial" w:eastAsia="Arial" w:hAnsi="Arial"/>
                  <w:sz w:val="18"/>
                  <w:szCs w:val="18"/>
                  <w:color w:val="0000FF"/>
                </w:rPr>
                <w:t>employee Directors’ Stock Option Plan.</w:t>
              </w:r>
            </w:hyperlink>
          </w:p>
        </w:tc>
      </w:tr>
      <w:tr>
        <w:trPr>
          <w:trHeight w:val="20"/>
        </w:trPr>
        <w:tc>
          <w:tcPr>
            <w:tcW w:w="2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41"/>
        </w:trPr>
        <w:tc>
          <w:tcPr>
            <w:tcW w:w="2400" w:type="dxa"/>
            <w:vAlign w:val="bottom"/>
          </w:tcPr>
          <w:p>
            <w:pPr>
              <w:jc w:val="center"/>
              <w:ind w:left="1570"/>
              <w:spacing w:after="0"/>
              <w:rPr>
                <w:sz w:val="20"/>
                <w:szCs w:val="20"/>
                <w:color w:val="auto"/>
              </w:rPr>
            </w:pPr>
            <w:r>
              <w:rPr>
                <w:rFonts w:ascii="Arial" w:cs="Arial" w:eastAsia="Arial" w:hAnsi="Arial"/>
                <w:sz w:val="18"/>
                <w:szCs w:val="18"/>
                <w:color w:val="auto"/>
                <w:w w:val="99"/>
              </w:rPr>
              <w:t>(5)</w:t>
            </w:r>
          </w:p>
        </w:tc>
        <w:tc>
          <w:tcPr>
            <w:tcW w:w="4200" w:type="dxa"/>
            <w:vAlign w:val="bottom"/>
            <w:gridSpan w:val="19"/>
          </w:tcPr>
          <w:p>
            <w:pPr>
              <w:spacing w:after="0"/>
              <w:rPr>
                <w:rFonts w:ascii="Arial" w:cs="Arial" w:eastAsia="Arial" w:hAnsi="Arial"/>
                <w:sz w:val="18"/>
                <w:szCs w:val="18"/>
                <w:color w:val="0000FF"/>
              </w:rPr>
            </w:pPr>
            <w:hyperlink r:id="rId62">
              <w:r>
                <w:rPr>
                  <w:rFonts w:ascii="Arial" w:cs="Arial" w:eastAsia="Arial" w:hAnsi="Arial"/>
                  <w:sz w:val="18"/>
                  <w:szCs w:val="18"/>
                  <w:color w:val="0000FF"/>
                </w:rPr>
                <w:t>Amendment No. 3 to Acuity Brands, Inc. 2001</w:t>
              </w:r>
            </w:hyperlink>
          </w:p>
        </w:tc>
      </w:tr>
      <w:tr>
        <w:trPr>
          <w:trHeight w:val="223"/>
        </w:trPr>
        <w:tc>
          <w:tcPr>
            <w:tcW w:w="2400" w:type="dxa"/>
            <w:vAlign w:val="bottom"/>
          </w:tcPr>
          <w:p>
            <w:pPr>
              <w:spacing w:after="0"/>
              <w:rPr>
                <w:sz w:val="19"/>
                <w:szCs w:val="19"/>
                <w:color w:val="auto"/>
              </w:rPr>
            </w:pPr>
          </w:p>
        </w:tc>
        <w:tc>
          <w:tcPr>
            <w:tcW w:w="3640" w:type="dxa"/>
            <w:vAlign w:val="bottom"/>
            <w:tcBorders>
              <w:top w:val="single" w:sz="8" w:color="0000FF"/>
            </w:tcBorders>
            <w:gridSpan w:val="9"/>
          </w:tcPr>
          <w:p>
            <w:pPr>
              <w:spacing w:after="0"/>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Nonemployee Directors’ Stock Option Plans.</w:t>
              </w:r>
            </w:hyperlink>
          </w:p>
        </w:tc>
        <w:tc>
          <w:tcPr>
            <w:tcW w:w="560" w:type="dxa"/>
            <w:vAlign w:val="bottom"/>
            <w:gridSpan w:val="10"/>
          </w:tcPr>
          <w:p>
            <w:pPr>
              <w:spacing w:after="0"/>
              <w:rPr>
                <w:sz w:val="19"/>
                <w:szCs w:val="19"/>
                <w:color w:val="auto"/>
              </w:rPr>
            </w:pPr>
          </w:p>
        </w:tc>
      </w:tr>
      <w:tr>
        <w:trPr>
          <w:trHeight w:val="621"/>
        </w:trPr>
        <w:tc>
          <w:tcPr>
            <w:tcW w:w="2400" w:type="dxa"/>
            <w:vAlign w:val="bottom"/>
          </w:tcPr>
          <w:p>
            <w:pPr>
              <w:jc w:val="center"/>
              <w:ind w:left="1570"/>
              <w:spacing w:after="0"/>
              <w:rPr>
                <w:sz w:val="20"/>
                <w:szCs w:val="20"/>
                <w:color w:val="auto"/>
              </w:rPr>
            </w:pPr>
            <w:r>
              <w:rPr>
                <w:rFonts w:ascii="Arial" w:cs="Arial" w:eastAsia="Arial" w:hAnsi="Arial"/>
                <w:sz w:val="18"/>
                <w:szCs w:val="18"/>
                <w:color w:val="auto"/>
                <w:w w:val="99"/>
              </w:rPr>
              <w:t>(6)</w:t>
            </w:r>
          </w:p>
        </w:tc>
        <w:tc>
          <w:tcPr>
            <w:tcW w:w="4100" w:type="dxa"/>
            <w:vAlign w:val="bottom"/>
            <w:tcBorders>
              <w:bottom w:val="single" w:sz="8" w:color="0000FF"/>
            </w:tcBorders>
            <w:gridSpan w:val="17"/>
          </w:tcPr>
          <w:p>
            <w:pPr>
              <w:spacing w:after="0"/>
              <w:rPr>
                <w:rFonts w:ascii="Arial" w:cs="Arial" w:eastAsia="Arial" w:hAnsi="Arial"/>
                <w:sz w:val="18"/>
                <w:szCs w:val="18"/>
                <w:color w:val="0000FF"/>
                <w:w w:val="99"/>
              </w:rPr>
            </w:pPr>
            <w:hyperlink r:id="rId63">
              <w:r>
                <w:rPr>
                  <w:rFonts w:ascii="Arial" w:cs="Arial" w:eastAsia="Arial" w:hAnsi="Arial"/>
                  <w:sz w:val="18"/>
                  <w:szCs w:val="18"/>
                  <w:color w:val="0000FF"/>
                  <w:w w:val="99"/>
                </w:rPr>
                <w:t>Acuity Brands, Inc. Supplemental Deferred Savings</w:t>
              </w:r>
            </w:hyperlink>
          </w:p>
        </w:tc>
        <w:tc>
          <w:tcPr>
            <w:tcW w:w="100" w:type="dxa"/>
            <w:vAlign w:val="bottom"/>
            <w:gridSpan w:val="2"/>
          </w:tcPr>
          <w:p>
            <w:pPr>
              <w:spacing w:after="0"/>
              <w:rPr>
                <w:sz w:val="24"/>
                <w:szCs w:val="24"/>
                <w:color w:val="auto"/>
              </w:rPr>
            </w:pPr>
          </w:p>
        </w:tc>
      </w:tr>
      <w:tr>
        <w:trPr>
          <w:trHeight w:val="183"/>
        </w:trPr>
        <w:tc>
          <w:tcPr>
            <w:tcW w:w="2400" w:type="dxa"/>
            <w:vAlign w:val="bottom"/>
          </w:tcPr>
          <w:p>
            <w:pPr>
              <w:spacing w:after="0"/>
              <w:rPr>
                <w:sz w:val="15"/>
                <w:szCs w:val="15"/>
                <w:color w:val="auto"/>
              </w:rPr>
            </w:pPr>
          </w:p>
        </w:tc>
        <w:tc>
          <w:tcPr>
            <w:tcW w:w="4200" w:type="dxa"/>
            <w:vAlign w:val="bottom"/>
            <w:gridSpan w:val="19"/>
          </w:tcPr>
          <w:p>
            <w:pPr>
              <w:spacing w:after="0" w:line="182" w:lineRule="exact"/>
              <w:rPr>
                <w:rFonts w:ascii="Arial" w:cs="Arial" w:eastAsia="Arial" w:hAnsi="Arial"/>
                <w:sz w:val="18"/>
                <w:szCs w:val="18"/>
                <w:color w:val="0000FF"/>
              </w:rPr>
            </w:pPr>
            <w:hyperlink r:id="rId63">
              <w:r>
                <w:rPr>
                  <w:rFonts w:ascii="Arial" w:cs="Arial" w:eastAsia="Arial" w:hAnsi="Arial"/>
                  <w:sz w:val="18"/>
                  <w:szCs w:val="18"/>
                  <w:color w:val="0000FF"/>
                </w:rPr>
                <w:t>Plan.</w:t>
              </w:r>
            </w:hyperlink>
          </w:p>
        </w:tc>
      </w:tr>
      <w:tr>
        <w:trPr>
          <w:trHeight w:val="20"/>
        </w:trPr>
        <w:tc>
          <w:tcPr>
            <w:tcW w:w="24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2400" w:type="dxa"/>
            <w:vAlign w:val="bottom"/>
          </w:tcPr>
          <w:p>
            <w:pPr>
              <w:jc w:val="center"/>
              <w:ind w:left="1570"/>
              <w:spacing w:after="0"/>
              <w:rPr>
                <w:sz w:val="20"/>
                <w:szCs w:val="20"/>
                <w:color w:val="auto"/>
              </w:rPr>
            </w:pPr>
            <w:r>
              <w:rPr>
                <w:rFonts w:ascii="Arial" w:cs="Arial" w:eastAsia="Arial" w:hAnsi="Arial"/>
                <w:sz w:val="18"/>
                <w:szCs w:val="18"/>
                <w:color w:val="auto"/>
                <w:w w:val="99"/>
              </w:rPr>
              <w:t>(7)</w:t>
            </w:r>
          </w:p>
        </w:tc>
        <w:tc>
          <w:tcPr>
            <w:tcW w:w="3200" w:type="dxa"/>
            <w:vAlign w:val="bottom"/>
            <w:tcBorders>
              <w:bottom w:val="single" w:sz="8" w:color="0000FF"/>
            </w:tcBorders>
            <w:gridSpan w:val="8"/>
          </w:tcPr>
          <w:p>
            <w:pPr>
              <w:spacing w:after="0"/>
              <w:rPr>
                <w:rFonts w:ascii="Arial" w:cs="Arial" w:eastAsia="Arial" w:hAnsi="Arial"/>
                <w:sz w:val="18"/>
                <w:szCs w:val="18"/>
                <w:color w:val="0000FF"/>
                <w:w w:val="99"/>
              </w:rPr>
            </w:pPr>
            <w:hyperlink r:id="rId64">
              <w:r>
                <w:rPr>
                  <w:rFonts w:ascii="Arial" w:cs="Arial" w:eastAsia="Arial" w:hAnsi="Arial"/>
                  <w:sz w:val="18"/>
                  <w:szCs w:val="18"/>
                  <w:color w:val="0000FF"/>
                  <w:w w:val="99"/>
                </w:rPr>
                <w:t>Amendment No. 1 to Acuity Brands, Inc.</w:t>
              </w:r>
            </w:hyperlink>
          </w:p>
        </w:tc>
        <w:tc>
          <w:tcPr>
            <w:tcW w:w="1000" w:type="dxa"/>
            <w:vAlign w:val="bottom"/>
            <w:gridSpan w:val="11"/>
          </w:tcPr>
          <w:p>
            <w:pPr>
              <w:spacing w:after="0"/>
              <w:rPr>
                <w:sz w:val="24"/>
                <w:szCs w:val="24"/>
                <w:color w:val="auto"/>
              </w:rPr>
            </w:pPr>
          </w:p>
        </w:tc>
      </w:tr>
      <w:tr>
        <w:trPr>
          <w:trHeight w:val="223"/>
        </w:trPr>
        <w:tc>
          <w:tcPr>
            <w:tcW w:w="2400" w:type="dxa"/>
            <w:vAlign w:val="bottom"/>
          </w:tcPr>
          <w:p>
            <w:pPr>
              <w:spacing w:after="0"/>
              <w:rPr>
                <w:sz w:val="19"/>
                <w:szCs w:val="19"/>
                <w:color w:val="auto"/>
              </w:rPr>
            </w:pPr>
          </w:p>
        </w:tc>
        <w:tc>
          <w:tcPr>
            <w:tcW w:w="4200" w:type="dxa"/>
            <w:vAlign w:val="bottom"/>
            <w:gridSpan w:val="19"/>
          </w:tcPr>
          <w:p>
            <w:pPr>
              <w:spacing w:after="0"/>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Supplemental Deferred Savings Plan.</w:t>
              </w:r>
            </w:hyperlink>
          </w:p>
        </w:tc>
      </w:tr>
      <w:tr>
        <w:trPr>
          <w:trHeight w:val="621"/>
        </w:trPr>
        <w:tc>
          <w:tcPr>
            <w:tcW w:w="2400" w:type="dxa"/>
            <w:vAlign w:val="bottom"/>
          </w:tcPr>
          <w:p>
            <w:pPr>
              <w:jc w:val="center"/>
              <w:ind w:left="1570"/>
              <w:spacing w:after="0"/>
              <w:rPr>
                <w:sz w:val="20"/>
                <w:szCs w:val="20"/>
                <w:color w:val="auto"/>
              </w:rPr>
            </w:pPr>
            <w:r>
              <w:rPr>
                <w:rFonts w:ascii="Arial" w:cs="Arial" w:eastAsia="Arial" w:hAnsi="Arial"/>
                <w:sz w:val="18"/>
                <w:szCs w:val="18"/>
                <w:color w:val="auto"/>
                <w:w w:val="99"/>
              </w:rPr>
              <w:t>(8)</w:t>
            </w:r>
          </w:p>
        </w:tc>
        <w:tc>
          <w:tcPr>
            <w:tcW w:w="3200" w:type="dxa"/>
            <w:vAlign w:val="bottom"/>
            <w:tcBorders>
              <w:bottom w:val="single" w:sz="8" w:color="0000FF"/>
            </w:tcBorders>
            <w:gridSpan w:val="8"/>
          </w:tcPr>
          <w:p>
            <w:pPr>
              <w:spacing w:after="0"/>
              <w:rPr>
                <w:rFonts w:ascii="Arial" w:cs="Arial" w:eastAsia="Arial" w:hAnsi="Arial"/>
                <w:sz w:val="18"/>
                <w:szCs w:val="18"/>
                <w:color w:val="0000FF"/>
                <w:w w:val="99"/>
              </w:rPr>
            </w:pPr>
            <w:hyperlink r:id="rId65">
              <w:r>
                <w:rPr>
                  <w:rFonts w:ascii="Arial" w:cs="Arial" w:eastAsia="Arial" w:hAnsi="Arial"/>
                  <w:sz w:val="18"/>
                  <w:szCs w:val="18"/>
                  <w:color w:val="0000FF"/>
                  <w:w w:val="99"/>
                </w:rPr>
                <w:t>Amendment No. 2 to Acuity Brands, Inc.</w:t>
              </w:r>
            </w:hyperlink>
          </w:p>
        </w:tc>
        <w:tc>
          <w:tcPr>
            <w:tcW w:w="1000" w:type="dxa"/>
            <w:vAlign w:val="bottom"/>
            <w:gridSpan w:val="11"/>
          </w:tcPr>
          <w:p>
            <w:pPr>
              <w:spacing w:after="0"/>
              <w:rPr>
                <w:sz w:val="24"/>
                <w:szCs w:val="24"/>
                <w:color w:val="auto"/>
              </w:rPr>
            </w:pPr>
          </w:p>
        </w:tc>
      </w:tr>
      <w:tr>
        <w:trPr>
          <w:trHeight w:val="223"/>
        </w:trPr>
        <w:tc>
          <w:tcPr>
            <w:tcW w:w="2400" w:type="dxa"/>
            <w:vAlign w:val="bottom"/>
          </w:tcPr>
          <w:p>
            <w:pPr>
              <w:spacing w:after="0"/>
              <w:rPr>
                <w:sz w:val="19"/>
                <w:szCs w:val="19"/>
                <w:color w:val="auto"/>
              </w:rPr>
            </w:pPr>
          </w:p>
        </w:tc>
        <w:tc>
          <w:tcPr>
            <w:tcW w:w="4200" w:type="dxa"/>
            <w:vAlign w:val="bottom"/>
            <w:gridSpan w:val="19"/>
          </w:tcPr>
          <w:p>
            <w:pPr>
              <w:spacing w:after="0"/>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Supplemental Deferred Savings Plan.</w:t>
              </w:r>
            </w:hyperlink>
          </w:p>
        </w:tc>
      </w:tr>
      <w:tr>
        <w:trPr>
          <w:trHeight w:val="418"/>
        </w:trPr>
        <w:tc>
          <w:tcPr>
            <w:tcW w:w="2400" w:type="dxa"/>
            <w:vAlign w:val="bottom"/>
          </w:tcPr>
          <w:p>
            <w:pPr>
              <w:jc w:val="center"/>
              <w:ind w:left="1570"/>
              <w:spacing w:after="0"/>
              <w:rPr>
                <w:sz w:val="20"/>
                <w:szCs w:val="20"/>
                <w:color w:val="auto"/>
              </w:rPr>
            </w:pPr>
            <w:r>
              <w:rPr>
                <w:rFonts w:ascii="Arial" w:cs="Arial" w:eastAsia="Arial" w:hAnsi="Arial"/>
                <w:sz w:val="18"/>
                <w:szCs w:val="18"/>
                <w:color w:val="auto"/>
                <w:w w:val="99"/>
              </w:rPr>
              <w:t>(9)</w:t>
            </w:r>
          </w:p>
        </w:tc>
        <w:tc>
          <w:tcPr>
            <w:tcW w:w="3200" w:type="dxa"/>
            <w:vAlign w:val="bottom"/>
            <w:tcBorders>
              <w:bottom w:val="single" w:sz="8" w:color="0000FF"/>
            </w:tcBorders>
            <w:gridSpan w:val="8"/>
          </w:tcPr>
          <w:p>
            <w:pPr>
              <w:spacing w:after="0"/>
              <w:rPr>
                <w:rFonts w:ascii="Arial" w:cs="Arial" w:eastAsia="Arial" w:hAnsi="Arial"/>
                <w:sz w:val="18"/>
                <w:szCs w:val="18"/>
                <w:color w:val="0000FF"/>
                <w:w w:val="99"/>
              </w:rPr>
            </w:pPr>
            <w:hyperlink r:id="rId66">
              <w:r>
                <w:rPr>
                  <w:rFonts w:ascii="Arial" w:cs="Arial" w:eastAsia="Arial" w:hAnsi="Arial"/>
                  <w:sz w:val="18"/>
                  <w:szCs w:val="18"/>
                  <w:color w:val="0000FF"/>
                  <w:w w:val="99"/>
                </w:rPr>
                <w:t>Amendment No. 3 to Acuity Brands, Inc.</w:t>
              </w:r>
            </w:hyperlink>
          </w:p>
        </w:tc>
        <w:tc>
          <w:tcPr>
            <w:tcW w:w="1000" w:type="dxa"/>
            <w:vAlign w:val="bottom"/>
            <w:gridSpan w:val="11"/>
          </w:tcPr>
          <w:p>
            <w:pPr>
              <w:spacing w:after="0"/>
              <w:rPr>
                <w:sz w:val="24"/>
                <w:szCs w:val="24"/>
                <w:color w:val="auto"/>
              </w:rPr>
            </w:pPr>
          </w:p>
        </w:tc>
      </w:tr>
      <w:tr>
        <w:trPr>
          <w:trHeight w:val="223"/>
        </w:trPr>
        <w:tc>
          <w:tcPr>
            <w:tcW w:w="2400" w:type="dxa"/>
            <w:vAlign w:val="bottom"/>
          </w:tcPr>
          <w:p>
            <w:pPr>
              <w:spacing w:after="0"/>
              <w:rPr>
                <w:sz w:val="19"/>
                <w:szCs w:val="19"/>
                <w:color w:val="auto"/>
              </w:rPr>
            </w:pPr>
          </w:p>
        </w:tc>
        <w:tc>
          <w:tcPr>
            <w:tcW w:w="4200" w:type="dxa"/>
            <w:vAlign w:val="bottom"/>
            <w:gridSpan w:val="19"/>
          </w:tcPr>
          <w:p>
            <w:pPr>
              <w:spacing w:after="0"/>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Supplemental Deferred Savings Plan.</w:t>
              </w:r>
            </w:hyperlink>
          </w:p>
        </w:tc>
      </w:tr>
      <w:tr>
        <w:trPr>
          <w:trHeight w:val="621"/>
        </w:trPr>
        <w:tc>
          <w:tcPr>
            <w:tcW w:w="2400" w:type="dxa"/>
            <w:vAlign w:val="bottom"/>
          </w:tcPr>
          <w:p>
            <w:pPr>
              <w:jc w:val="center"/>
              <w:ind w:left="1590"/>
              <w:spacing w:after="0"/>
              <w:rPr>
                <w:sz w:val="20"/>
                <w:szCs w:val="20"/>
                <w:color w:val="auto"/>
              </w:rPr>
            </w:pPr>
            <w:r>
              <w:rPr>
                <w:rFonts w:ascii="Arial" w:cs="Arial" w:eastAsia="Arial" w:hAnsi="Arial"/>
                <w:sz w:val="18"/>
                <w:szCs w:val="18"/>
                <w:color w:val="auto"/>
                <w:w w:val="99"/>
              </w:rPr>
              <w:t>(10)</w:t>
            </w:r>
          </w:p>
        </w:tc>
        <w:tc>
          <w:tcPr>
            <w:tcW w:w="3200" w:type="dxa"/>
            <w:vAlign w:val="bottom"/>
            <w:tcBorders>
              <w:bottom w:val="single" w:sz="8" w:color="0000FF"/>
            </w:tcBorders>
            <w:gridSpan w:val="8"/>
          </w:tcPr>
          <w:p>
            <w:pPr>
              <w:spacing w:after="0"/>
              <w:rPr>
                <w:rFonts w:ascii="Arial" w:cs="Arial" w:eastAsia="Arial" w:hAnsi="Arial"/>
                <w:sz w:val="18"/>
                <w:szCs w:val="18"/>
                <w:color w:val="0000FF"/>
                <w:w w:val="99"/>
              </w:rPr>
            </w:pPr>
            <w:hyperlink r:id="rId67">
              <w:r>
                <w:rPr>
                  <w:rFonts w:ascii="Arial" w:cs="Arial" w:eastAsia="Arial" w:hAnsi="Arial"/>
                  <w:sz w:val="18"/>
                  <w:szCs w:val="18"/>
                  <w:color w:val="0000FF"/>
                  <w:w w:val="99"/>
                </w:rPr>
                <w:t>Amendment No. 4 to Acuity Brands, Inc.</w:t>
              </w:r>
            </w:hyperlink>
          </w:p>
        </w:tc>
        <w:tc>
          <w:tcPr>
            <w:tcW w:w="1000" w:type="dxa"/>
            <w:vAlign w:val="bottom"/>
            <w:gridSpan w:val="11"/>
          </w:tcPr>
          <w:p>
            <w:pPr>
              <w:spacing w:after="0"/>
              <w:rPr>
                <w:sz w:val="24"/>
                <w:szCs w:val="24"/>
                <w:color w:val="auto"/>
              </w:rPr>
            </w:pPr>
          </w:p>
        </w:tc>
      </w:tr>
      <w:tr>
        <w:trPr>
          <w:trHeight w:val="223"/>
        </w:trPr>
        <w:tc>
          <w:tcPr>
            <w:tcW w:w="2400" w:type="dxa"/>
            <w:vAlign w:val="bottom"/>
          </w:tcPr>
          <w:p>
            <w:pPr>
              <w:spacing w:after="0"/>
              <w:rPr>
                <w:sz w:val="19"/>
                <w:szCs w:val="19"/>
                <w:color w:val="auto"/>
              </w:rPr>
            </w:pPr>
          </w:p>
        </w:tc>
        <w:tc>
          <w:tcPr>
            <w:tcW w:w="4200" w:type="dxa"/>
            <w:vAlign w:val="bottom"/>
            <w:gridSpan w:val="19"/>
          </w:tcPr>
          <w:p>
            <w:pPr>
              <w:spacing w:after="0"/>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Supplemental Deferred Savings Plan.</w:t>
              </w:r>
            </w:hyperlink>
          </w:p>
        </w:tc>
      </w:tr>
      <w:tr>
        <w:trPr>
          <w:trHeight w:val="418"/>
        </w:trPr>
        <w:tc>
          <w:tcPr>
            <w:tcW w:w="2400" w:type="dxa"/>
            <w:vAlign w:val="bottom"/>
          </w:tcPr>
          <w:p>
            <w:pPr>
              <w:jc w:val="center"/>
              <w:ind w:left="1590"/>
              <w:spacing w:after="0"/>
              <w:rPr>
                <w:sz w:val="20"/>
                <w:szCs w:val="20"/>
                <w:color w:val="auto"/>
              </w:rPr>
            </w:pPr>
            <w:r>
              <w:rPr>
                <w:rFonts w:ascii="Arial" w:cs="Arial" w:eastAsia="Arial" w:hAnsi="Arial"/>
                <w:sz w:val="18"/>
                <w:szCs w:val="18"/>
                <w:color w:val="auto"/>
                <w:w w:val="99"/>
              </w:rPr>
              <w:t>(11)</w:t>
            </w:r>
          </w:p>
        </w:tc>
        <w:tc>
          <w:tcPr>
            <w:tcW w:w="3200" w:type="dxa"/>
            <w:vAlign w:val="bottom"/>
            <w:tcBorders>
              <w:bottom w:val="single" w:sz="8" w:color="0000FF"/>
            </w:tcBorders>
            <w:gridSpan w:val="8"/>
          </w:tcPr>
          <w:p>
            <w:pPr>
              <w:spacing w:after="0"/>
              <w:rPr>
                <w:rFonts w:ascii="Arial" w:cs="Arial" w:eastAsia="Arial" w:hAnsi="Arial"/>
                <w:sz w:val="18"/>
                <w:szCs w:val="18"/>
                <w:color w:val="0000FF"/>
                <w:w w:val="99"/>
              </w:rPr>
            </w:pPr>
            <w:hyperlink r:id="rId68">
              <w:r>
                <w:rPr>
                  <w:rFonts w:ascii="Arial" w:cs="Arial" w:eastAsia="Arial" w:hAnsi="Arial"/>
                  <w:sz w:val="18"/>
                  <w:szCs w:val="18"/>
                  <w:color w:val="0000FF"/>
                  <w:w w:val="99"/>
                </w:rPr>
                <w:t>Amendment No. 5 to Acuity Brands, Inc.</w:t>
              </w:r>
            </w:hyperlink>
          </w:p>
        </w:tc>
        <w:tc>
          <w:tcPr>
            <w:tcW w:w="1000" w:type="dxa"/>
            <w:vAlign w:val="bottom"/>
            <w:gridSpan w:val="11"/>
          </w:tcPr>
          <w:p>
            <w:pPr>
              <w:spacing w:after="0"/>
              <w:rPr>
                <w:sz w:val="24"/>
                <w:szCs w:val="24"/>
                <w:color w:val="auto"/>
              </w:rPr>
            </w:pPr>
          </w:p>
        </w:tc>
      </w:tr>
      <w:tr>
        <w:trPr>
          <w:trHeight w:val="223"/>
        </w:trPr>
        <w:tc>
          <w:tcPr>
            <w:tcW w:w="2400" w:type="dxa"/>
            <w:vAlign w:val="bottom"/>
          </w:tcPr>
          <w:p>
            <w:pPr>
              <w:spacing w:after="0"/>
              <w:rPr>
                <w:sz w:val="19"/>
                <w:szCs w:val="19"/>
                <w:color w:val="auto"/>
              </w:rPr>
            </w:pPr>
          </w:p>
        </w:tc>
        <w:tc>
          <w:tcPr>
            <w:tcW w:w="4200" w:type="dxa"/>
            <w:vAlign w:val="bottom"/>
            <w:gridSpan w:val="19"/>
          </w:tcPr>
          <w:p>
            <w:pPr>
              <w:spacing w:after="0"/>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Supplemental Deferred Savings Plan.</w:t>
              </w:r>
            </w:hyperlink>
          </w:p>
        </w:tc>
      </w:tr>
      <w:tr>
        <w:trPr>
          <w:trHeight w:val="621"/>
        </w:trPr>
        <w:tc>
          <w:tcPr>
            <w:tcW w:w="2400" w:type="dxa"/>
            <w:vAlign w:val="bottom"/>
          </w:tcPr>
          <w:p>
            <w:pPr>
              <w:jc w:val="center"/>
              <w:ind w:left="1590"/>
              <w:spacing w:after="0"/>
              <w:rPr>
                <w:sz w:val="20"/>
                <w:szCs w:val="20"/>
                <w:color w:val="auto"/>
              </w:rPr>
            </w:pPr>
            <w:r>
              <w:rPr>
                <w:rFonts w:ascii="Arial" w:cs="Arial" w:eastAsia="Arial" w:hAnsi="Arial"/>
                <w:sz w:val="18"/>
                <w:szCs w:val="18"/>
                <w:color w:val="auto"/>
                <w:w w:val="99"/>
              </w:rPr>
              <w:t>(12)</w:t>
            </w:r>
          </w:p>
        </w:tc>
        <w:tc>
          <w:tcPr>
            <w:tcW w:w="3940" w:type="dxa"/>
            <w:vAlign w:val="bottom"/>
            <w:tcBorders>
              <w:bottom w:val="single" w:sz="8" w:color="0000FF"/>
            </w:tcBorders>
            <w:gridSpan w:val="14"/>
          </w:tcPr>
          <w:p>
            <w:pPr>
              <w:spacing w:after="0"/>
              <w:rPr>
                <w:rFonts w:ascii="Arial" w:cs="Arial" w:eastAsia="Arial" w:hAnsi="Arial"/>
                <w:sz w:val="18"/>
                <w:szCs w:val="18"/>
                <w:color w:val="0000FF"/>
                <w:w w:val="99"/>
              </w:rPr>
            </w:pPr>
            <w:hyperlink r:id="rId69">
              <w:r>
                <w:rPr>
                  <w:rFonts w:ascii="Arial" w:cs="Arial" w:eastAsia="Arial" w:hAnsi="Arial"/>
                  <w:sz w:val="18"/>
                  <w:szCs w:val="18"/>
                  <w:color w:val="0000FF"/>
                  <w:w w:val="99"/>
                </w:rPr>
                <w:t>Amended and Restated Acuity Brands, Inc., 2005</w:t>
              </w:r>
            </w:hyperlink>
          </w:p>
        </w:tc>
        <w:tc>
          <w:tcPr>
            <w:tcW w:w="260" w:type="dxa"/>
            <w:vAlign w:val="bottom"/>
            <w:gridSpan w:val="5"/>
          </w:tcPr>
          <w:p>
            <w:pPr>
              <w:spacing w:after="0"/>
              <w:rPr>
                <w:sz w:val="24"/>
                <w:szCs w:val="24"/>
                <w:color w:val="auto"/>
              </w:rPr>
            </w:pPr>
          </w:p>
        </w:tc>
      </w:tr>
      <w:tr>
        <w:trPr>
          <w:trHeight w:val="183"/>
        </w:trPr>
        <w:tc>
          <w:tcPr>
            <w:tcW w:w="2400" w:type="dxa"/>
            <w:vAlign w:val="bottom"/>
          </w:tcPr>
          <w:p>
            <w:pPr>
              <w:spacing w:after="0"/>
              <w:rPr>
                <w:sz w:val="15"/>
                <w:szCs w:val="15"/>
                <w:color w:val="auto"/>
              </w:rPr>
            </w:pPr>
          </w:p>
        </w:tc>
        <w:tc>
          <w:tcPr>
            <w:tcW w:w="4160" w:type="dxa"/>
            <w:vAlign w:val="bottom"/>
            <w:tcBorders>
              <w:bottom w:val="single" w:sz="8" w:color="0000FF"/>
            </w:tcBorders>
            <w:gridSpan w:val="18"/>
          </w:tcPr>
          <w:p>
            <w:pPr>
              <w:spacing w:after="0" w:line="182" w:lineRule="exact"/>
              <w:rPr>
                <w:rFonts w:ascii="Arial" w:cs="Arial" w:eastAsia="Arial" w:hAnsi="Arial"/>
                <w:sz w:val="18"/>
                <w:szCs w:val="18"/>
                <w:color w:val="0000FF"/>
                <w:w w:val="99"/>
              </w:rPr>
            </w:pPr>
            <w:hyperlink r:id="rId69">
              <w:r>
                <w:rPr>
                  <w:rFonts w:ascii="Arial" w:cs="Arial" w:eastAsia="Arial" w:hAnsi="Arial"/>
                  <w:sz w:val="18"/>
                  <w:szCs w:val="18"/>
                  <w:color w:val="0000FF"/>
                  <w:w w:val="99"/>
                </w:rPr>
                <w:t>Supplemental Deferred Savings Plan, effective as of</w:t>
              </w:r>
            </w:hyperlink>
          </w:p>
        </w:tc>
        <w:tc>
          <w:tcPr>
            <w:tcW w:w="40" w:type="dxa"/>
            <w:vAlign w:val="bottom"/>
          </w:tcPr>
          <w:p>
            <w:pPr>
              <w:spacing w:after="0"/>
              <w:rPr>
                <w:sz w:val="15"/>
                <w:szCs w:val="15"/>
                <w:color w:val="auto"/>
              </w:rPr>
            </w:pPr>
          </w:p>
        </w:tc>
      </w:tr>
      <w:tr>
        <w:trPr>
          <w:trHeight w:val="183"/>
        </w:trPr>
        <w:tc>
          <w:tcPr>
            <w:tcW w:w="2400" w:type="dxa"/>
            <w:vAlign w:val="bottom"/>
          </w:tcPr>
          <w:p>
            <w:pPr>
              <w:spacing w:after="0"/>
              <w:rPr>
                <w:sz w:val="15"/>
                <w:szCs w:val="15"/>
                <w:color w:val="auto"/>
              </w:rPr>
            </w:pPr>
          </w:p>
        </w:tc>
        <w:tc>
          <w:tcPr>
            <w:tcW w:w="1340" w:type="dxa"/>
            <w:vAlign w:val="bottom"/>
            <w:tcBorders>
              <w:bottom w:val="single" w:sz="8" w:color="0000FF"/>
            </w:tcBorders>
            <w:gridSpan w:val="3"/>
          </w:tcPr>
          <w:p>
            <w:pPr>
              <w:spacing w:after="0" w:line="182" w:lineRule="exact"/>
              <w:rPr>
                <w:rFonts w:ascii="Arial" w:cs="Arial" w:eastAsia="Arial" w:hAnsi="Arial"/>
                <w:sz w:val="18"/>
                <w:szCs w:val="18"/>
                <w:color w:val="0000FF"/>
                <w:w w:val="98"/>
              </w:rPr>
            </w:pPr>
            <w:hyperlink r:id="rId69">
              <w:r>
                <w:rPr>
                  <w:rFonts w:ascii="Arial" w:cs="Arial" w:eastAsia="Arial" w:hAnsi="Arial"/>
                  <w:sz w:val="18"/>
                  <w:szCs w:val="18"/>
                  <w:color w:val="0000FF"/>
                  <w:w w:val="98"/>
                </w:rPr>
                <w:t>January 1, 2010.</w:t>
              </w:r>
            </w:hyperlink>
          </w:p>
        </w:tc>
        <w:tc>
          <w:tcPr>
            <w:tcW w:w="2860" w:type="dxa"/>
            <w:vAlign w:val="bottom"/>
            <w:gridSpan w:val="16"/>
          </w:tcPr>
          <w:p>
            <w:pPr>
              <w:spacing w:after="0"/>
              <w:rPr>
                <w:sz w:val="15"/>
                <w:szCs w:val="15"/>
                <w:color w:val="auto"/>
              </w:rPr>
            </w:pPr>
          </w:p>
        </w:tc>
      </w:tr>
      <w:tr>
        <w:trPr>
          <w:trHeight w:val="237"/>
        </w:trPr>
        <w:tc>
          <w:tcPr>
            <w:tcW w:w="2400" w:type="dxa"/>
            <w:vAlign w:val="bottom"/>
          </w:tcPr>
          <w:p>
            <w:pPr>
              <w:jc w:val="center"/>
              <w:ind w:left="1590"/>
              <w:spacing w:after="0"/>
              <w:rPr>
                <w:sz w:val="20"/>
                <w:szCs w:val="20"/>
                <w:color w:val="auto"/>
              </w:rPr>
            </w:pPr>
            <w:r>
              <w:rPr>
                <w:rFonts w:ascii="Arial" w:cs="Arial" w:eastAsia="Arial" w:hAnsi="Arial"/>
                <w:sz w:val="18"/>
                <w:szCs w:val="18"/>
                <w:color w:val="auto"/>
                <w:w w:val="99"/>
              </w:rPr>
              <w:t>(13)</w:t>
            </w:r>
          </w:p>
        </w:tc>
        <w:tc>
          <w:tcPr>
            <w:tcW w:w="4200" w:type="dxa"/>
            <w:vAlign w:val="bottom"/>
            <w:gridSpan w:val="19"/>
          </w:tcPr>
          <w:p>
            <w:pPr>
              <w:spacing w:after="0"/>
              <w:rPr>
                <w:rFonts w:ascii="Arial" w:cs="Arial" w:eastAsia="Arial" w:hAnsi="Arial"/>
                <w:sz w:val="18"/>
                <w:szCs w:val="18"/>
                <w:color w:val="0000FF"/>
              </w:rPr>
            </w:pPr>
            <w:hyperlink r:id="rId70">
              <w:r>
                <w:rPr>
                  <w:rFonts w:ascii="Arial" w:cs="Arial" w:eastAsia="Arial" w:hAnsi="Arial"/>
                  <w:sz w:val="18"/>
                  <w:szCs w:val="18"/>
                  <w:color w:val="0000FF"/>
                </w:rPr>
                <w:t>Amended and Restated Acuity Brands, Inc. 2005</w:t>
              </w:r>
            </w:hyperlink>
          </w:p>
        </w:tc>
      </w:tr>
      <w:tr>
        <w:trPr>
          <w:trHeight w:val="20"/>
        </w:trPr>
        <w:tc>
          <w:tcPr>
            <w:tcW w:w="240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83"/>
        </w:trPr>
        <w:tc>
          <w:tcPr>
            <w:tcW w:w="2400" w:type="dxa"/>
            <w:vAlign w:val="bottom"/>
          </w:tcPr>
          <w:p>
            <w:pPr>
              <w:spacing w:after="0"/>
              <w:rPr>
                <w:sz w:val="15"/>
                <w:szCs w:val="15"/>
                <w:color w:val="auto"/>
              </w:rPr>
            </w:pPr>
          </w:p>
        </w:tc>
        <w:tc>
          <w:tcPr>
            <w:tcW w:w="4160" w:type="dxa"/>
            <w:vAlign w:val="bottom"/>
            <w:tcBorders>
              <w:bottom w:val="single" w:sz="8" w:color="0000FF"/>
            </w:tcBorders>
            <w:gridSpan w:val="18"/>
          </w:tcPr>
          <w:p>
            <w:pPr>
              <w:spacing w:after="0" w:line="182" w:lineRule="exact"/>
              <w:rPr>
                <w:rFonts w:ascii="Arial" w:cs="Arial" w:eastAsia="Arial" w:hAnsi="Arial"/>
                <w:sz w:val="18"/>
                <w:szCs w:val="18"/>
                <w:color w:val="0000FF"/>
                <w:w w:val="99"/>
              </w:rPr>
            </w:pPr>
            <w:hyperlink r:id="rId70">
              <w:r>
                <w:rPr>
                  <w:rFonts w:ascii="Arial" w:cs="Arial" w:eastAsia="Arial" w:hAnsi="Arial"/>
                  <w:sz w:val="18"/>
                  <w:szCs w:val="18"/>
                  <w:color w:val="0000FF"/>
                  <w:w w:val="99"/>
                </w:rPr>
                <w:t>Supplemental Deferred Savings Plan, effective as of</w:t>
              </w:r>
            </w:hyperlink>
          </w:p>
        </w:tc>
        <w:tc>
          <w:tcPr>
            <w:tcW w:w="40" w:type="dxa"/>
            <w:vAlign w:val="bottom"/>
          </w:tcPr>
          <w:p>
            <w:pPr>
              <w:spacing w:after="0"/>
              <w:rPr>
                <w:sz w:val="15"/>
                <w:szCs w:val="15"/>
                <w:color w:val="auto"/>
              </w:rPr>
            </w:pPr>
          </w:p>
        </w:tc>
      </w:tr>
      <w:tr>
        <w:trPr>
          <w:trHeight w:val="183"/>
        </w:trPr>
        <w:tc>
          <w:tcPr>
            <w:tcW w:w="2400" w:type="dxa"/>
            <w:vAlign w:val="bottom"/>
          </w:tcPr>
          <w:p>
            <w:pPr>
              <w:spacing w:after="0"/>
              <w:rPr>
                <w:sz w:val="15"/>
                <w:szCs w:val="15"/>
                <w:color w:val="auto"/>
              </w:rPr>
            </w:pPr>
          </w:p>
        </w:tc>
        <w:tc>
          <w:tcPr>
            <w:tcW w:w="1020" w:type="dxa"/>
            <w:vAlign w:val="bottom"/>
            <w:tcBorders>
              <w:bottom w:val="single" w:sz="8" w:color="0000FF"/>
            </w:tcBorders>
            <w:gridSpan w:val="2"/>
          </w:tcPr>
          <w:p>
            <w:pPr>
              <w:spacing w:after="0" w:line="182" w:lineRule="exact"/>
              <w:rPr>
                <w:rFonts w:ascii="Arial" w:cs="Arial" w:eastAsia="Arial" w:hAnsi="Arial"/>
                <w:sz w:val="18"/>
                <w:szCs w:val="18"/>
                <w:color w:val="0000FF"/>
                <w:w w:val="97"/>
              </w:rPr>
            </w:pPr>
            <w:hyperlink r:id="rId70">
              <w:r>
                <w:rPr>
                  <w:rFonts w:ascii="Arial" w:cs="Arial" w:eastAsia="Arial" w:hAnsi="Arial"/>
                  <w:sz w:val="18"/>
                  <w:szCs w:val="18"/>
                  <w:color w:val="0000FF"/>
                  <w:w w:val="97"/>
                </w:rPr>
                <w:t>July 1, 2019.</w:t>
              </w:r>
            </w:hyperlink>
          </w:p>
        </w:tc>
        <w:tc>
          <w:tcPr>
            <w:tcW w:w="3180" w:type="dxa"/>
            <w:vAlign w:val="bottom"/>
            <w:gridSpan w:val="17"/>
          </w:tcPr>
          <w:p>
            <w:pPr>
              <w:spacing w:after="0"/>
              <w:rPr>
                <w:sz w:val="15"/>
                <w:szCs w:val="15"/>
                <w:color w:val="auto"/>
              </w:rPr>
            </w:pPr>
          </w:p>
        </w:tc>
      </w:tr>
      <w:tr>
        <w:trPr>
          <w:trHeight w:val="236"/>
        </w:trPr>
        <w:tc>
          <w:tcPr>
            <w:tcW w:w="2400" w:type="dxa"/>
            <w:vAlign w:val="bottom"/>
          </w:tcPr>
          <w:p>
            <w:pPr>
              <w:jc w:val="center"/>
              <w:ind w:left="1590"/>
              <w:spacing w:after="0"/>
              <w:rPr>
                <w:sz w:val="20"/>
                <w:szCs w:val="20"/>
                <w:color w:val="auto"/>
              </w:rPr>
            </w:pPr>
            <w:r>
              <w:rPr>
                <w:rFonts w:ascii="Arial" w:cs="Arial" w:eastAsia="Arial" w:hAnsi="Arial"/>
                <w:sz w:val="18"/>
                <w:szCs w:val="18"/>
                <w:color w:val="auto"/>
                <w:w w:val="99"/>
              </w:rPr>
              <w:t>(14)</w:t>
            </w:r>
          </w:p>
        </w:tc>
        <w:tc>
          <w:tcPr>
            <w:tcW w:w="4200" w:type="dxa"/>
            <w:vAlign w:val="bottom"/>
            <w:gridSpan w:val="19"/>
          </w:tcPr>
          <w:p>
            <w:pPr>
              <w:spacing w:after="0"/>
              <w:rPr>
                <w:rFonts w:ascii="Arial" w:cs="Arial" w:eastAsia="Arial" w:hAnsi="Arial"/>
                <w:sz w:val="18"/>
                <w:szCs w:val="18"/>
                <w:color w:val="0000FF"/>
              </w:rPr>
            </w:pPr>
            <w:hyperlink r:id="rId71">
              <w:r>
                <w:rPr>
                  <w:rFonts w:ascii="Arial" w:cs="Arial" w:eastAsia="Arial" w:hAnsi="Arial"/>
                  <w:sz w:val="18"/>
                  <w:szCs w:val="18"/>
                  <w:color w:val="0000FF"/>
                </w:rPr>
                <w:t>Acuity Brands, Inc. Nonemployee Director Deferred</w:t>
              </w:r>
            </w:hyperlink>
          </w:p>
        </w:tc>
      </w:tr>
      <w:tr>
        <w:trPr>
          <w:trHeight w:val="183"/>
        </w:trPr>
        <w:tc>
          <w:tcPr>
            <w:tcW w:w="2400" w:type="dxa"/>
            <w:vAlign w:val="bottom"/>
          </w:tcPr>
          <w:p>
            <w:pPr>
              <w:spacing w:after="0"/>
              <w:rPr>
                <w:sz w:val="15"/>
                <w:szCs w:val="15"/>
                <w:color w:val="auto"/>
              </w:rPr>
            </w:pPr>
          </w:p>
        </w:tc>
        <w:tc>
          <w:tcPr>
            <w:tcW w:w="408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71">
              <w:r>
                <w:rPr>
                  <w:rFonts w:ascii="Arial" w:cs="Arial" w:eastAsia="Arial" w:hAnsi="Arial"/>
                  <w:sz w:val="18"/>
                  <w:szCs w:val="18"/>
                  <w:color w:val="0000FF"/>
                </w:rPr>
                <w:t>Compensation Plan as Amended and Restated</w:t>
              </w:r>
            </w:hyperlink>
          </w:p>
        </w:tc>
        <w:tc>
          <w:tcPr>
            <w:tcW w:w="120" w:type="dxa"/>
            <w:vAlign w:val="bottom"/>
            <w:gridSpan w:val="3"/>
          </w:tcPr>
          <w:p>
            <w:pPr>
              <w:spacing w:after="0"/>
              <w:rPr>
                <w:sz w:val="15"/>
                <w:szCs w:val="15"/>
                <w:color w:val="auto"/>
              </w:rPr>
            </w:pPr>
          </w:p>
        </w:tc>
      </w:tr>
      <w:tr>
        <w:trPr>
          <w:trHeight w:val="183"/>
        </w:trPr>
        <w:tc>
          <w:tcPr>
            <w:tcW w:w="2400" w:type="dxa"/>
            <w:vAlign w:val="bottom"/>
          </w:tcPr>
          <w:p>
            <w:pPr>
              <w:spacing w:after="0"/>
              <w:rPr>
                <w:sz w:val="15"/>
                <w:szCs w:val="15"/>
                <w:color w:val="auto"/>
              </w:rPr>
            </w:pPr>
          </w:p>
        </w:tc>
        <w:tc>
          <w:tcPr>
            <w:tcW w:w="374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71">
              <w:r>
                <w:rPr>
                  <w:rFonts w:ascii="Arial" w:cs="Arial" w:eastAsia="Arial" w:hAnsi="Arial"/>
                  <w:sz w:val="18"/>
                  <w:szCs w:val="18"/>
                  <w:color w:val="0000FF"/>
                </w:rPr>
                <w:t>Effective June 29, 2006.</w:t>
              </w:r>
            </w:hyperlink>
          </w:p>
        </w:tc>
        <w:tc>
          <w:tcPr>
            <w:tcW w:w="460" w:type="dxa"/>
            <w:vAlign w:val="bottom"/>
            <w:gridSpan w:val="8"/>
          </w:tcPr>
          <w:p>
            <w:pPr>
              <w:spacing w:after="0"/>
              <w:rPr>
                <w:sz w:val="15"/>
                <w:szCs w:val="15"/>
                <w:color w:val="auto"/>
              </w:rPr>
            </w:pPr>
          </w:p>
        </w:tc>
      </w:tr>
      <w:tr>
        <w:trPr>
          <w:trHeight w:val="20"/>
        </w:trPr>
        <w:tc>
          <w:tcPr>
            <w:tcW w:w="2400" w:type="dxa"/>
            <w:vAlign w:val="bottom"/>
          </w:tcPr>
          <w:p>
            <w:pPr>
              <w:spacing w:after="0" w:line="20" w:lineRule="exact"/>
              <w:rPr>
                <w:sz w:val="1"/>
                <w:szCs w:val="1"/>
                <w:color w:val="auto"/>
              </w:rPr>
            </w:pPr>
          </w:p>
        </w:tc>
        <w:tc>
          <w:tcPr>
            <w:tcW w:w="1920" w:type="dxa"/>
            <w:vAlign w:val="bottom"/>
            <w:gridSpan w:val="6"/>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0" w:type="dxa"/>
            <w:vAlign w:val="bottom"/>
            <w:gridSpan w:val="11"/>
          </w:tcPr>
          <w:p>
            <w:pPr>
              <w:spacing w:after="0" w:line="20" w:lineRule="exact"/>
              <w:rPr>
                <w:sz w:val="1"/>
                <w:szCs w:val="1"/>
                <w:color w:val="auto"/>
              </w:rPr>
            </w:pPr>
          </w:p>
        </w:tc>
      </w:tr>
      <w:tr>
        <w:trPr>
          <w:trHeight w:val="236"/>
        </w:trPr>
        <w:tc>
          <w:tcPr>
            <w:tcW w:w="2400" w:type="dxa"/>
            <w:vAlign w:val="bottom"/>
          </w:tcPr>
          <w:p>
            <w:pPr>
              <w:jc w:val="center"/>
              <w:ind w:left="1590"/>
              <w:spacing w:after="0"/>
              <w:rPr>
                <w:sz w:val="20"/>
                <w:szCs w:val="20"/>
                <w:color w:val="auto"/>
              </w:rPr>
            </w:pPr>
            <w:r>
              <w:rPr>
                <w:rFonts w:ascii="Arial" w:cs="Arial" w:eastAsia="Arial" w:hAnsi="Arial"/>
                <w:sz w:val="18"/>
                <w:szCs w:val="18"/>
                <w:color w:val="auto"/>
                <w:w w:val="99"/>
              </w:rPr>
              <w:t>(15)</w:t>
            </w:r>
          </w:p>
        </w:tc>
        <w:tc>
          <w:tcPr>
            <w:tcW w:w="3200" w:type="dxa"/>
            <w:vAlign w:val="bottom"/>
            <w:tcBorders>
              <w:bottom w:val="single" w:sz="8" w:color="0000FF"/>
            </w:tcBorders>
            <w:gridSpan w:val="8"/>
          </w:tcPr>
          <w:p>
            <w:pPr>
              <w:spacing w:after="0"/>
              <w:rPr>
                <w:rFonts w:ascii="Arial" w:cs="Arial" w:eastAsia="Arial" w:hAnsi="Arial"/>
                <w:sz w:val="18"/>
                <w:szCs w:val="18"/>
                <w:color w:val="0000FF"/>
                <w:w w:val="99"/>
              </w:rPr>
            </w:pPr>
            <w:hyperlink r:id="rId72">
              <w:r>
                <w:rPr>
                  <w:rFonts w:ascii="Arial" w:cs="Arial" w:eastAsia="Arial" w:hAnsi="Arial"/>
                  <w:sz w:val="18"/>
                  <w:szCs w:val="18"/>
                  <w:color w:val="0000FF"/>
                  <w:w w:val="99"/>
                </w:rPr>
                <w:t>Amendment No. 2 to Acuity Brands, Inc.</w:t>
              </w:r>
            </w:hyperlink>
          </w:p>
        </w:tc>
        <w:tc>
          <w:tcPr>
            <w:tcW w:w="1000" w:type="dxa"/>
            <w:vAlign w:val="bottom"/>
            <w:gridSpan w:val="11"/>
          </w:tcPr>
          <w:p>
            <w:pPr>
              <w:spacing w:after="0"/>
              <w:rPr>
                <w:sz w:val="20"/>
                <w:szCs w:val="20"/>
                <w:color w:val="auto"/>
              </w:rPr>
            </w:pPr>
          </w:p>
        </w:tc>
      </w:tr>
      <w:tr>
        <w:trPr>
          <w:trHeight w:val="223"/>
        </w:trPr>
        <w:tc>
          <w:tcPr>
            <w:tcW w:w="2400" w:type="dxa"/>
            <w:vAlign w:val="bottom"/>
          </w:tcPr>
          <w:p>
            <w:pPr>
              <w:spacing w:after="0"/>
              <w:rPr>
                <w:sz w:val="19"/>
                <w:szCs w:val="19"/>
                <w:color w:val="auto"/>
              </w:rPr>
            </w:pPr>
          </w:p>
        </w:tc>
        <w:tc>
          <w:tcPr>
            <w:tcW w:w="4200" w:type="dxa"/>
            <w:vAlign w:val="bottom"/>
            <w:gridSpan w:val="19"/>
          </w:tcPr>
          <w:p>
            <w:pPr>
              <w:spacing w:after="0"/>
              <w:rPr>
                <w:rFonts w:ascii="Arial" w:cs="Arial" w:eastAsia="Arial" w:hAnsi="Arial"/>
                <w:sz w:val="18"/>
                <w:szCs w:val="18"/>
                <w:u w:val="single" w:color="auto"/>
                <w:color w:val="0000FF"/>
                <w:w w:val="99"/>
              </w:rPr>
            </w:pPr>
            <w:hyperlink r:id="rId72">
              <w:r>
                <w:rPr>
                  <w:rFonts w:ascii="Arial" w:cs="Arial" w:eastAsia="Arial" w:hAnsi="Arial"/>
                  <w:sz w:val="18"/>
                  <w:szCs w:val="18"/>
                  <w:u w:val="single" w:color="auto"/>
                  <w:color w:val="0000FF"/>
                  <w:w w:val="99"/>
                </w:rPr>
                <w:t>Nonemployee Director Deferred Compensation Plan.</w:t>
              </w:r>
            </w:hyperlink>
          </w:p>
        </w:tc>
      </w:tr>
      <w:tr>
        <w:trPr>
          <w:trHeight w:val="850"/>
        </w:trPr>
        <w:tc>
          <w:tcPr>
            <w:tcW w:w="2400" w:type="dxa"/>
            <w:vAlign w:val="bottom"/>
          </w:tcPr>
          <w:p>
            <w:pPr>
              <w:spacing w:after="0"/>
              <w:rPr>
                <w:sz w:val="24"/>
                <w:szCs w:val="24"/>
                <w:color w:val="auto"/>
              </w:rPr>
            </w:pPr>
          </w:p>
        </w:tc>
        <w:tc>
          <w:tcPr>
            <w:tcW w:w="3640" w:type="dxa"/>
            <w:vAlign w:val="bottom"/>
            <w:gridSpan w:val="9"/>
          </w:tcPr>
          <w:p>
            <w:pPr>
              <w:ind w:left="3120"/>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Exhibit 10.6 of registrant’s Form 8-K as filed with the Commission on December 14, 2001, which is incorporated herein by reference.</w:t>
      </w:r>
    </w:p>
    <w:p>
      <w:pPr>
        <w:spacing w:after="0" w:line="4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Reference is made to Exhibit 10(iii)A(3) of registrant’s Form 10-Q as filed with the Commission on January 14, 2002, which is incorporated herein by reference.</w:t>
      </w:r>
    </w:p>
    <w:p>
      <w:pPr>
        <w:spacing w:after="0" w:line="43"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Reference is made to Exhibit 99.1 of registrant’s Form 8-K filed with the Commission on October 27, 2006, which is incorporated herein by reference.</w:t>
      </w:r>
    </w:p>
    <w:p>
      <w:pPr>
        <w:spacing w:after="0" w:line="2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Reference is made to Exhibit 10(iii)A(2) of registrant’s Form 10-Q as filed with the Commission on January 4, 2007, which is incorporated herein by reference.</w:t>
      </w:r>
    </w:p>
    <w:p>
      <w:pPr>
        <w:spacing w:after="0" w:line="4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Reference is made to Exhibit 10(iii)A(3) of registrant’s Form 10-Q as filed with the Commission on July 10, 2007, which is incorporated herein by reference.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Exhibit 10.14 of registrant’s Form 8-K as filed with the Commission on December 14, 2001, which is incorporated herein by reference.</w:t>
      </w:r>
    </w:p>
    <w:p>
      <w:pPr>
        <w:spacing w:after="0" w:line="4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Reference is made to Exhibit 10(iii)A(2) of registrant’s Form 10-Q as filed with the Commission on January 14, 2003, which is incorporated by reference.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Exhibit 10(iii)A(8) of the registrant’s Form 10-Q as filed with the Commission on July 14, 2003, which is incorporated by reference.</w:t>
      </w:r>
    </w:p>
    <w:p>
      <w:pPr>
        <w:spacing w:after="0" w:line="4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Reference is made to Exhibit 10(iii)A(36) of the registrant’s Form 10-K as filed with the Commission on October 29, 2004, which is incorporated by reference.</w:t>
      </w:r>
    </w:p>
    <w:p>
      <w:pPr>
        <w:spacing w:after="0" w:line="4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Reference is made to Exhibit 99.2 of registrant’s Form 8-K filed with the Commission on July 6, 2006, which is incorporated herein by reference.</w:t>
      </w:r>
    </w:p>
    <w:p>
      <w:pPr>
        <w:spacing w:after="0" w:line="4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Reference is made to Exhibit 10(iii)A(6) of registrant’s Form 10-Q as filed with the Commission on July 10, 2007, which is incorporated herein by reference.</w:t>
      </w:r>
    </w:p>
    <w:p>
      <w:pPr>
        <w:spacing w:after="0" w:line="43"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Reference is made to Exhibit 10 (c) of registrant’s Form 10-Q as filed with the Commission on March 31, 2010, which is incorporated herein by reference.</w:t>
      </w:r>
    </w:p>
    <w:p>
      <w:pPr>
        <w:spacing w:after="0" w:line="2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Reference is made to Exhibit 10(b) of the registrant's Form 10-Q as filed with the Commission on July 2, 2019, which is incorporated herein by reference.</w:t>
      </w:r>
    </w:p>
    <w:p>
      <w:pPr>
        <w:spacing w:after="0" w:line="4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Reference is made to Exhibit 99.1 of registrant’s Form 8-K filed with the Commission on July 6, 2006, which is incorporated herein by reference.</w:t>
      </w:r>
    </w:p>
    <w:p>
      <w:pPr>
        <w:spacing w:after="0" w:line="4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Reference is made to Exhibit 10(iii)A(86) of the registrant’s Form 10-K as filed with the Commission on October 27, 2008, which is incorporated herein by reference.</w:t>
      </w:r>
    </w:p>
    <w:p>
      <w:pPr>
        <w:sectPr>
          <w:pgSz w:w="11900" w:h="16838" w:orient="portrait"/>
          <w:cols w:equalWidth="0" w:num="2">
            <w:col w:w="6600" w:space="400"/>
            <w:col w:w="4220"/>
          </w:cols>
          <w:pgMar w:left="320" w:top="260" w:right="3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2400" w:hanging="527"/>
        <w:spacing w:after="0"/>
        <w:tabs>
          <w:tab w:leader="none" w:pos="2400" w:val="left"/>
        </w:tabs>
        <w:numPr>
          <w:ilvl w:val="0"/>
          <w:numId w:val="15"/>
        </w:numPr>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Amended and Restated Acuity Brands Inc. 2011</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Nonemployee Director Deferred Compensation Plan,</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effective as of December 1, 2012.</w:t>
        </w:r>
      </w:hyperlink>
    </w:p>
    <w:p>
      <w:pPr>
        <w:spacing w:after="0" w:line="243" w:lineRule="exact"/>
        <w:rPr>
          <w:rFonts w:ascii="Arial" w:cs="Arial" w:eastAsia="Arial" w:hAnsi="Arial"/>
          <w:sz w:val="18"/>
          <w:szCs w:val="18"/>
          <w:u w:val="single" w:color="auto"/>
          <w:color w:val="0000FF"/>
        </w:rPr>
      </w:pPr>
    </w:p>
    <w:p>
      <w:pPr>
        <w:ind w:left="2400" w:hanging="527"/>
        <w:spacing w:after="0" w:line="246" w:lineRule="auto"/>
        <w:tabs>
          <w:tab w:leader="none" w:pos="2400" w:val="left"/>
        </w:tabs>
        <w:numPr>
          <w:ilvl w:val="0"/>
          <w:numId w:val="15"/>
        </w:numPr>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Acuity Brands, Inc. Compensation for Non-Employee</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Directors.</w:t>
        </w:r>
      </w:hyperlink>
    </w:p>
    <w:p>
      <w:pPr>
        <w:spacing w:after="0" w:line="237" w:lineRule="exact"/>
        <w:rPr>
          <w:rFonts w:ascii="Arial" w:cs="Arial" w:eastAsia="Arial" w:hAnsi="Arial"/>
          <w:sz w:val="18"/>
          <w:szCs w:val="18"/>
          <w:u w:val="single" w:color="auto"/>
          <w:color w:val="0000FF"/>
        </w:rPr>
      </w:pPr>
    </w:p>
    <w:p>
      <w:pPr>
        <w:ind w:left="2400" w:right="420" w:hanging="527"/>
        <w:spacing w:after="0" w:line="246" w:lineRule="auto"/>
        <w:tabs>
          <w:tab w:leader="none" w:pos="2400" w:val="left"/>
        </w:tabs>
        <w:numPr>
          <w:ilvl w:val="0"/>
          <w:numId w:val="15"/>
        </w:numPr>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Acuity Brands, Inc. Senior Management Benefit</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Plan.</w:t>
        </w:r>
      </w:hyperlink>
    </w:p>
    <w:p>
      <w:pPr>
        <w:spacing w:after="0" w:line="237" w:lineRule="exact"/>
        <w:rPr>
          <w:rFonts w:ascii="Arial" w:cs="Arial" w:eastAsia="Arial" w:hAnsi="Arial"/>
          <w:sz w:val="18"/>
          <w:szCs w:val="18"/>
          <w:u w:val="single" w:color="auto"/>
          <w:color w:val="0000FF"/>
        </w:rPr>
      </w:pPr>
    </w:p>
    <w:p>
      <w:pPr>
        <w:ind w:left="2400" w:right="440" w:hanging="527"/>
        <w:spacing w:after="0" w:line="246" w:lineRule="auto"/>
        <w:tabs>
          <w:tab w:leader="none" w:pos="2400" w:val="left"/>
        </w:tabs>
        <w:numPr>
          <w:ilvl w:val="0"/>
          <w:numId w:val="15"/>
        </w:numPr>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Amendment No. 1 to Acuity Brands, Inc. Senior</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Management Benefit Plan.</w:t>
        </w:r>
      </w:hyperlink>
    </w:p>
    <w:p>
      <w:pPr>
        <w:spacing w:after="0" w:line="200" w:lineRule="exact"/>
        <w:rPr>
          <w:rFonts w:ascii="Arial" w:cs="Arial" w:eastAsia="Arial" w:hAnsi="Arial"/>
          <w:sz w:val="18"/>
          <w:szCs w:val="18"/>
          <w:u w:val="single" w:color="auto"/>
          <w:color w:val="0000FF"/>
        </w:rPr>
      </w:pPr>
    </w:p>
    <w:p>
      <w:pPr>
        <w:spacing w:after="0" w:line="239" w:lineRule="exact"/>
        <w:rPr>
          <w:rFonts w:ascii="Arial" w:cs="Arial" w:eastAsia="Arial" w:hAnsi="Arial"/>
          <w:sz w:val="18"/>
          <w:szCs w:val="18"/>
          <w:u w:val="single" w:color="auto"/>
          <w:color w:val="0000FF"/>
        </w:rPr>
      </w:pPr>
    </w:p>
    <w:p>
      <w:pPr>
        <w:ind w:left="2400" w:hanging="527"/>
        <w:spacing w:after="0"/>
        <w:tabs>
          <w:tab w:leader="none" w:pos="2400" w:val="left"/>
        </w:tabs>
        <w:numPr>
          <w:ilvl w:val="0"/>
          <w:numId w:val="15"/>
        </w:numPr>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Acuity Brands, Inc. Executive Benefits Trust.</w:t>
        </w:r>
      </w:hyperlink>
    </w:p>
    <w:p>
      <w:pPr>
        <w:spacing w:after="0" w:line="200" w:lineRule="exact"/>
        <w:rPr>
          <w:rFonts w:ascii="Arial" w:cs="Arial" w:eastAsia="Arial" w:hAnsi="Arial"/>
          <w:sz w:val="18"/>
          <w:szCs w:val="18"/>
          <w:u w:val="single" w:color="auto"/>
          <w:color w:val="0000FF"/>
        </w:rPr>
      </w:pPr>
    </w:p>
    <w:p>
      <w:pPr>
        <w:spacing w:after="0" w:line="254" w:lineRule="exact"/>
        <w:rPr>
          <w:rFonts w:ascii="Arial" w:cs="Arial" w:eastAsia="Arial" w:hAnsi="Arial"/>
          <w:sz w:val="18"/>
          <w:szCs w:val="18"/>
          <w:u w:val="single" w:color="auto"/>
          <w:color w:val="0000FF"/>
        </w:rPr>
      </w:pPr>
    </w:p>
    <w:p>
      <w:pPr>
        <w:ind w:left="2400" w:right="220" w:hanging="527"/>
        <w:spacing w:after="0" w:line="246" w:lineRule="auto"/>
        <w:tabs>
          <w:tab w:leader="none" w:pos="2400" w:val="left"/>
        </w:tabs>
        <w:numPr>
          <w:ilvl w:val="0"/>
          <w:numId w:val="15"/>
        </w:numPr>
        <w:rPr>
          <w:rFonts w:ascii="Arial" w:cs="Arial" w:eastAsia="Arial" w:hAnsi="Arial"/>
          <w:sz w:val="18"/>
          <w:szCs w:val="18"/>
          <w:u w:val="single" w:color="auto"/>
          <w:color w:val="0000FF"/>
        </w:rPr>
      </w:pPr>
      <w:hyperlink r:id="rId78">
        <w:r>
          <w:rPr>
            <w:rFonts w:ascii="Arial" w:cs="Arial" w:eastAsia="Arial" w:hAnsi="Arial"/>
            <w:sz w:val="18"/>
            <w:szCs w:val="18"/>
            <w:u w:val="single" w:color="auto"/>
            <w:color w:val="0000FF"/>
          </w:rPr>
          <w:t>Acuity Brands, Inc. Supplemental Retirement Plan</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for Executives.</w:t>
        </w:r>
      </w:hyperlink>
    </w:p>
    <w:p>
      <w:pPr>
        <w:spacing w:after="0" w:line="237" w:lineRule="exact"/>
        <w:rPr>
          <w:rFonts w:ascii="Arial" w:cs="Arial" w:eastAsia="Arial" w:hAnsi="Arial"/>
          <w:sz w:val="18"/>
          <w:szCs w:val="18"/>
          <w:u w:val="single" w:color="auto"/>
          <w:color w:val="0000FF"/>
        </w:rPr>
      </w:pPr>
    </w:p>
    <w:p>
      <w:pPr>
        <w:ind w:left="2400" w:right="540" w:hanging="527"/>
        <w:spacing w:after="0" w:line="274" w:lineRule="auto"/>
        <w:tabs>
          <w:tab w:leader="none" w:pos="2400" w:val="left"/>
        </w:tabs>
        <w:numPr>
          <w:ilvl w:val="0"/>
          <w:numId w:val="15"/>
        </w:numPr>
        <w:rPr>
          <w:rFonts w:ascii="Arial" w:cs="Arial" w:eastAsia="Arial" w:hAnsi="Arial"/>
          <w:sz w:val="17"/>
          <w:szCs w:val="17"/>
          <w:u w:val="single" w:color="auto"/>
          <w:color w:val="0000FF"/>
        </w:rPr>
      </w:pPr>
      <w:hyperlink r:id="rId79">
        <w:r>
          <w:rPr>
            <w:rFonts w:ascii="Arial" w:cs="Arial" w:eastAsia="Arial" w:hAnsi="Arial"/>
            <w:sz w:val="17"/>
            <w:szCs w:val="17"/>
            <w:u w:val="single" w:color="auto"/>
            <w:color w:val="0000FF"/>
          </w:rPr>
          <w:t>Amendment No. 1 to Acuity Brands, Inc.</w:t>
        </w:r>
      </w:hyperlink>
      <w:r>
        <w:rPr>
          <w:rFonts w:ascii="Arial" w:cs="Arial" w:eastAsia="Arial" w:hAnsi="Arial"/>
          <w:sz w:val="17"/>
          <w:szCs w:val="17"/>
          <w:u w:val="single" w:color="auto"/>
          <w:color w:val="0000FF"/>
        </w:rPr>
        <w:t xml:space="preserve"> </w:t>
      </w:r>
      <w:hyperlink r:id="rId79">
        <w:r>
          <w:rPr>
            <w:rFonts w:ascii="Arial" w:cs="Arial" w:eastAsia="Arial" w:hAnsi="Arial"/>
            <w:sz w:val="17"/>
            <w:szCs w:val="17"/>
            <w:u w:val="single" w:color="auto"/>
            <w:color w:val="0000FF"/>
          </w:rPr>
          <w:t>Supplemental Retirement Plan for Executives.</w:t>
        </w:r>
      </w:hyperlink>
    </w:p>
    <w:p>
      <w:pPr>
        <w:spacing w:after="0" w:line="200" w:lineRule="exact"/>
        <w:rPr>
          <w:rFonts w:ascii="Arial" w:cs="Arial" w:eastAsia="Arial" w:hAnsi="Arial"/>
          <w:sz w:val="17"/>
          <w:szCs w:val="17"/>
          <w:u w:val="single" w:color="auto"/>
          <w:color w:val="0000FF"/>
        </w:rPr>
      </w:pPr>
    </w:p>
    <w:p>
      <w:pPr>
        <w:spacing w:after="0" w:line="217" w:lineRule="exact"/>
        <w:rPr>
          <w:rFonts w:ascii="Arial" w:cs="Arial" w:eastAsia="Arial" w:hAnsi="Arial"/>
          <w:sz w:val="17"/>
          <w:szCs w:val="17"/>
          <w:u w:val="single" w:color="auto"/>
          <w:color w:val="0000FF"/>
        </w:rPr>
      </w:pPr>
    </w:p>
    <w:p>
      <w:pPr>
        <w:ind w:left="2400" w:hanging="527"/>
        <w:spacing w:after="0"/>
        <w:tabs>
          <w:tab w:leader="none" w:pos="2400" w:val="left"/>
        </w:tabs>
        <w:numPr>
          <w:ilvl w:val="0"/>
          <w:numId w:val="15"/>
        </w:numPr>
        <w:rPr>
          <w:rFonts w:ascii="Arial" w:cs="Arial" w:eastAsia="Arial" w:hAnsi="Arial"/>
          <w:sz w:val="18"/>
          <w:szCs w:val="18"/>
          <w:u w:val="single" w:color="auto"/>
          <w:color w:val="0000FF"/>
        </w:rPr>
      </w:pPr>
      <w:hyperlink r:id="rId80">
        <w:r>
          <w:rPr>
            <w:rFonts w:ascii="Arial" w:cs="Arial" w:eastAsia="Arial" w:hAnsi="Arial"/>
            <w:sz w:val="18"/>
            <w:szCs w:val="18"/>
            <w:u w:val="single" w:color="auto"/>
            <w:color w:val="0000FF"/>
          </w:rPr>
          <w:t>Acuity Brands, Inc. Benefits Protection Trust.</w:t>
        </w:r>
      </w:hyperlink>
    </w:p>
    <w:p>
      <w:pPr>
        <w:spacing w:after="0" w:line="200" w:lineRule="exact"/>
        <w:rPr>
          <w:rFonts w:ascii="Arial" w:cs="Arial" w:eastAsia="Arial" w:hAnsi="Arial"/>
          <w:sz w:val="18"/>
          <w:szCs w:val="18"/>
          <w:u w:val="single" w:color="auto"/>
          <w:color w:val="0000FF"/>
        </w:rPr>
      </w:pPr>
    </w:p>
    <w:p>
      <w:pPr>
        <w:spacing w:after="0" w:line="254" w:lineRule="exact"/>
        <w:rPr>
          <w:rFonts w:ascii="Arial" w:cs="Arial" w:eastAsia="Arial" w:hAnsi="Arial"/>
          <w:sz w:val="18"/>
          <w:szCs w:val="18"/>
          <w:u w:val="single" w:color="auto"/>
          <w:color w:val="0000FF"/>
        </w:rPr>
      </w:pPr>
    </w:p>
    <w:p>
      <w:pPr>
        <w:ind w:left="2400" w:right="660" w:hanging="527"/>
        <w:spacing w:after="0" w:line="246" w:lineRule="auto"/>
        <w:tabs>
          <w:tab w:leader="none" w:pos="2400" w:val="left"/>
        </w:tabs>
        <w:numPr>
          <w:ilvl w:val="0"/>
          <w:numId w:val="15"/>
        </w:numPr>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Form of Acuity Brands, Inc., Letter regarding</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Bonuses.</w:t>
        </w:r>
      </w:hyperlink>
    </w:p>
    <w:p>
      <w:pPr>
        <w:spacing w:after="0" w:line="237" w:lineRule="exact"/>
        <w:rPr>
          <w:rFonts w:ascii="Arial" w:cs="Arial" w:eastAsia="Arial" w:hAnsi="Arial"/>
          <w:sz w:val="18"/>
          <w:szCs w:val="18"/>
          <w:u w:val="single" w:color="auto"/>
          <w:color w:val="0000FF"/>
        </w:rPr>
      </w:pPr>
    </w:p>
    <w:p>
      <w:pPr>
        <w:ind w:left="2400" w:right="20" w:hanging="527"/>
        <w:spacing w:after="0" w:line="238" w:lineRule="auto"/>
        <w:tabs>
          <w:tab w:leader="none" w:pos="2400" w:val="left"/>
        </w:tabs>
        <w:numPr>
          <w:ilvl w:val="0"/>
          <w:numId w:val="15"/>
        </w:numPr>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Acuity Brands, Inc. 2002 Supplemental Executive</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Retirement Plan, Effective As of January 1, 2003, As</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Amended and Restated Effective As of June 26,</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2015.</w:t>
        </w:r>
      </w:hyperlink>
    </w:p>
    <w:p>
      <w:pPr>
        <w:spacing w:after="0" w:line="42" w:lineRule="exact"/>
        <w:rPr>
          <w:rFonts w:ascii="Arial" w:cs="Arial" w:eastAsia="Arial" w:hAnsi="Arial"/>
          <w:sz w:val="18"/>
          <w:szCs w:val="18"/>
          <w:u w:val="single" w:color="auto"/>
          <w:color w:val="0000FF"/>
        </w:rPr>
      </w:pPr>
    </w:p>
    <w:p>
      <w:pPr>
        <w:ind w:left="2400" w:right="280" w:hanging="527"/>
        <w:spacing w:after="0"/>
        <w:tabs>
          <w:tab w:leader="none" w:pos="2400" w:val="left"/>
        </w:tabs>
        <w:numPr>
          <w:ilvl w:val="0"/>
          <w:numId w:val="15"/>
        </w:numPr>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Acuity Brands, Inc. 2002 Supplemental Executive</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Retirement Plan, As Amended and Restated</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Effective As of July 1, 2019.</w:t>
        </w:r>
      </w:hyperlink>
    </w:p>
    <w:p>
      <w:pPr>
        <w:spacing w:after="0" w:line="40" w:lineRule="exact"/>
        <w:rPr>
          <w:rFonts w:ascii="Arial" w:cs="Arial" w:eastAsia="Arial" w:hAnsi="Arial"/>
          <w:sz w:val="18"/>
          <w:szCs w:val="18"/>
          <w:u w:val="single" w:color="auto"/>
          <w:color w:val="0000FF"/>
        </w:rPr>
      </w:pPr>
    </w:p>
    <w:p>
      <w:pPr>
        <w:ind w:left="2400" w:right="100" w:hanging="527"/>
        <w:spacing w:after="0" w:line="261" w:lineRule="auto"/>
        <w:tabs>
          <w:tab w:leader="none" w:pos="2400" w:val="left"/>
        </w:tabs>
        <w:numPr>
          <w:ilvl w:val="0"/>
          <w:numId w:val="15"/>
        </w:numPr>
        <w:rPr>
          <w:rFonts w:ascii="Arial" w:cs="Arial" w:eastAsia="Arial" w:hAnsi="Arial"/>
          <w:sz w:val="17"/>
          <w:szCs w:val="17"/>
          <w:u w:val="single" w:color="auto"/>
          <w:color w:val="0000FF"/>
        </w:rPr>
      </w:pPr>
      <w:hyperlink r:id="rId84">
        <w:r>
          <w:rPr>
            <w:rFonts w:ascii="Arial" w:cs="Arial" w:eastAsia="Arial" w:hAnsi="Arial"/>
            <w:sz w:val="17"/>
            <w:szCs w:val="17"/>
            <w:u w:val="single" w:color="auto"/>
            <w:color w:val="0000FF"/>
          </w:rPr>
          <w:t>Unforeseeable Emergency Distribution Amendment</w:t>
        </w:r>
      </w:hyperlink>
      <w:r>
        <w:rPr>
          <w:rFonts w:ascii="Arial" w:cs="Arial" w:eastAsia="Arial" w:hAnsi="Arial"/>
          <w:sz w:val="17"/>
          <w:szCs w:val="17"/>
          <w:u w:val="single" w:color="auto"/>
          <w:color w:val="0000FF"/>
        </w:rPr>
        <w:t xml:space="preserve"> </w:t>
      </w:r>
      <w:hyperlink r:id="rId84">
        <w:r>
          <w:rPr>
            <w:rFonts w:ascii="Arial" w:cs="Arial" w:eastAsia="Arial" w:hAnsi="Arial"/>
            <w:sz w:val="17"/>
            <w:szCs w:val="17"/>
            <w:u w:val="single" w:color="auto"/>
            <w:color w:val="0000FF"/>
          </w:rPr>
          <w:t>to the Acuity Brands, Inc. 2002 Supplemental</w:t>
        </w:r>
      </w:hyperlink>
      <w:r>
        <w:rPr>
          <w:rFonts w:ascii="Arial" w:cs="Arial" w:eastAsia="Arial" w:hAnsi="Arial"/>
          <w:sz w:val="17"/>
          <w:szCs w:val="17"/>
          <w:u w:val="single" w:color="auto"/>
          <w:color w:val="0000FF"/>
        </w:rPr>
        <w:t xml:space="preserve"> </w:t>
      </w:r>
      <w:hyperlink r:id="rId84">
        <w:r>
          <w:rPr>
            <w:rFonts w:ascii="Arial" w:cs="Arial" w:eastAsia="Arial" w:hAnsi="Arial"/>
            <w:sz w:val="17"/>
            <w:szCs w:val="17"/>
            <w:u w:val="single" w:color="auto"/>
            <w:color w:val="0000FF"/>
          </w:rPr>
          <w:t>Executive Retirement Plan dated July 12, 2018.</w:t>
        </w:r>
      </w:hyperlink>
    </w:p>
    <w:p>
      <w:pPr>
        <w:spacing w:after="0" w:line="226" w:lineRule="exact"/>
        <w:rPr>
          <w:rFonts w:ascii="Arial" w:cs="Arial" w:eastAsia="Arial" w:hAnsi="Arial"/>
          <w:sz w:val="17"/>
          <w:szCs w:val="17"/>
          <w:u w:val="single" w:color="auto"/>
          <w:color w:val="0000FF"/>
        </w:rPr>
      </w:pPr>
    </w:p>
    <w:p>
      <w:pPr>
        <w:ind w:left="2400" w:right="140" w:hanging="527"/>
        <w:spacing w:after="0" w:line="274" w:lineRule="auto"/>
        <w:tabs>
          <w:tab w:leader="none" w:pos="2400" w:val="left"/>
        </w:tabs>
        <w:numPr>
          <w:ilvl w:val="0"/>
          <w:numId w:val="15"/>
        </w:numPr>
        <w:rPr>
          <w:rFonts w:ascii="Arial" w:cs="Arial" w:eastAsia="Arial" w:hAnsi="Arial"/>
          <w:sz w:val="17"/>
          <w:szCs w:val="17"/>
          <w:u w:val="single" w:color="auto"/>
          <w:color w:val="0000FF"/>
        </w:rPr>
      </w:pPr>
      <w:hyperlink r:id="rId85">
        <w:r>
          <w:rPr>
            <w:rFonts w:ascii="Arial" w:cs="Arial" w:eastAsia="Arial" w:hAnsi="Arial"/>
            <w:sz w:val="17"/>
            <w:szCs w:val="17"/>
            <w:u w:val="single" w:color="auto"/>
            <w:color w:val="0000FF"/>
          </w:rPr>
          <w:t>Form of Amended and Restated Change in Control</w:t>
        </w:r>
      </w:hyperlink>
      <w:r>
        <w:rPr>
          <w:rFonts w:ascii="Arial" w:cs="Arial" w:eastAsia="Arial" w:hAnsi="Arial"/>
          <w:sz w:val="17"/>
          <w:szCs w:val="17"/>
          <w:u w:val="single" w:color="auto"/>
          <w:color w:val="0000FF"/>
        </w:rPr>
        <w:t xml:space="preserve"> </w:t>
      </w:r>
      <w:hyperlink r:id="rId85">
        <w:r>
          <w:rPr>
            <w:rFonts w:ascii="Arial" w:cs="Arial" w:eastAsia="Arial" w:hAnsi="Arial"/>
            <w:sz w:val="17"/>
            <w:szCs w:val="17"/>
            <w:u w:val="single" w:color="auto"/>
            <w:color w:val="0000FF"/>
          </w:rPr>
          <w:t>Agreement entered into as of April 21, 2006.</w:t>
        </w:r>
      </w:hyperlink>
    </w:p>
    <w:p>
      <w:pPr>
        <w:spacing w:after="0" w:line="215" w:lineRule="exact"/>
        <w:rPr>
          <w:rFonts w:ascii="Arial" w:cs="Arial" w:eastAsia="Arial" w:hAnsi="Arial"/>
          <w:sz w:val="17"/>
          <w:szCs w:val="17"/>
          <w:u w:val="single" w:color="auto"/>
          <w:color w:val="0000FF"/>
        </w:rPr>
      </w:pPr>
    </w:p>
    <w:p>
      <w:pPr>
        <w:ind w:left="2400" w:hanging="527"/>
        <w:spacing w:after="0"/>
        <w:tabs>
          <w:tab w:leader="none" w:pos="2400" w:val="left"/>
        </w:tabs>
        <w:numPr>
          <w:ilvl w:val="0"/>
          <w:numId w:val="15"/>
        </w:numPr>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Letter Agreement relating to Supplemental Executive</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Retirement Plan between Acuity Brands, Inc. and</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Vernon J. Nagel.</w:t>
        </w:r>
      </w:hyperlink>
    </w:p>
    <w:p>
      <w:pPr>
        <w:spacing w:after="0" w:line="40" w:lineRule="exact"/>
        <w:rPr>
          <w:rFonts w:ascii="Arial" w:cs="Arial" w:eastAsia="Arial" w:hAnsi="Arial"/>
          <w:sz w:val="18"/>
          <w:szCs w:val="18"/>
          <w:u w:val="single" w:color="auto"/>
          <w:color w:val="0000FF"/>
        </w:rPr>
      </w:pPr>
    </w:p>
    <w:p>
      <w:pPr>
        <w:ind w:left="2400" w:right="60" w:hanging="527"/>
        <w:spacing w:after="0" w:line="246" w:lineRule="auto"/>
        <w:tabs>
          <w:tab w:leader="none" w:pos="2400" w:val="left"/>
        </w:tabs>
        <w:numPr>
          <w:ilvl w:val="0"/>
          <w:numId w:val="15"/>
        </w:numPr>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Employment Letter between Acuity Brands, Inc. and</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Vernon J. Nagel, dated June 29, 2004.</w:t>
        </w:r>
      </w:hyperlink>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520"/>
        <w:spacing w:after="0"/>
        <w:rPr>
          <w:sz w:val="20"/>
          <w:szCs w:val="20"/>
          <w:color w:val="auto"/>
        </w:rPr>
      </w:pPr>
      <w:r>
        <w:rPr>
          <w:rFonts w:ascii="Arial" w:cs="Arial" w:eastAsia="Arial" w:hAnsi="Arial"/>
          <w:sz w:val="18"/>
          <w:szCs w:val="18"/>
          <w:color w:val="auto"/>
        </w:rPr>
        <w:t>84</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200" w:lineRule="exact"/>
        <w:rPr>
          <w:rFonts w:ascii="Arial" w:cs="Arial" w:eastAsia="Arial" w:hAnsi="Arial"/>
          <w:sz w:val="18"/>
          <w:szCs w:val="18"/>
          <w:color w:val="auto"/>
        </w:rPr>
      </w:pPr>
    </w:p>
    <w:p>
      <w:pPr>
        <w:spacing w:after="0" w:line="374" w:lineRule="exact"/>
        <w:rPr>
          <w:rFonts w:ascii="Arial" w:cs="Arial" w:eastAsia="Arial" w:hAnsi="Arial"/>
          <w:sz w:val="18"/>
          <w:szCs w:val="18"/>
          <w:color w:val="auto"/>
        </w:rPr>
      </w:pPr>
    </w:p>
    <w:p>
      <w:pPr>
        <w:ind w:right="120"/>
        <w:spacing w:after="0" w:line="238" w:lineRule="auto"/>
        <w:rPr>
          <w:sz w:val="20"/>
          <w:szCs w:val="20"/>
          <w:color w:val="auto"/>
        </w:rPr>
      </w:pPr>
      <w:r>
        <w:rPr>
          <w:rFonts w:ascii="Arial" w:cs="Arial" w:eastAsia="Arial" w:hAnsi="Arial"/>
          <w:sz w:val="18"/>
          <w:szCs w:val="18"/>
          <w:color w:val="auto"/>
        </w:rPr>
        <w:t>Reference is made to Exhibit 10(iii)A(68) of the registrant's Form 10-K as filed with the Commission on October 26, 2012, which is incorporated herein by reference.</w:t>
      </w:r>
    </w:p>
    <w:p>
      <w:pPr>
        <w:spacing w:after="0" w:line="43" w:lineRule="exact"/>
        <w:rPr>
          <w:rFonts w:ascii="Arial" w:cs="Arial" w:eastAsia="Arial" w:hAnsi="Arial"/>
          <w:sz w:val="18"/>
          <w:szCs w:val="18"/>
          <w:color w:val="auto"/>
        </w:rPr>
      </w:pPr>
    </w:p>
    <w:p>
      <w:pPr>
        <w:jc w:val="both"/>
        <w:ind w:right="40"/>
        <w:spacing w:after="0" w:line="261" w:lineRule="auto"/>
        <w:rPr>
          <w:sz w:val="20"/>
          <w:szCs w:val="20"/>
          <w:color w:val="auto"/>
        </w:rPr>
      </w:pPr>
      <w:r>
        <w:rPr>
          <w:rFonts w:ascii="Arial" w:cs="Arial" w:eastAsia="Arial" w:hAnsi="Arial"/>
          <w:sz w:val="17"/>
          <w:szCs w:val="17"/>
          <w:color w:val="auto"/>
        </w:rPr>
        <w:t>Reference is made to Exhibit 10(c) of the registrant's Form 10 -Q as filed with the Commission on January 9, 2019, which is incorporated herein by reference.</w:t>
      </w:r>
    </w:p>
    <w:p>
      <w:pPr>
        <w:spacing w:after="0" w:line="2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Reference is made to Exhibit 10.16 of registrant’s Form 8-K as filed with the Commission on December 14, 2001, which is incorporated herein by reference.</w:t>
      </w:r>
    </w:p>
    <w:p>
      <w:pPr>
        <w:spacing w:after="0" w:line="41" w:lineRule="exact"/>
        <w:rPr>
          <w:rFonts w:ascii="Arial" w:cs="Arial" w:eastAsia="Arial" w:hAnsi="Arial"/>
          <w:sz w:val="18"/>
          <w:szCs w:val="18"/>
          <w:color w:val="auto"/>
        </w:rPr>
      </w:pPr>
    </w:p>
    <w:p>
      <w:pPr>
        <w:ind w:right="100"/>
        <w:spacing w:after="0" w:line="238" w:lineRule="auto"/>
        <w:rPr>
          <w:sz w:val="20"/>
          <w:szCs w:val="20"/>
          <w:color w:val="auto"/>
        </w:rPr>
      </w:pPr>
      <w:r>
        <w:rPr>
          <w:rFonts w:ascii="Arial" w:cs="Arial" w:eastAsia="Arial" w:hAnsi="Arial"/>
          <w:sz w:val="18"/>
          <w:szCs w:val="18"/>
          <w:color w:val="auto"/>
        </w:rPr>
        <w:t>Reference is made to Exhibit 10(iii)A(5) of registrant’s Form 10-Q as filed with the Commission on July 10, 2007, which is incorporated herein by reference.</w:t>
      </w:r>
    </w:p>
    <w:p>
      <w:pPr>
        <w:spacing w:after="0" w:line="4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Reference is made to Exhibit 10.18 of registrant’s Form 8-K as filed with the Commission on December 14, 2001, which is incorporated herein by reference.</w:t>
      </w:r>
    </w:p>
    <w:p>
      <w:pPr>
        <w:spacing w:after="0" w:line="4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Reference is made to Exhibit 10.19 of registrant’s Form 8-K as filed with the Commission on December 14, 2001, which is incorporated herein by reference.</w:t>
      </w:r>
    </w:p>
    <w:p>
      <w:pPr>
        <w:spacing w:after="0" w:line="41" w:lineRule="exact"/>
        <w:rPr>
          <w:rFonts w:ascii="Arial" w:cs="Arial" w:eastAsia="Arial" w:hAnsi="Arial"/>
          <w:sz w:val="18"/>
          <w:szCs w:val="18"/>
          <w:color w:val="auto"/>
        </w:rPr>
      </w:pPr>
    </w:p>
    <w:p>
      <w:pPr>
        <w:ind w:right="100"/>
        <w:spacing w:after="0" w:line="238" w:lineRule="auto"/>
        <w:rPr>
          <w:sz w:val="20"/>
          <w:szCs w:val="20"/>
          <w:color w:val="auto"/>
        </w:rPr>
      </w:pPr>
      <w:r>
        <w:rPr>
          <w:rFonts w:ascii="Arial" w:cs="Arial" w:eastAsia="Arial" w:hAnsi="Arial"/>
          <w:sz w:val="18"/>
          <w:szCs w:val="18"/>
          <w:color w:val="auto"/>
        </w:rPr>
        <w:t>Reference is made to Exhibit 10(iii)A(2) of the registrant’s Form 10-Q as filed with the Commission on April 14, 2003, which is incorporated by reference.</w:t>
      </w:r>
    </w:p>
    <w:p>
      <w:pPr>
        <w:spacing w:after="0" w:line="4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Reference is made to Exhibit 10.21 of registrant’s Form 8-K as filed with the Commission on December 14, 2001, which is incorporated herein by reference.</w:t>
      </w:r>
    </w:p>
    <w:p>
      <w:pPr>
        <w:spacing w:after="0" w:line="4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Reference is made to Exhibit 10.25 of registrant’s Form 8-K as filed with the Commission on December 14, 2001, which is incorporated herein by reference.</w:t>
      </w:r>
    </w:p>
    <w:p>
      <w:pPr>
        <w:spacing w:after="0" w:line="41" w:lineRule="exact"/>
        <w:rPr>
          <w:rFonts w:ascii="Arial" w:cs="Arial" w:eastAsia="Arial" w:hAnsi="Arial"/>
          <w:sz w:val="18"/>
          <w:szCs w:val="18"/>
          <w:color w:val="auto"/>
        </w:rPr>
      </w:pPr>
    </w:p>
    <w:p>
      <w:pPr>
        <w:ind w:right="100"/>
        <w:spacing w:after="0" w:line="261" w:lineRule="auto"/>
        <w:rPr>
          <w:sz w:val="20"/>
          <w:szCs w:val="20"/>
          <w:color w:val="auto"/>
        </w:rPr>
      </w:pPr>
      <w:r>
        <w:rPr>
          <w:rFonts w:ascii="Arial" w:cs="Arial" w:eastAsia="Arial" w:hAnsi="Arial"/>
          <w:sz w:val="17"/>
          <w:szCs w:val="17"/>
          <w:color w:val="auto"/>
        </w:rPr>
        <w:t>Reference is made to Exhibit 10(iii)A(1) of the registrant’s Form 10-Q as filed with the Commission on July 1, 2015, which is incorporated by reference.</w:t>
      </w:r>
    </w:p>
    <w:p>
      <w:pPr>
        <w:spacing w:after="0" w:line="226" w:lineRule="exact"/>
        <w:rPr>
          <w:rFonts w:ascii="Arial" w:cs="Arial" w:eastAsia="Arial" w:hAnsi="Arial"/>
          <w:sz w:val="18"/>
          <w:szCs w:val="18"/>
          <w:color w:val="auto"/>
        </w:rPr>
      </w:pPr>
    </w:p>
    <w:p>
      <w:pPr>
        <w:ind w:right="40"/>
        <w:spacing w:after="0" w:line="261" w:lineRule="auto"/>
        <w:rPr>
          <w:sz w:val="20"/>
          <w:szCs w:val="20"/>
          <w:color w:val="auto"/>
        </w:rPr>
      </w:pPr>
      <w:r>
        <w:rPr>
          <w:rFonts w:ascii="Arial" w:cs="Arial" w:eastAsia="Arial" w:hAnsi="Arial"/>
          <w:sz w:val="17"/>
          <w:szCs w:val="17"/>
          <w:color w:val="auto"/>
        </w:rPr>
        <w:t>Reference is made to Exhibit 10(c) of the registrant's Form 10-Q as filed with the Commission on July 2, 2019, which is incorporated herein by reference.</w:t>
      </w:r>
    </w:p>
    <w:p>
      <w:pPr>
        <w:spacing w:after="0" w:line="24" w:lineRule="exact"/>
        <w:rPr>
          <w:rFonts w:ascii="Arial" w:cs="Arial" w:eastAsia="Arial" w:hAnsi="Arial"/>
          <w:sz w:val="18"/>
          <w:szCs w:val="18"/>
          <w:color w:val="auto"/>
        </w:rPr>
      </w:pPr>
    </w:p>
    <w:p>
      <w:pPr>
        <w:ind w:right="120"/>
        <w:spacing w:after="0" w:line="238" w:lineRule="auto"/>
        <w:rPr>
          <w:sz w:val="20"/>
          <w:szCs w:val="20"/>
          <w:color w:val="auto"/>
        </w:rPr>
      </w:pPr>
      <w:r>
        <w:rPr>
          <w:rFonts w:ascii="Arial" w:cs="Arial" w:eastAsia="Arial" w:hAnsi="Arial"/>
          <w:sz w:val="18"/>
          <w:szCs w:val="18"/>
          <w:color w:val="auto"/>
        </w:rPr>
        <w:t>Reference is made to Exhibit 10(iii)A(24) of the registrant’s Form 10-K as filed with the Commission on October 25, 2018, which is incorporated herein by reference.</w:t>
      </w:r>
    </w:p>
    <w:p>
      <w:pPr>
        <w:spacing w:after="0" w:line="43" w:lineRule="exact"/>
        <w:rPr>
          <w:rFonts w:ascii="Arial" w:cs="Arial" w:eastAsia="Arial" w:hAnsi="Arial"/>
          <w:sz w:val="18"/>
          <w:szCs w:val="18"/>
          <w:color w:val="auto"/>
        </w:rPr>
      </w:pPr>
    </w:p>
    <w:p>
      <w:pPr>
        <w:jc w:val="both"/>
        <w:ind w:right="380"/>
        <w:spacing w:after="0" w:line="261" w:lineRule="auto"/>
        <w:rPr>
          <w:sz w:val="20"/>
          <w:szCs w:val="20"/>
          <w:color w:val="auto"/>
        </w:rPr>
      </w:pPr>
      <w:r>
        <w:rPr>
          <w:rFonts w:ascii="Arial" w:cs="Arial" w:eastAsia="Arial" w:hAnsi="Arial"/>
          <w:sz w:val="17"/>
          <w:szCs w:val="17"/>
          <w:color w:val="auto"/>
        </w:rPr>
        <w:t>Reference is made to Exhibit 99.1 of registrant’s Form 8-K filed with the Commission on April 27, 2006, which is incorporated herein by reference.</w:t>
      </w:r>
    </w:p>
    <w:p>
      <w:pPr>
        <w:spacing w:after="0" w:line="2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Reference is made to Exhibit 10(iii)A(4) of the registrant’s Form 10-Q as filed with the Commission on July 14, 2003, which is incorporated by reference.</w:t>
      </w:r>
    </w:p>
    <w:p>
      <w:pPr>
        <w:spacing w:after="0" w:line="41" w:lineRule="exact"/>
        <w:rPr>
          <w:rFonts w:ascii="Arial" w:cs="Arial" w:eastAsia="Arial" w:hAnsi="Arial"/>
          <w:sz w:val="18"/>
          <w:szCs w:val="18"/>
          <w:color w:val="auto"/>
        </w:rPr>
      </w:pPr>
    </w:p>
    <w:p>
      <w:pPr>
        <w:ind w:right="100"/>
        <w:spacing w:after="0" w:line="261" w:lineRule="auto"/>
        <w:rPr>
          <w:sz w:val="20"/>
          <w:szCs w:val="20"/>
          <w:color w:val="auto"/>
        </w:rPr>
      </w:pPr>
      <w:r>
        <w:rPr>
          <w:rFonts w:ascii="Arial" w:cs="Arial" w:eastAsia="Arial" w:hAnsi="Arial"/>
          <w:sz w:val="17"/>
          <w:szCs w:val="17"/>
          <w:color w:val="auto"/>
        </w:rPr>
        <w:t>Reference is made to Exhibit 10(III)A(1) of the registrant’s Form 10-Q as filed with the Commission on July 6, 2004, which is incorporated by reference.</w:t>
      </w:r>
    </w:p>
    <w:p>
      <w:pPr>
        <w:sectPr>
          <w:pgSz w:w="11900" w:h="16838" w:orient="portrait"/>
          <w:cols w:equalWidth="0" w:num="2">
            <w:col w:w="6600" w:space="400"/>
            <w:col w:w="4220"/>
          </w:cols>
          <w:pgMar w:left="320" w:top="260" w:right="3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2400" w:hanging="527"/>
        <w:spacing w:after="0"/>
        <w:tabs>
          <w:tab w:leader="none" w:pos="2400" w:val="left"/>
        </w:tabs>
        <w:numPr>
          <w:ilvl w:val="0"/>
          <w:numId w:val="16"/>
        </w:numPr>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Amended and Restated Severance Agreement,</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entered into as of January 20, 2004, by and between</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Acuity Brands, Inc. and Vernon J. Nagel.</w:t>
        </w:r>
      </w:hyperlink>
    </w:p>
    <w:p>
      <w:pPr>
        <w:spacing w:after="0" w:line="40" w:lineRule="exact"/>
        <w:rPr>
          <w:rFonts w:ascii="Arial" w:cs="Arial" w:eastAsia="Arial" w:hAnsi="Arial"/>
          <w:sz w:val="18"/>
          <w:szCs w:val="18"/>
          <w:u w:val="single" w:color="auto"/>
          <w:color w:val="0000FF"/>
        </w:rPr>
      </w:pPr>
    </w:p>
    <w:p>
      <w:pPr>
        <w:ind w:left="2400" w:right="20" w:hanging="527"/>
        <w:spacing w:after="0"/>
        <w:tabs>
          <w:tab w:leader="none" w:pos="2400" w:val="left"/>
        </w:tabs>
        <w:numPr>
          <w:ilvl w:val="0"/>
          <w:numId w:val="16"/>
        </w:numPr>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Amendment dated April 21, 2006 to the Amended</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Brands, Inc. and Vernon J. Nagel.</w:t>
        </w:r>
      </w:hyperlink>
    </w:p>
    <w:p>
      <w:pPr>
        <w:spacing w:after="0" w:line="40" w:lineRule="exact"/>
        <w:rPr>
          <w:rFonts w:ascii="Arial" w:cs="Arial" w:eastAsia="Arial" w:hAnsi="Arial"/>
          <w:sz w:val="18"/>
          <w:szCs w:val="18"/>
          <w:u w:val="single" w:color="auto"/>
          <w:color w:val="0000FF"/>
        </w:rPr>
      </w:pPr>
    </w:p>
    <w:p>
      <w:pPr>
        <w:ind w:left="2400" w:right="20" w:hanging="527"/>
        <w:spacing w:after="0"/>
        <w:tabs>
          <w:tab w:leader="none" w:pos="2400" w:val="left"/>
        </w:tabs>
        <w:numPr>
          <w:ilvl w:val="0"/>
          <w:numId w:val="16"/>
        </w:numPr>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Amendment No. 2 to Acuity Brands, Inc. Amended</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Brands, Inc. and Vernon J. Nagel.</w:t>
        </w:r>
      </w:hyperlink>
    </w:p>
    <w:p>
      <w:pPr>
        <w:spacing w:after="0" w:line="243" w:lineRule="exact"/>
        <w:rPr>
          <w:rFonts w:ascii="Arial" w:cs="Arial" w:eastAsia="Arial" w:hAnsi="Arial"/>
          <w:sz w:val="18"/>
          <w:szCs w:val="18"/>
          <w:u w:val="single" w:color="auto"/>
          <w:color w:val="0000FF"/>
        </w:rPr>
      </w:pPr>
    </w:p>
    <w:p>
      <w:pPr>
        <w:ind w:left="2400" w:right="180" w:hanging="527"/>
        <w:spacing w:after="0"/>
        <w:tabs>
          <w:tab w:leader="none" w:pos="2400" w:val="left"/>
        </w:tabs>
        <w:numPr>
          <w:ilvl w:val="0"/>
          <w:numId w:val="16"/>
        </w:numPr>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Amendment No. 3 to Acuity Brands, Inc. Amended</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and Restated Severance Agreement, between</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Acuity Brands, Inc. and Vernon J. Nagel.</w:t>
        </w:r>
      </w:hyperlink>
    </w:p>
    <w:p>
      <w:pPr>
        <w:spacing w:after="0" w:line="243" w:lineRule="exact"/>
        <w:rPr>
          <w:rFonts w:ascii="Arial" w:cs="Arial" w:eastAsia="Arial" w:hAnsi="Arial"/>
          <w:sz w:val="18"/>
          <w:szCs w:val="18"/>
          <w:u w:val="single" w:color="auto"/>
          <w:color w:val="0000FF"/>
        </w:rPr>
      </w:pPr>
    </w:p>
    <w:p>
      <w:pPr>
        <w:ind w:left="2400" w:right="180" w:hanging="527"/>
        <w:spacing w:after="0"/>
        <w:tabs>
          <w:tab w:leader="none" w:pos="2400" w:val="left"/>
        </w:tabs>
        <w:numPr>
          <w:ilvl w:val="0"/>
          <w:numId w:val="16"/>
        </w:numPr>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Amendment No. 4 to Acuity Brands, Inc. Amended</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and Restated Severance Agreement, between</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Acuity Brands, Inc. and Vernon J. Nagel.</w:t>
        </w:r>
      </w:hyperlink>
    </w:p>
    <w:p>
      <w:pPr>
        <w:spacing w:after="0" w:line="243" w:lineRule="exact"/>
        <w:rPr>
          <w:rFonts w:ascii="Arial" w:cs="Arial" w:eastAsia="Arial" w:hAnsi="Arial"/>
          <w:sz w:val="18"/>
          <w:szCs w:val="18"/>
          <w:u w:val="single" w:color="auto"/>
          <w:color w:val="0000FF"/>
        </w:rPr>
      </w:pPr>
    </w:p>
    <w:p>
      <w:pPr>
        <w:ind w:left="2400" w:right="20" w:hanging="527"/>
        <w:spacing w:after="0"/>
        <w:tabs>
          <w:tab w:leader="none" w:pos="2400" w:val="left"/>
        </w:tabs>
        <w:numPr>
          <w:ilvl w:val="0"/>
          <w:numId w:val="16"/>
        </w:numPr>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Amendment No. 5 to Acuity Brands, Inc. Amended</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Brands, Inc. and Vernon J. Nagel.</w:t>
        </w:r>
      </w:hyperlink>
    </w:p>
    <w:p>
      <w:pPr>
        <w:spacing w:after="0" w:line="40" w:lineRule="exact"/>
        <w:rPr>
          <w:rFonts w:ascii="Arial" w:cs="Arial" w:eastAsia="Arial" w:hAnsi="Arial"/>
          <w:sz w:val="18"/>
          <w:szCs w:val="18"/>
          <w:u w:val="single" w:color="auto"/>
          <w:color w:val="0000FF"/>
        </w:rPr>
      </w:pPr>
    </w:p>
    <w:p>
      <w:pPr>
        <w:ind w:left="2400" w:right="300" w:hanging="527"/>
        <w:spacing w:after="0"/>
        <w:tabs>
          <w:tab w:leader="none" w:pos="2400" w:val="left"/>
        </w:tabs>
        <w:numPr>
          <w:ilvl w:val="0"/>
          <w:numId w:val="16"/>
        </w:numPr>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Premium-Priced Nonqualified Stock Option</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Agreement for Executive Officers between Acuity</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Brands, Inc. and Vernon J. Nagel.</w:t>
        </w:r>
      </w:hyperlink>
    </w:p>
    <w:p>
      <w:pPr>
        <w:spacing w:after="0" w:line="243" w:lineRule="exact"/>
        <w:rPr>
          <w:rFonts w:ascii="Arial" w:cs="Arial" w:eastAsia="Arial" w:hAnsi="Arial"/>
          <w:sz w:val="18"/>
          <w:szCs w:val="18"/>
          <w:u w:val="single" w:color="auto"/>
          <w:color w:val="0000FF"/>
        </w:rPr>
      </w:pPr>
    </w:p>
    <w:p>
      <w:pPr>
        <w:ind w:left="2400" w:right="60" w:hanging="527"/>
        <w:spacing w:after="0" w:line="246" w:lineRule="auto"/>
        <w:tabs>
          <w:tab w:leader="none" w:pos="2400" w:val="left"/>
        </w:tabs>
        <w:numPr>
          <w:ilvl w:val="0"/>
          <w:numId w:val="16"/>
        </w:numPr>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Employment Letter between Acuity Brands, Inc. and</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Neil M. Ashe, dated January 9, 2020</w:t>
        </w:r>
      </w:hyperlink>
    </w:p>
    <w:p>
      <w:pPr>
        <w:spacing w:after="0" w:line="237" w:lineRule="exact"/>
        <w:rPr>
          <w:rFonts w:ascii="Arial" w:cs="Arial" w:eastAsia="Arial" w:hAnsi="Arial"/>
          <w:sz w:val="18"/>
          <w:szCs w:val="18"/>
          <w:u w:val="single" w:color="auto"/>
          <w:color w:val="0000FF"/>
        </w:rPr>
      </w:pPr>
    </w:p>
    <w:p>
      <w:pPr>
        <w:ind w:left="2400" w:right="500" w:hanging="527"/>
        <w:spacing w:after="0"/>
        <w:tabs>
          <w:tab w:leader="none" w:pos="2400" w:val="left"/>
        </w:tabs>
        <w:numPr>
          <w:ilvl w:val="0"/>
          <w:numId w:val="16"/>
        </w:numPr>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Form of Nonqualified Stock Option Award</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Agreement (options subject only to time-based</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conditions)</w:t>
        </w:r>
      </w:hyperlink>
    </w:p>
    <w:p>
      <w:pPr>
        <w:spacing w:after="0" w:line="40" w:lineRule="exact"/>
        <w:rPr>
          <w:rFonts w:ascii="Arial" w:cs="Arial" w:eastAsia="Arial" w:hAnsi="Arial"/>
          <w:sz w:val="18"/>
          <w:szCs w:val="18"/>
          <w:u w:val="single" w:color="auto"/>
          <w:color w:val="0000FF"/>
        </w:rPr>
      </w:pPr>
    </w:p>
    <w:p>
      <w:pPr>
        <w:ind w:left="2400" w:right="20" w:hanging="527"/>
        <w:spacing w:after="0"/>
        <w:tabs>
          <w:tab w:leader="none" w:pos="2400" w:val="left"/>
        </w:tabs>
        <w:numPr>
          <w:ilvl w:val="0"/>
          <w:numId w:val="16"/>
        </w:numPr>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Form of Nonqualified Stock Option Award</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Agreement (options subject to time-based and share</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price performance conditions)</w:t>
        </w:r>
      </w:hyperlink>
    </w:p>
    <w:p>
      <w:pPr>
        <w:spacing w:after="0" w:line="40" w:lineRule="exact"/>
        <w:rPr>
          <w:rFonts w:ascii="Arial" w:cs="Arial" w:eastAsia="Arial" w:hAnsi="Arial"/>
          <w:sz w:val="18"/>
          <w:szCs w:val="18"/>
          <w:u w:val="single" w:color="auto"/>
          <w:color w:val="0000FF"/>
        </w:rPr>
      </w:pPr>
    </w:p>
    <w:p>
      <w:pPr>
        <w:ind w:left="2400" w:hanging="527"/>
        <w:spacing w:after="0"/>
        <w:tabs>
          <w:tab w:leader="none" w:pos="2400" w:val="left"/>
        </w:tabs>
        <w:numPr>
          <w:ilvl w:val="0"/>
          <w:numId w:val="16"/>
        </w:numPr>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Form of Severance Agreement</w:t>
        </w:r>
      </w:hyperlink>
    </w:p>
    <w:p>
      <w:pPr>
        <w:spacing w:after="0" w:line="200" w:lineRule="exact"/>
        <w:rPr>
          <w:rFonts w:ascii="Arial" w:cs="Arial" w:eastAsia="Arial" w:hAnsi="Arial"/>
          <w:sz w:val="18"/>
          <w:szCs w:val="18"/>
          <w:u w:val="single" w:color="auto"/>
          <w:color w:val="0000FF"/>
        </w:rPr>
      </w:pPr>
    </w:p>
    <w:p>
      <w:pPr>
        <w:spacing w:after="0" w:line="254" w:lineRule="exact"/>
        <w:rPr>
          <w:rFonts w:ascii="Arial" w:cs="Arial" w:eastAsia="Arial" w:hAnsi="Arial"/>
          <w:sz w:val="18"/>
          <w:szCs w:val="18"/>
          <w:u w:val="single" w:color="auto"/>
          <w:color w:val="0000FF"/>
        </w:rPr>
      </w:pPr>
    </w:p>
    <w:p>
      <w:pPr>
        <w:ind w:left="2400" w:hanging="527"/>
        <w:spacing w:after="0"/>
        <w:tabs>
          <w:tab w:leader="none" w:pos="2400" w:val="left"/>
        </w:tabs>
        <w:numPr>
          <w:ilvl w:val="0"/>
          <w:numId w:val="16"/>
        </w:numPr>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Form of Change in Control Agreement</w:t>
        </w:r>
      </w:hyperlink>
    </w:p>
    <w:p>
      <w:pPr>
        <w:spacing w:after="0" w:line="200" w:lineRule="exact"/>
        <w:rPr>
          <w:rFonts w:ascii="Arial" w:cs="Arial" w:eastAsia="Arial" w:hAnsi="Arial"/>
          <w:sz w:val="18"/>
          <w:szCs w:val="18"/>
          <w:u w:val="single" w:color="auto"/>
          <w:color w:val="0000FF"/>
        </w:rPr>
      </w:pPr>
    </w:p>
    <w:p>
      <w:pPr>
        <w:spacing w:after="0" w:line="254" w:lineRule="exact"/>
        <w:rPr>
          <w:rFonts w:ascii="Arial" w:cs="Arial" w:eastAsia="Arial" w:hAnsi="Arial"/>
          <w:sz w:val="18"/>
          <w:szCs w:val="18"/>
          <w:u w:val="single" w:color="auto"/>
          <w:color w:val="0000FF"/>
        </w:rPr>
      </w:pPr>
    </w:p>
    <w:p>
      <w:pPr>
        <w:ind w:left="2400" w:right="540" w:hanging="527"/>
        <w:spacing w:after="0" w:line="246" w:lineRule="auto"/>
        <w:tabs>
          <w:tab w:leader="none" w:pos="2400" w:val="left"/>
        </w:tabs>
        <w:numPr>
          <w:ilvl w:val="0"/>
          <w:numId w:val="16"/>
        </w:numPr>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Form of Incentive Stock Option Agreement for</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Executive Officers.</w:t>
        </w:r>
      </w:hyperlink>
    </w:p>
    <w:p>
      <w:pPr>
        <w:spacing w:after="0" w:line="237" w:lineRule="exact"/>
        <w:rPr>
          <w:rFonts w:ascii="Arial" w:cs="Arial" w:eastAsia="Arial" w:hAnsi="Arial"/>
          <w:sz w:val="18"/>
          <w:szCs w:val="18"/>
          <w:u w:val="single" w:color="auto"/>
          <w:color w:val="0000FF"/>
        </w:rPr>
      </w:pPr>
    </w:p>
    <w:p>
      <w:pPr>
        <w:ind w:left="2400" w:right="260" w:hanging="527"/>
        <w:spacing w:after="0" w:line="246" w:lineRule="auto"/>
        <w:tabs>
          <w:tab w:leader="none" w:pos="2400" w:val="left"/>
        </w:tabs>
        <w:numPr>
          <w:ilvl w:val="0"/>
          <w:numId w:val="16"/>
        </w:numPr>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Form of Nonqualified Stock Option Agreement for</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Executive Officers.</w:t>
        </w:r>
      </w:hyperlink>
    </w:p>
    <w:p>
      <w:pPr>
        <w:spacing w:after="0" w:line="200" w:lineRule="exact"/>
        <w:rPr>
          <w:rFonts w:ascii="Arial" w:cs="Arial" w:eastAsia="Arial" w:hAnsi="Arial"/>
          <w:sz w:val="18"/>
          <w:szCs w:val="18"/>
          <w:u w:val="single" w:color="auto"/>
          <w:color w:val="0000FF"/>
        </w:rPr>
      </w:pPr>
    </w:p>
    <w:p>
      <w:pPr>
        <w:spacing w:after="0" w:line="239" w:lineRule="exact"/>
        <w:rPr>
          <w:rFonts w:ascii="Arial" w:cs="Arial" w:eastAsia="Arial" w:hAnsi="Arial"/>
          <w:sz w:val="18"/>
          <w:szCs w:val="18"/>
          <w:u w:val="single" w:color="auto"/>
          <w:color w:val="0000FF"/>
        </w:rPr>
      </w:pPr>
    </w:p>
    <w:p>
      <w:pPr>
        <w:ind w:left="2400" w:hanging="527"/>
        <w:spacing w:after="0"/>
        <w:tabs>
          <w:tab w:leader="none" w:pos="2400" w:val="left"/>
        </w:tabs>
        <w:numPr>
          <w:ilvl w:val="0"/>
          <w:numId w:val="16"/>
        </w:numPr>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Acuity Brands, Inc. Matching Gift Program.</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44" w:lineRule="exact"/>
        <w:rPr>
          <w:rFonts w:ascii="Arial" w:cs="Arial" w:eastAsia="Arial" w:hAnsi="Arial"/>
          <w:sz w:val="18"/>
          <w:szCs w:val="18"/>
          <w:u w:val="single" w:color="auto"/>
          <w:color w:val="0000FF"/>
        </w:rPr>
      </w:pPr>
    </w:p>
    <w:p>
      <w:pPr>
        <w:ind w:left="5520"/>
        <w:spacing w:after="0"/>
        <w:rPr>
          <w:sz w:val="20"/>
          <w:szCs w:val="20"/>
          <w:color w:val="auto"/>
        </w:rPr>
      </w:pPr>
      <w:r>
        <w:rPr>
          <w:rFonts w:ascii="Arial" w:cs="Arial" w:eastAsia="Arial" w:hAnsi="Arial"/>
          <w:sz w:val="18"/>
          <w:szCs w:val="18"/>
          <w:color w:val="auto"/>
        </w:rPr>
        <w:t>85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374" w:lineRule="exact"/>
        <w:rPr>
          <w:rFonts w:ascii="Arial" w:cs="Arial" w:eastAsia="Arial" w:hAnsi="Arial"/>
          <w:sz w:val="18"/>
          <w:szCs w:val="18"/>
          <w:u w:val="single" w:color="auto"/>
          <w:color w:val="0000FF"/>
        </w:rPr>
      </w:pPr>
    </w:p>
    <w:p>
      <w:pPr>
        <w:ind w:right="80"/>
        <w:spacing w:after="0" w:line="261" w:lineRule="auto"/>
        <w:rPr>
          <w:sz w:val="20"/>
          <w:szCs w:val="20"/>
          <w:color w:val="auto"/>
        </w:rPr>
      </w:pPr>
      <w:r>
        <w:rPr>
          <w:rFonts w:ascii="Arial" w:cs="Arial" w:eastAsia="Arial" w:hAnsi="Arial"/>
          <w:sz w:val="17"/>
          <w:szCs w:val="17"/>
          <w:color w:val="auto"/>
        </w:rPr>
        <w:t>Reference is made to Exhibit 10(III)A(2) of the registrant’s Form 10-Q as filed with the Commission on July 6, 2004, which is incorporated by reference.</w:t>
      </w:r>
    </w:p>
    <w:p>
      <w:pPr>
        <w:spacing w:after="0" w:line="24" w:lineRule="exact"/>
        <w:rPr>
          <w:rFonts w:ascii="Arial" w:cs="Arial" w:eastAsia="Arial" w:hAnsi="Arial"/>
          <w:sz w:val="18"/>
          <w:szCs w:val="18"/>
          <w:u w:val="single" w:color="auto"/>
          <w:color w:val="0000FF"/>
        </w:rPr>
      </w:pPr>
    </w:p>
    <w:p>
      <w:pPr>
        <w:jc w:val="both"/>
        <w:ind w:right="360"/>
        <w:spacing w:after="0" w:line="261" w:lineRule="auto"/>
        <w:rPr>
          <w:sz w:val="20"/>
          <w:szCs w:val="20"/>
          <w:color w:val="auto"/>
        </w:rPr>
      </w:pPr>
      <w:r>
        <w:rPr>
          <w:rFonts w:ascii="Arial" w:cs="Arial" w:eastAsia="Arial" w:hAnsi="Arial"/>
          <w:sz w:val="17"/>
          <w:szCs w:val="17"/>
          <w:color w:val="auto"/>
        </w:rPr>
        <w:t>Reference is made to Exhibit 99.3 of registrant’s Form 8-K filed with the Commission on April 27, 2006, which is incorporated herein by reference.</w:t>
      </w:r>
    </w:p>
    <w:p>
      <w:pPr>
        <w:spacing w:after="0" w:line="24" w:lineRule="exact"/>
        <w:rPr>
          <w:rFonts w:ascii="Arial" w:cs="Arial" w:eastAsia="Arial" w:hAnsi="Arial"/>
          <w:sz w:val="18"/>
          <w:szCs w:val="18"/>
          <w:u w:val="single" w:color="auto"/>
          <w:color w:val="0000FF"/>
        </w:rPr>
      </w:pPr>
    </w:p>
    <w:p>
      <w:pPr>
        <w:ind w:right="80"/>
        <w:spacing w:after="0" w:line="238" w:lineRule="auto"/>
        <w:rPr>
          <w:sz w:val="20"/>
          <w:szCs w:val="20"/>
          <w:color w:val="auto"/>
        </w:rPr>
      </w:pPr>
      <w:r>
        <w:rPr>
          <w:rFonts w:ascii="Arial" w:cs="Arial" w:eastAsia="Arial" w:hAnsi="Arial"/>
          <w:sz w:val="18"/>
          <w:szCs w:val="18"/>
          <w:color w:val="auto"/>
        </w:rPr>
        <w:t>Reference is made to Exhibit 10(iii)A(2) of registrant’s Form 10-Q as filed with the Commission on April 4, 2007, which is incorporated herein by reference.</w:t>
      </w:r>
    </w:p>
    <w:p>
      <w:pPr>
        <w:spacing w:after="0" w:line="43" w:lineRule="exact"/>
        <w:rPr>
          <w:rFonts w:ascii="Arial" w:cs="Arial" w:eastAsia="Arial" w:hAnsi="Arial"/>
          <w:sz w:val="18"/>
          <w:szCs w:val="18"/>
          <w:u w:val="single" w:color="auto"/>
          <w:color w:val="0000FF"/>
        </w:rPr>
      </w:pPr>
    </w:p>
    <w:p>
      <w:pPr>
        <w:ind w:right="100"/>
        <w:spacing w:after="0" w:line="238" w:lineRule="auto"/>
        <w:rPr>
          <w:sz w:val="20"/>
          <w:szCs w:val="20"/>
          <w:color w:val="auto"/>
        </w:rPr>
      </w:pPr>
      <w:r>
        <w:rPr>
          <w:rFonts w:ascii="Arial" w:cs="Arial" w:eastAsia="Arial" w:hAnsi="Arial"/>
          <w:sz w:val="18"/>
          <w:szCs w:val="18"/>
          <w:color w:val="auto"/>
        </w:rPr>
        <w:t>Reference is made to Exhibit 10(iii)A(78) of the registrant’s Form 10-K as filed with the Commission on October 30, 2009, which is incorporated herein by reference.</w:t>
      </w:r>
    </w:p>
    <w:p>
      <w:pPr>
        <w:spacing w:after="0" w:line="43" w:lineRule="exact"/>
        <w:rPr>
          <w:rFonts w:ascii="Arial" w:cs="Arial" w:eastAsia="Arial" w:hAnsi="Arial"/>
          <w:sz w:val="18"/>
          <w:szCs w:val="18"/>
          <w:u w:val="single" w:color="auto"/>
          <w:color w:val="0000FF"/>
        </w:rPr>
      </w:pPr>
    </w:p>
    <w:p>
      <w:pPr>
        <w:ind w:right="80"/>
        <w:spacing w:after="0" w:line="238" w:lineRule="auto"/>
        <w:rPr>
          <w:sz w:val="20"/>
          <w:szCs w:val="20"/>
          <w:color w:val="auto"/>
        </w:rPr>
      </w:pPr>
      <w:r>
        <w:rPr>
          <w:rFonts w:ascii="Arial" w:cs="Arial" w:eastAsia="Arial" w:hAnsi="Arial"/>
          <w:sz w:val="18"/>
          <w:szCs w:val="18"/>
          <w:color w:val="auto"/>
        </w:rPr>
        <w:t>Reference is made to Exhibit 10(iii)A(2) of the registrant's Form 10-Q as filed with the Commission on April 2, 2014, which is incorporated herein by reference.</w:t>
      </w:r>
    </w:p>
    <w:p>
      <w:pPr>
        <w:spacing w:after="0" w:line="43"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Reference is made to Exhibit 10(a) of the registrant's Form 10-Q as filed with the Commission on April 3, 2019, which is incorporated herein by reference.</w:t>
      </w:r>
    </w:p>
    <w:p>
      <w:pPr>
        <w:spacing w:after="0" w:line="41" w:lineRule="exact"/>
        <w:rPr>
          <w:rFonts w:ascii="Arial" w:cs="Arial" w:eastAsia="Arial" w:hAnsi="Arial"/>
          <w:sz w:val="18"/>
          <w:szCs w:val="18"/>
          <w:u w:val="single" w:color="auto"/>
          <w:color w:val="0000FF"/>
        </w:rPr>
      </w:pPr>
    </w:p>
    <w:p>
      <w:pPr>
        <w:ind w:right="80"/>
        <w:spacing w:after="0" w:line="238" w:lineRule="auto"/>
        <w:rPr>
          <w:sz w:val="20"/>
          <w:szCs w:val="20"/>
          <w:color w:val="auto"/>
        </w:rPr>
      </w:pPr>
      <w:r>
        <w:rPr>
          <w:rFonts w:ascii="Arial" w:cs="Arial" w:eastAsia="Arial" w:hAnsi="Arial"/>
          <w:sz w:val="18"/>
          <w:szCs w:val="18"/>
          <w:color w:val="auto"/>
        </w:rPr>
        <w:t>Reference is made to Exhibit 10(III)A(5) of the registrant’s Form 10-Q as filed with the Commission on January 6, 2005, which is incorporated by reference.</w:t>
      </w:r>
    </w:p>
    <w:p>
      <w:pPr>
        <w:spacing w:after="0" w:line="43" w:lineRule="exact"/>
        <w:rPr>
          <w:rFonts w:ascii="Arial" w:cs="Arial" w:eastAsia="Arial" w:hAnsi="Arial"/>
          <w:sz w:val="18"/>
          <w:szCs w:val="18"/>
          <w:u w:val="single" w:color="auto"/>
          <w:color w:val="0000FF"/>
        </w:rPr>
      </w:pPr>
    </w:p>
    <w:p>
      <w:pPr>
        <w:ind w:right="160"/>
        <w:spacing w:after="0" w:line="261" w:lineRule="auto"/>
        <w:rPr>
          <w:sz w:val="20"/>
          <w:szCs w:val="20"/>
          <w:color w:val="auto"/>
        </w:rPr>
      </w:pPr>
      <w:r>
        <w:rPr>
          <w:rFonts w:ascii="Arial" w:cs="Arial" w:eastAsia="Arial" w:hAnsi="Arial"/>
          <w:sz w:val="17"/>
          <w:szCs w:val="17"/>
          <w:color w:val="auto"/>
        </w:rPr>
        <w:t>Reference is made to Exhibit 10.1 of registrant’s Form 8-K as filed with the Commission on January 9, 2020, which is incorporated herein by reference.</w:t>
      </w:r>
    </w:p>
    <w:p>
      <w:pPr>
        <w:spacing w:after="0" w:line="24" w:lineRule="exact"/>
        <w:rPr>
          <w:rFonts w:ascii="Arial" w:cs="Arial" w:eastAsia="Arial" w:hAnsi="Arial"/>
          <w:sz w:val="18"/>
          <w:szCs w:val="18"/>
          <w:u w:val="single" w:color="auto"/>
          <w:color w:val="0000FF"/>
        </w:rPr>
      </w:pPr>
    </w:p>
    <w:p>
      <w:pPr>
        <w:ind w:right="160"/>
        <w:spacing w:after="0" w:line="261" w:lineRule="auto"/>
        <w:rPr>
          <w:sz w:val="20"/>
          <w:szCs w:val="20"/>
          <w:color w:val="auto"/>
        </w:rPr>
      </w:pPr>
      <w:r>
        <w:rPr>
          <w:rFonts w:ascii="Arial" w:cs="Arial" w:eastAsia="Arial" w:hAnsi="Arial"/>
          <w:sz w:val="17"/>
          <w:szCs w:val="17"/>
          <w:color w:val="auto"/>
        </w:rPr>
        <w:t>Reference is made to Exhibit 10.2 of registrant’s Form 8-K as filed with the Commission on January 9, 2020, which is incorporated herein by reference.</w:t>
      </w:r>
    </w:p>
    <w:p>
      <w:pPr>
        <w:spacing w:after="0" w:line="24" w:lineRule="exact"/>
        <w:rPr>
          <w:rFonts w:ascii="Arial" w:cs="Arial" w:eastAsia="Arial" w:hAnsi="Arial"/>
          <w:sz w:val="18"/>
          <w:szCs w:val="18"/>
          <w:u w:val="single" w:color="auto"/>
          <w:color w:val="0000FF"/>
        </w:rPr>
      </w:pPr>
    </w:p>
    <w:p>
      <w:pPr>
        <w:ind w:right="160"/>
        <w:spacing w:after="0" w:line="261" w:lineRule="auto"/>
        <w:rPr>
          <w:sz w:val="20"/>
          <w:szCs w:val="20"/>
          <w:color w:val="auto"/>
        </w:rPr>
      </w:pPr>
      <w:r>
        <w:rPr>
          <w:rFonts w:ascii="Arial" w:cs="Arial" w:eastAsia="Arial" w:hAnsi="Arial"/>
          <w:sz w:val="17"/>
          <w:szCs w:val="17"/>
          <w:color w:val="auto"/>
        </w:rPr>
        <w:t>Reference is made to Exhibit 10.3 of registrant’s Form 8-K as filed with the Commission on January 9, 2020, which is incorporated herein by reference.</w:t>
      </w:r>
    </w:p>
    <w:p>
      <w:pPr>
        <w:spacing w:after="0" w:line="24" w:lineRule="exact"/>
        <w:rPr>
          <w:rFonts w:ascii="Arial" w:cs="Arial" w:eastAsia="Arial" w:hAnsi="Arial"/>
          <w:sz w:val="18"/>
          <w:szCs w:val="18"/>
          <w:u w:val="single" w:color="auto"/>
          <w:color w:val="0000FF"/>
        </w:rPr>
      </w:pPr>
    </w:p>
    <w:p>
      <w:pPr>
        <w:ind w:right="160"/>
        <w:spacing w:after="0" w:line="261" w:lineRule="auto"/>
        <w:rPr>
          <w:sz w:val="20"/>
          <w:szCs w:val="20"/>
          <w:color w:val="auto"/>
        </w:rPr>
      </w:pPr>
      <w:r>
        <w:rPr>
          <w:rFonts w:ascii="Arial" w:cs="Arial" w:eastAsia="Arial" w:hAnsi="Arial"/>
          <w:sz w:val="17"/>
          <w:szCs w:val="17"/>
          <w:color w:val="auto"/>
        </w:rPr>
        <w:t>Reference is made to Exhibit 10.4 of registrant’s Form 8-K as filed with the Commission on January 9, 2020, which is incorporated herein by reference.</w:t>
      </w:r>
    </w:p>
    <w:p>
      <w:pPr>
        <w:spacing w:after="0" w:line="24" w:lineRule="exact"/>
        <w:rPr>
          <w:rFonts w:ascii="Arial" w:cs="Arial" w:eastAsia="Arial" w:hAnsi="Arial"/>
          <w:sz w:val="18"/>
          <w:szCs w:val="18"/>
          <w:u w:val="single" w:color="auto"/>
          <w:color w:val="0000FF"/>
        </w:rPr>
      </w:pPr>
    </w:p>
    <w:p>
      <w:pPr>
        <w:ind w:right="160"/>
        <w:spacing w:after="0" w:line="261" w:lineRule="auto"/>
        <w:rPr>
          <w:sz w:val="20"/>
          <w:szCs w:val="20"/>
          <w:color w:val="auto"/>
        </w:rPr>
      </w:pPr>
      <w:r>
        <w:rPr>
          <w:rFonts w:ascii="Arial" w:cs="Arial" w:eastAsia="Arial" w:hAnsi="Arial"/>
          <w:sz w:val="17"/>
          <w:szCs w:val="17"/>
          <w:color w:val="auto"/>
        </w:rPr>
        <w:t>Reference is made to Exhibit 10.5 of registrant’s Form 8-K as filed with the Commission on January 9, 2020, which is incorporated herein by reference.</w:t>
      </w:r>
    </w:p>
    <w:p>
      <w:pPr>
        <w:spacing w:after="0" w:line="24" w:lineRule="exact"/>
        <w:rPr>
          <w:rFonts w:ascii="Arial" w:cs="Arial" w:eastAsia="Arial" w:hAnsi="Arial"/>
          <w:sz w:val="18"/>
          <w:szCs w:val="18"/>
          <w:u w:val="single" w:color="auto"/>
          <w:color w:val="0000FF"/>
        </w:rPr>
      </w:pPr>
    </w:p>
    <w:p>
      <w:pPr>
        <w:ind w:right="60"/>
        <w:spacing w:after="0"/>
        <w:rPr>
          <w:sz w:val="20"/>
          <w:szCs w:val="20"/>
          <w:color w:val="auto"/>
        </w:rPr>
      </w:pPr>
      <w:r>
        <w:rPr>
          <w:rFonts w:ascii="Arial" w:cs="Arial" w:eastAsia="Arial" w:hAnsi="Arial"/>
          <w:sz w:val="18"/>
          <w:szCs w:val="18"/>
          <w:color w:val="auto"/>
        </w:rPr>
        <w:t>Reference is made to Exhibit 10(III)A(3) of the registrant’s Form 10-Q filed with the Commission on January 6, 2005 incorporated by reference.</w:t>
      </w:r>
    </w:p>
    <w:p>
      <w:pPr>
        <w:spacing w:after="0" w:line="41" w:lineRule="exact"/>
        <w:rPr>
          <w:rFonts w:ascii="Arial" w:cs="Arial" w:eastAsia="Arial" w:hAnsi="Arial"/>
          <w:sz w:val="18"/>
          <w:szCs w:val="18"/>
          <w:u w:val="single" w:color="auto"/>
          <w:color w:val="0000FF"/>
        </w:rPr>
      </w:pPr>
    </w:p>
    <w:p>
      <w:pPr>
        <w:ind w:right="80"/>
        <w:spacing w:after="0" w:line="238" w:lineRule="auto"/>
        <w:rPr>
          <w:sz w:val="20"/>
          <w:szCs w:val="20"/>
          <w:color w:val="auto"/>
        </w:rPr>
      </w:pPr>
      <w:r>
        <w:rPr>
          <w:rFonts w:ascii="Arial" w:cs="Arial" w:eastAsia="Arial" w:hAnsi="Arial"/>
          <w:sz w:val="18"/>
          <w:szCs w:val="18"/>
          <w:color w:val="auto"/>
        </w:rPr>
        <w:t>Reference is made to Exhibit 10(III)A(4) of the registrant’s Form 10-Q as filed with the Commission on January 6, 2005, which is incorporated by reference.</w:t>
      </w:r>
    </w:p>
    <w:p>
      <w:pPr>
        <w:spacing w:after="0" w:line="43" w:lineRule="exact"/>
        <w:rPr>
          <w:rFonts w:ascii="Arial" w:cs="Arial" w:eastAsia="Arial" w:hAnsi="Arial"/>
          <w:sz w:val="18"/>
          <w:szCs w:val="18"/>
          <w:u w:val="single" w:color="auto"/>
          <w:color w:val="0000FF"/>
        </w:rPr>
      </w:pPr>
    </w:p>
    <w:p>
      <w:pPr>
        <w:ind w:right="40"/>
        <w:spacing w:after="0"/>
        <w:rPr>
          <w:sz w:val="20"/>
          <w:szCs w:val="20"/>
          <w:color w:val="auto"/>
        </w:rPr>
      </w:pPr>
      <w:r>
        <w:rPr>
          <w:rFonts w:ascii="Arial" w:cs="Arial" w:eastAsia="Arial" w:hAnsi="Arial"/>
          <w:sz w:val="18"/>
          <w:szCs w:val="18"/>
          <w:color w:val="auto"/>
        </w:rPr>
        <w:t>Reference is made to Exhibit 10(III)A(1) of the registrant’s Form 10-Q as filed with the Commission on April 4, 2005, which is incorporated by reference.</w:t>
      </w:r>
    </w:p>
    <w:p>
      <w:pPr>
        <w:sectPr>
          <w:pgSz w:w="11900" w:h="16838" w:orient="portrait"/>
          <w:cols w:equalWidth="0" w:num="2">
            <w:col w:w="6600" w:space="400"/>
            <w:col w:w="4200"/>
          </w:cols>
          <w:pgMar w:left="320" w:top="260" w:right="3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2400" w:right="100" w:hanging="527"/>
        <w:spacing w:after="0" w:line="274" w:lineRule="auto"/>
        <w:tabs>
          <w:tab w:leader="none" w:pos="2400" w:val="left"/>
        </w:tabs>
        <w:numPr>
          <w:ilvl w:val="0"/>
          <w:numId w:val="17"/>
        </w:numPr>
        <w:rPr>
          <w:rFonts w:ascii="Arial" w:cs="Arial" w:eastAsia="Arial" w:hAnsi="Arial"/>
          <w:sz w:val="17"/>
          <w:szCs w:val="17"/>
          <w:u w:val="single" w:color="auto"/>
          <w:color w:val="0000FF"/>
        </w:rPr>
      </w:pPr>
      <w:hyperlink r:id="rId103">
        <w:r>
          <w:rPr>
            <w:rFonts w:ascii="Arial" w:cs="Arial" w:eastAsia="Arial" w:hAnsi="Arial"/>
            <w:sz w:val="17"/>
            <w:szCs w:val="17"/>
            <w:u w:val="single" w:color="auto"/>
            <w:color w:val="0000FF"/>
          </w:rPr>
          <w:t>Employment Letter dated November 16, 2005</w:t>
        </w:r>
      </w:hyperlink>
      <w:r>
        <w:rPr>
          <w:rFonts w:ascii="Arial" w:cs="Arial" w:eastAsia="Arial" w:hAnsi="Arial"/>
          <w:sz w:val="17"/>
          <w:szCs w:val="17"/>
          <w:u w:val="single" w:color="auto"/>
          <w:color w:val="0000FF"/>
        </w:rPr>
        <w:t xml:space="preserve"> </w:t>
      </w:r>
      <w:hyperlink r:id="rId103">
        <w:r>
          <w:rPr>
            <w:rFonts w:ascii="Arial" w:cs="Arial" w:eastAsia="Arial" w:hAnsi="Arial"/>
            <w:sz w:val="17"/>
            <w:szCs w:val="17"/>
            <w:u w:val="single" w:color="auto"/>
            <w:color w:val="0000FF"/>
          </w:rPr>
          <w:t>between Acuity Brands, Inc. and Richard K. Reece.</w:t>
        </w:r>
      </w:hyperlink>
    </w:p>
    <w:p>
      <w:pPr>
        <w:spacing w:after="0" w:line="215" w:lineRule="exact"/>
        <w:rPr>
          <w:rFonts w:ascii="Arial" w:cs="Arial" w:eastAsia="Arial" w:hAnsi="Arial"/>
          <w:sz w:val="17"/>
          <w:szCs w:val="17"/>
          <w:u w:val="single" w:color="auto"/>
          <w:color w:val="0000FF"/>
        </w:rPr>
      </w:pPr>
    </w:p>
    <w:p>
      <w:pPr>
        <w:ind w:left="2400" w:hanging="527"/>
        <w:spacing w:after="0"/>
        <w:tabs>
          <w:tab w:leader="none" w:pos="2400" w:val="left"/>
        </w:tabs>
        <w:numPr>
          <w:ilvl w:val="0"/>
          <w:numId w:val="17"/>
        </w:numPr>
        <w:rPr>
          <w:rFonts w:ascii="Arial" w:cs="Arial" w:eastAsia="Arial" w:hAnsi="Arial"/>
          <w:sz w:val="18"/>
          <w:szCs w:val="18"/>
          <w:u w:val="single" w:color="auto"/>
          <w:color w:val="0000FF"/>
        </w:rPr>
      </w:pPr>
      <w:hyperlink r:id="rId104">
        <w:r>
          <w:rPr>
            <w:rFonts w:ascii="Arial" w:cs="Arial" w:eastAsia="Arial" w:hAnsi="Arial"/>
            <w:sz w:val="18"/>
            <w:szCs w:val="18"/>
            <w:u w:val="single" w:color="auto"/>
            <w:color w:val="0000FF"/>
          </w:rPr>
          <w:t>Amendment No. 1 to Acuity Brands, Inc. Amended</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Brands, Inc. and Richard K. Reece.</w:t>
        </w:r>
      </w:hyperlink>
    </w:p>
    <w:p>
      <w:pPr>
        <w:spacing w:after="0" w:line="243" w:lineRule="exact"/>
        <w:rPr>
          <w:rFonts w:ascii="Arial" w:cs="Arial" w:eastAsia="Arial" w:hAnsi="Arial"/>
          <w:sz w:val="18"/>
          <w:szCs w:val="18"/>
          <w:u w:val="single" w:color="auto"/>
          <w:color w:val="0000FF"/>
        </w:rPr>
      </w:pPr>
    </w:p>
    <w:p>
      <w:pPr>
        <w:ind w:left="2400" w:hanging="527"/>
        <w:spacing w:after="0"/>
        <w:tabs>
          <w:tab w:leader="none" w:pos="2400" w:val="left"/>
        </w:tabs>
        <w:numPr>
          <w:ilvl w:val="0"/>
          <w:numId w:val="17"/>
        </w:numPr>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Amendment No. 2 to Acuity Brands, Inc. Amended</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Brands, Inc. and Richard K. Reece.</w:t>
        </w:r>
      </w:hyperlink>
    </w:p>
    <w:p>
      <w:pPr>
        <w:spacing w:after="0" w:line="40" w:lineRule="exact"/>
        <w:rPr>
          <w:rFonts w:ascii="Arial" w:cs="Arial" w:eastAsia="Arial" w:hAnsi="Arial"/>
          <w:sz w:val="18"/>
          <w:szCs w:val="18"/>
          <w:u w:val="single" w:color="auto"/>
          <w:color w:val="0000FF"/>
        </w:rPr>
      </w:pPr>
    </w:p>
    <w:p>
      <w:pPr>
        <w:ind w:left="2400" w:hanging="527"/>
        <w:spacing w:after="0"/>
        <w:tabs>
          <w:tab w:leader="none" w:pos="2400" w:val="left"/>
        </w:tabs>
        <w:numPr>
          <w:ilvl w:val="0"/>
          <w:numId w:val="17"/>
        </w:numPr>
        <w:rPr>
          <w:rFonts w:ascii="Arial" w:cs="Arial" w:eastAsia="Arial" w:hAnsi="Arial"/>
          <w:sz w:val="18"/>
          <w:szCs w:val="18"/>
          <w:u w:val="single" w:color="auto"/>
          <w:color w:val="0000FF"/>
        </w:rPr>
      </w:pPr>
      <w:hyperlink r:id="rId106">
        <w:r>
          <w:rPr>
            <w:rFonts w:ascii="Arial" w:cs="Arial" w:eastAsia="Arial" w:hAnsi="Arial"/>
            <w:sz w:val="18"/>
            <w:szCs w:val="18"/>
            <w:u w:val="single" w:color="auto"/>
            <w:color w:val="0000FF"/>
          </w:rPr>
          <w:t>Amendment No. 3 to Acuity Brands, Inc. Amended</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Brands, Inc. and Richard K. Reece.</w:t>
        </w:r>
      </w:hyperlink>
    </w:p>
    <w:p>
      <w:pPr>
        <w:spacing w:after="0" w:line="243" w:lineRule="exact"/>
        <w:rPr>
          <w:rFonts w:ascii="Arial" w:cs="Arial" w:eastAsia="Arial" w:hAnsi="Arial"/>
          <w:sz w:val="18"/>
          <w:szCs w:val="18"/>
          <w:u w:val="single" w:color="auto"/>
          <w:color w:val="0000FF"/>
        </w:rPr>
      </w:pPr>
    </w:p>
    <w:p>
      <w:pPr>
        <w:ind w:left="2400" w:hanging="527"/>
        <w:spacing w:after="0"/>
        <w:tabs>
          <w:tab w:leader="none" w:pos="2400" w:val="left"/>
        </w:tabs>
        <w:numPr>
          <w:ilvl w:val="0"/>
          <w:numId w:val="17"/>
        </w:numPr>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Amendment No. 4 to Acuity Brands, Inc. Amended</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Brands, Inc. and Richard K. Reece.</w:t>
        </w:r>
      </w:hyperlink>
    </w:p>
    <w:p>
      <w:pPr>
        <w:spacing w:after="0" w:line="243" w:lineRule="exact"/>
        <w:rPr>
          <w:rFonts w:ascii="Arial" w:cs="Arial" w:eastAsia="Arial" w:hAnsi="Arial"/>
          <w:sz w:val="18"/>
          <w:szCs w:val="18"/>
          <w:u w:val="single" w:color="auto"/>
          <w:color w:val="0000FF"/>
        </w:rPr>
      </w:pPr>
    </w:p>
    <w:p>
      <w:pPr>
        <w:ind w:left="2400" w:hanging="527"/>
        <w:spacing w:after="0"/>
        <w:tabs>
          <w:tab w:leader="none" w:pos="2400" w:val="left"/>
        </w:tabs>
        <w:numPr>
          <w:ilvl w:val="0"/>
          <w:numId w:val="17"/>
        </w:numPr>
        <w:rPr>
          <w:rFonts w:ascii="Arial" w:cs="Arial" w:eastAsia="Arial" w:hAnsi="Arial"/>
          <w:sz w:val="18"/>
          <w:szCs w:val="18"/>
          <w:u w:val="single" w:color="auto"/>
          <w:color w:val="0000FF"/>
        </w:rPr>
      </w:pPr>
      <w:hyperlink r:id="rId108">
        <w:r>
          <w:rPr>
            <w:rFonts w:ascii="Arial" w:cs="Arial" w:eastAsia="Arial" w:hAnsi="Arial"/>
            <w:sz w:val="18"/>
            <w:szCs w:val="18"/>
            <w:u w:val="single" w:color="auto"/>
            <w:color w:val="0000FF"/>
          </w:rPr>
          <w:t>Amendment No. 5 to Acuity Brands, Inc. Amended</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Brands, Inc. and Richard K. Reece.</w:t>
        </w:r>
      </w:hyperlink>
    </w:p>
    <w:p>
      <w:pPr>
        <w:spacing w:after="0" w:line="243" w:lineRule="exact"/>
        <w:rPr>
          <w:rFonts w:ascii="Arial" w:cs="Arial" w:eastAsia="Arial" w:hAnsi="Arial"/>
          <w:sz w:val="18"/>
          <w:szCs w:val="18"/>
          <w:u w:val="single" w:color="auto"/>
          <w:color w:val="0000FF"/>
        </w:rPr>
      </w:pPr>
    </w:p>
    <w:p>
      <w:pPr>
        <w:ind w:left="2400" w:hanging="527"/>
        <w:spacing w:after="0"/>
        <w:tabs>
          <w:tab w:leader="none" w:pos="2400" w:val="left"/>
        </w:tabs>
        <w:numPr>
          <w:ilvl w:val="0"/>
          <w:numId w:val="17"/>
        </w:numPr>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Amendment No. 6 to Acuity Brands, Inc. Amended</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Brands, Inc. and Richard K. Reece.</w:t>
        </w:r>
      </w:hyperlink>
    </w:p>
    <w:p>
      <w:pPr>
        <w:spacing w:after="0" w:line="243" w:lineRule="exact"/>
        <w:rPr>
          <w:rFonts w:ascii="Arial" w:cs="Arial" w:eastAsia="Arial" w:hAnsi="Arial"/>
          <w:sz w:val="18"/>
          <w:szCs w:val="18"/>
          <w:u w:val="single" w:color="auto"/>
          <w:color w:val="0000FF"/>
        </w:rPr>
      </w:pPr>
    </w:p>
    <w:p>
      <w:pPr>
        <w:ind w:left="2400" w:hanging="527"/>
        <w:spacing w:after="0"/>
        <w:tabs>
          <w:tab w:leader="none" w:pos="2400" w:val="left"/>
        </w:tabs>
        <w:numPr>
          <w:ilvl w:val="0"/>
          <w:numId w:val="17"/>
        </w:numPr>
        <w:rPr>
          <w:rFonts w:ascii="Arial" w:cs="Arial" w:eastAsia="Arial" w:hAnsi="Arial"/>
          <w:sz w:val="18"/>
          <w:szCs w:val="18"/>
          <w:u w:val="single" w:color="auto"/>
          <w:color w:val="0000FF"/>
        </w:rPr>
      </w:pPr>
      <w:hyperlink r:id="rId110">
        <w:r>
          <w:rPr>
            <w:rFonts w:ascii="Arial" w:cs="Arial" w:eastAsia="Arial" w:hAnsi="Arial"/>
            <w:sz w:val="18"/>
            <w:szCs w:val="18"/>
            <w:u w:val="single" w:color="auto"/>
            <w:color w:val="0000FF"/>
          </w:rPr>
          <w:t>Amendment No. 7 to Acuity Brands, Inc. Amended</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Brands, Inc. and Richard K. Reece.</w:t>
        </w:r>
      </w:hyperlink>
    </w:p>
    <w:p>
      <w:pPr>
        <w:spacing w:after="0" w:line="243" w:lineRule="exact"/>
        <w:rPr>
          <w:rFonts w:ascii="Arial" w:cs="Arial" w:eastAsia="Arial" w:hAnsi="Arial"/>
          <w:sz w:val="18"/>
          <w:szCs w:val="18"/>
          <w:u w:val="single" w:color="auto"/>
          <w:color w:val="0000FF"/>
        </w:rPr>
      </w:pPr>
    </w:p>
    <w:p>
      <w:pPr>
        <w:ind w:left="2400" w:hanging="527"/>
        <w:spacing w:after="0"/>
        <w:tabs>
          <w:tab w:leader="none" w:pos="2400" w:val="left"/>
        </w:tabs>
        <w:numPr>
          <w:ilvl w:val="0"/>
          <w:numId w:val="17"/>
        </w:numPr>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Amendment No. 8 to Acuity Brands, Inc. Amended</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Brands, Inc. and Richard K. Reece.</w:t>
        </w:r>
      </w:hyperlink>
    </w:p>
    <w:p>
      <w:pPr>
        <w:spacing w:after="0" w:line="40" w:lineRule="exact"/>
        <w:rPr>
          <w:rFonts w:ascii="Arial" w:cs="Arial" w:eastAsia="Arial" w:hAnsi="Arial"/>
          <w:sz w:val="18"/>
          <w:szCs w:val="18"/>
          <w:u w:val="single" w:color="auto"/>
          <w:color w:val="0000FF"/>
        </w:rPr>
      </w:pPr>
    </w:p>
    <w:p>
      <w:pPr>
        <w:ind w:left="2400" w:hanging="527"/>
        <w:spacing w:after="0"/>
        <w:tabs>
          <w:tab w:leader="none" w:pos="2400" w:val="left"/>
        </w:tabs>
        <w:numPr>
          <w:ilvl w:val="0"/>
          <w:numId w:val="17"/>
        </w:numPr>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Amendment No. 9 to Acuity Brands, Inc. Amended</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Brands, Inc. and Richard K. Reece.</w:t>
        </w:r>
      </w:hyperlink>
    </w:p>
    <w:p>
      <w:pPr>
        <w:spacing w:after="0" w:line="40" w:lineRule="exact"/>
        <w:rPr>
          <w:rFonts w:ascii="Arial" w:cs="Arial" w:eastAsia="Arial" w:hAnsi="Arial"/>
          <w:sz w:val="18"/>
          <w:szCs w:val="18"/>
          <w:u w:val="single" w:color="auto"/>
          <w:color w:val="0000FF"/>
        </w:rPr>
      </w:pPr>
    </w:p>
    <w:p>
      <w:pPr>
        <w:jc w:val="both"/>
        <w:ind w:left="2400" w:right="120" w:hanging="527"/>
        <w:spacing w:after="0" w:line="261" w:lineRule="auto"/>
        <w:tabs>
          <w:tab w:leader="none" w:pos="2400" w:val="left"/>
        </w:tabs>
        <w:numPr>
          <w:ilvl w:val="0"/>
          <w:numId w:val="17"/>
        </w:numPr>
        <w:rPr>
          <w:rFonts w:ascii="Arial" w:cs="Arial" w:eastAsia="Arial" w:hAnsi="Arial"/>
          <w:sz w:val="17"/>
          <w:szCs w:val="17"/>
          <w:u w:val="single" w:color="auto"/>
          <w:color w:val="0000FF"/>
        </w:rPr>
      </w:pPr>
      <w:hyperlink r:id="rId113">
        <w:r>
          <w:rPr>
            <w:rFonts w:ascii="Arial" w:cs="Arial" w:eastAsia="Arial" w:hAnsi="Arial"/>
            <w:sz w:val="17"/>
            <w:szCs w:val="17"/>
            <w:u w:val="single" w:color="auto"/>
            <w:color w:val="0000FF"/>
          </w:rPr>
          <w:t>Acuity Brands Lighting, Inc. Severance Agreement,</w:t>
        </w:r>
      </w:hyperlink>
      <w:r>
        <w:rPr>
          <w:rFonts w:ascii="Arial" w:cs="Arial" w:eastAsia="Arial" w:hAnsi="Arial"/>
          <w:sz w:val="17"/>
          <w:szCs w:val="17"/>
          <w:u w:val="single" w:color="auto"/>
          <w:color w:val="0000FF"/>
        </w:rPr>
        <w:t xml:space="preserve"> </w:t>
      </w:r>
      <w:hyperlink r:id="rId113">
        <w:r>
          <w:rPr>
            <w:rFonts w:ascii="Arial" w:cs="Arial" w:eastAsia="Arial" w:hAnsi="Arial"/>
            <w:sz w:val="17"/>
            <w:szCs w:val="17"/>
            <w:u w:val="single" w:color="auto"/>
            <w:color w:val="0000FF"/>
          </w:rPr>
          <w:t>entered into as of March 28, 2018, by and between</w:t>
        </w:r>
      </w:hyperlink>
      <w:r>
        <w:rPr>
          <w:rFonts w:ascii="Arial" w:cs="Arial" w:eastAsia="Arial" w:hAnsi="Arial"/>
          <w:sz w:val="17"/>
          <w:szCs w:val="17"/>
          <w:u w:val="single" w:color="auto"/>
          <w:color w:val="0000FF"/>
        </w:rPr>
        <w:t xml:space="preserve"> </w:t>
      </w:r>
      <w:hyperlink r:id="rId113">
        <w:r>
          <w:rPr>
            <w:rFonts w:ascii="Arial" w:cs="Arial" w:eastAsia="Arial" w:hAnsi="Arial"/>
            <w:sz w:val="17"/>
            <w:szCs w:val="17"/>
            <w:u w:val="single" w:color="auto"/>
            <w:color w:val="0000FF"/>
          </w:rPr>
          <w:t>Acuity Brands Lighting, Inc. and Karen J. Holcom.</w:t>
        </w:r>
      </w:hyperlink>
    </w:p>
    <w:p>
      <w:pPr>
        <w:spacing w:after="0" w:line="226" w:lineRule="exact"/>
        <w:rPr>
          <w:rFonts w:ascii="Arial" w:cs="Arial" w:eastAsia="Arial" w:hAnsi="Arial"/>
          <w:sz w:val="17"/>
          <w:szCs w:val="17"/>
          <w:u w:val="single" w:color="auto"/>
          <w:color w:val="0000FF"/>
        </w:rPr>
      </w:pPr>
    </w:p>
    <w:p>
      <w:pPr>
        <w:ind w:left="2400" w:right="300" w:hanging="527"/>
        <w:spacing w:after="0"/>
        <w:tabs>
          <w:tab w:leader="none" w:pos="2400" w:val="left"/>
        </w:tabs>
        <w:numPr>
          <w:ilvl w:val="0"/>
          <w:numId w:val="17"/>
        </w:numPr>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Amendment No. 1 to Acuity Brands Lighting, Inc.</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Severance Agreement between Acuity Brands</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Lighting, Inc. and Karen J. Holcom.</w:t>
        </w:r>
      </w:hyperlink>
    </w:p>
    <w:p>
      <w:pPr>
        <w:spacing w:after="0" w:line="243" w:lineRule="exact"/>
        <w:rPr>
          <w:rFonts w:ascii="Arial" w:cs="Arial" w:eastAsia="Arial" w:hAnsi="Arial"/>
          <w:sz w:val="18"/>
          <w:szCs w:val="18"/>
          <w:u w:val="single" w:color="auto"/>
          <w:color w:val="0000FF"/>
        </w:rPr>
      </w:pPr>
    </w:p>
    <w:p>
      <w:pPr>
        <w:ind w:left="2400" w:right="300" w:hanging="527"/>
        <w:spacing w:after="0"/>
        <w:tabs>
          <w:tab w:leader="none" w:pos="2400" w:val="left"/>
        </w:tabs>
        <w:numPr>
          <w:ilvl w:val="0"/>
          <w:numId w:val="17"/>
        </w:numPr>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Amendment No. 2 to Acuity Brands Lighting, Inc.</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Severance Agreement between Acuity Brands</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Lighting, Inc. and Karen J. Holcom.</w:t>
        </w:r>
      </w:hyperlink>
    </w:p>
    <w:p>
      <w:pPr>
        <w:spacing w:after="0" w:line="243" w:lineRule="exact"/>
        <w:rPr>
          <w:rFonts w:ascii="Arial" w:cs="Arial" w:eastAsia="Arial" w:hAnsi="Arial"/>
          <w:sz w:val="18"/>
          <w:szCs w:val="18"/>
          <w:u w:val="single" w:color="auto"/>
          <w:color w:val="0000FF"/>
        </w:rPr>
      </w:pPr>
    </w:p>
    <w:p>
      <w:pPr>
        <w:ind w:left="2400" w:right="20" w:hanging="527"/>
        <w:spacing w:after="0"/>
        <w:tabs>
          <w:tab w:leader="none" w:pos="2400" w:val="left"/>
        </w:tabs>
        <w:numPr>
          <w:ilvl w:val="0"/>
          <w:numId w:val="17"/>
        </w:numPr>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Change in Control Agreement, entered into as of</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March 28, 2018, by and between Acuity Brands, Inc.</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and Karen J. Holcom.</w:t>
        </w:r>
      </w:hyperlink>
    </w:p>
    <w:p>
      <w:pPr>
        <w:spacing w:after="0" w:line="243" w:lineRule="exact"/>
        <w:rPr>
          <w:rFonts w:ascii="Arial" w:cs="Arial" w:eastAsia="Arial" w:hAnsi="Arial"/>
          <w:sz w:val="18"/>
          <w:szCs w:val="18"/>
          <w:u w:val="single" w:color="auto"/>
          <w:color w:val="0000FF"/>
        </w:rPr>
      </w:pPr>
    </w:p>
    <w:p>
      <w:pPr>
        <w:ind w:left="2400" w:right="40" w:hanging="527"/>
        <w:spacing w:after="0"/>
        <w:tabs>
          <w:tab w:leader="none" w:pos="2400" w:val="left"/>
        </w:tabs>
        <w:numPr>
          <w:ilvl w:val="0"/>
          <w:numId w:val="17"/>
        </w:numPr>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Amendment No.1 to Acuity Brands, Inc. Change in</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Control Agreement between Acuity Brands, Inc. and</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Karen J. Holcom.</w:t>
        </w:r>
      </w:hyperlink>
    </w:p>
    <w:p>
      <w:pPr>
        <w:spacing w:after="0" w:line="200" w:lineRule="exact"/>
        <w:rPr>
          <w:rFonts w:ascii="Arial" w:cs="Arial" w:eastAsia="Arial" w:hAnsi="Arial"/>
          <w:sz w:val="18"/>
          <w:szCs w:val="18"/>
          <w:u w:val="single" w:color="auto"/>
          <w:color w:val="0000FF"/>
        </w:rPr>
      </w:pPr>
    </w:p>
    <w:p>
      <w:pPr>
        <w:spacing w:after="0" w:line="232" w:lineRule="exact"/>
        <w:rPr>
          <w:rFonts w:ascii="Arial" w:cs="Arial" w:eastAsia="Arial" w:hAnsi="Arial"/>
          <w:sz w:val="18"/>
          <w:szCs w:val="18"/>
          <w:u w:val="single" w:color="auto"/>
          <w:color w:val="0000FF"/>
        </w:rPr>
      </w:pPr>
    </w:p>
    <w:p>
      <w:pPr>
        <w:ind w:left="5520"/>
        <w:spacing w:after="0"/>
        <w:rPr>
          <w:sz w:val="20"/>
          <w:szCs w:val="20"/>
          <w:color w:val="auto"/>
        </w:rPr>
      </w:pPr>
      <w:r>
        <w:rPr>
          <w:rFonts w:ascii="Arial" w:cs="Arial" w:eastAsia="Arial" w:hAnsi="Arial"/>
          <w:sz w:val="18"/>
          <w:szCs w:val="18"/>
          <w:color w:val="auto"/>
        </w:rPr>
        <w:t>86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374" w:lineRule="exact"/>
        <w:rPr>
          <w:rFonts w:ascii="Arial" w:cs="Arial" w:eastAsia="Arial" w:hAnsi="Arial"/>
          <w:sz w:val="18"/>
          <w:szCs w:val="18"/>
          <w:u w:val="single" w:color="auto"/>
          <w:color w:val="0000FF"/>
        </w:rPr>
      </w:pPr>
    </w:p>
    <w:p>
      <w:pPr>
        <w:ind w:right="60"/>
        <w:spacing w:after="0" w:line="261" w:lineRule="auto"/>
        <w:rPr>
          <w:sz w:val="20"/>
          <w:szCs w:val="20"/>
          <w:color w:val="auto"/>
        </w:rPr>
      </w:pPr>
      <w:r>
        <w:rPr>
          <w:rFonts w:ascii="Arial" w:cs="Arial" w:eastAsia="Arial" w:hAnsi="Arial"/>
          <w:sz w:val="17"/>
          <w:szCs w:val="17"/>
          <w:color w:val="auto"/>
        </w:rPr>
        <w:t>Reference is made to Exhibit 10.1 of registrant’s Form 8-K filed with the Commission on November 18, 2005, which is incorporated herein by reference.</w:t>
      </w:r>
    </w:p>
    <w:p>
      <w:pPr>
        <w:spacing w:after="0" w:line="24" w:lineRule="exact"/>
        <w:rPr>
          <w:rFonts w:ascii="Arial" w:cs="Arial" w:eastAsia="Arial" w:hAnsi="Arial"/>
          <w:sz w:val="18"/>
          <w:szCs w:val="18"/>
          <w:u w:val="single" w:color="auto"/>
          <w:color w:val="0000FF"/>
        </w:rPr>
      </w:pPr>
    </w:p>
    <w:p>
      <w:pPr>
        <w:ind w:right="100"/>
        <w:spacing w:after="0" w:line="238" w:lineRule="auto"/>
        <w:rPr>
          <w:sz w:val="20"/>
          <w:szCs w:val="20"/>
          <w:color w:val="auto"/>
        </w:rPr>
      </w:pPr>
      <w:r>
        <w:rPr>
          <w:rFonts w:ascii="Arial" w:cs="Arial" w:eastAsia="Arial" w:hAnsi="Arial"/>
          <w:sz w:val="18"/>
          <w:szCs w:val="18"/>
          <w:color w:val="auto"/>
        </w:rPr>
        <w:t>Reference is made to Exhibit 10(iii)A(81) of the registrant’s Form 10-K as filed with the Commission on October 30, 2009, which is incorporated herein by reference.</w:t>
      </w:r>
    </w:p>
    <w:p>
      <w:pPr>
        <w:spacing w:after="0" w:line="43" w:lineRule="exact"/>
        <w:rPr>
          <w:rFonts w:ascii="Arial" w:cs="Arial" w:eastAsia="Arial" w:hAnsi="Arial"/>
          <w:sz w:val="18"/>
          <w:szCs w:val="18"/>
          <w:u w:val="single" w:color="auto"/>
          <w:color w:val="0000FF"/>
        </w:rPr>
      </w:pPr>
    </w:p>
    <w:p>
      <w:pPr>
        <w:ind w:right="60"/>
        <w:spacing w:after="0" w:line="261" w:lineRule="auto"/>
        <w:rPr>
          <w:sz w:val="20"/>
          <w:szCs w:val="20"/>
          <w:color w:val="auto"/>
        </w:rPr>
      </w:pPr>
      <w:r>
        <w:rPr>
          <w:rFonts w:ascii="Arial" w:cs="Arial" w:eastAsia="Arial" w:hAnsi="Arial"/>
          <w:sz w:val="17"/>
          <w:szCs w:val="17"/>
          <w:color w:val="auto"/>
        </w:rPr>
        <w:t>Reference is made to Exhibit 10 (f) of registrant’s Form 10-Q as filed with the Commission on March 31, 2010, which is incorporated herein by reference.</w:t>
      </w:r>
    </w:p>
    <w:p>
      <w:pPr>
        <w:spacing w:after="0" w:line="24" w:lineRule="exact"/>
        <w:rPr>
          <w:rFonts w:ascii="Arial" w:cs="Arial" w:eastAsia="Arial" w:hAnsi="Arial"/>
          <w:sz w:val="18"/>
          <w:szCs w:val="18"/>
          <w:u w:val="single" w:color="auto"/>
          <w:color w:val="0000FF"/>
        </w:rPr>
      </w:pPr>
    </w:p>
    <w:p>
      <w:pPr>
        <w:ind w:right="80"/>
        <w:spacing w:after="0" w:line="238" w:lineRule="auto"/>
        <w:rPr>
          <w:sz w:val="20"/>
          <w:szCs w:val="20"/>
          <w:color w:val="auto"/>
        </w:rPr>
      </w:pPr>
      <w:r>
        <w:rPr>
          <w:rFonts w:ascii="Arial" w:cs="Arial" w:eastAsia="Arial" w:hAnsi="Arial"/>
          <w:sz w:val="18"/>
          <w:szCs w:val="18"/>
          <w:color w:val="auto"/>
        </w:rPr>
        <w:t>Reference is made to Exhibit 10(iii)A(4) of the registrant's Form 10-Q as filed with the Commission on April 2, 2014, which is incorporated herein by reference.</w:t>
      </w:r>
    </w:p>
    <w:p>
      <w:pPr>
        <w:spacing w:after="0" w:line="43" w:lineRule="exact"/>
        <w:rPr>
          <w:rFonts w:ascii="Arial" w:cs="Arial" w:eastAsia="Arial" w:hAnsi="Arial"/>
          <w:sz w:val="18"/>
          <w:szCs w:val="18"/>
          <w:u w:val="single" w:color="auto"/>
          <w:color w:val="0000FF"/>
        </w:rPr>
      </w:pPr>
    </w:p>
    <w:p>
      <w:pPr>
        <w:ind w:right="100"/>
        <w:spacing w:after="0" w:line="238" w:lineRule="auto"/>
        <w:rPr>
          <w:sz w:val="20"/>
          <w:szCs w:val="20"/>
          <w:color w:val="auto"/>
        </w:rPr>
      </w:pPr>
      <w:r>
        <w:rPr>
          <w:rFonts w:ascii="Arial" w:cs="Arial" w:eastAsia="Arial" w:hAnsi="Arial"/>
          <w:sz w:val="18"/>
          <w:szCs w:val="18"/>
          <w:color w:val="auto"/>
        </w:rPr>
        <w:t>Reference is made to Exhibit 10(iii)A(46) of the registrant's Form 10-K as filed with the Commission on October 29, 2014, which is incorporated herein by reference.</w:t>
      </w:r>
    </w:p>
    <w:p>
      <w:pPr>
        <w:spacing w:after="0" w:line="43" w:lineRule="exact"/>
        <w:rPr>
          <w:rFonts w:ascii="Arial" w:cs="Arial" w:eastAsia="Arial" w:hAnsi="Arial"/>
          <w:sz w:val="18"/>
          <w:szCs w:val="18"/>
          <w:u w:val="single" w:color="auto"/>
          <w:color w:val="0000FF"/>
        </w:rPr>
      </w:pPr>
    </w:p>
    <w:p>
      <w:pPr>
        <w:ind w:right="100"/>
        <w:spacing w:after="0" w:line="238" w:lineRule="auto"/>
        <w:rPr>
          <w:sz w:val="20"/>
          <w:szCs w:val="20"/>
          <w:color w:val="auto"/>
        </w:rPr>
      </w:pPr>
      <w:r>
        <w:rPr>
          <w:rFonts w:ascii="Arial" w:cs="Arial" w:eastAsia="Arial" w:hAnsi="Arial"/>
          <w:sz w:val="18"/>
          <w:szCs w:val="18"/>
          <w:color w:val="auto"/>
        </w:rPr>
        <w:t>Reference is made to Exhibit 10(iii)A(43) of the registrant's Form 10-K as filed with the Commission on October 27, 2015, which is incorporated herein by reference.</w:t>
      </w:r>
    </w:p>
    <w:p>
      <w:pPr>
        <w:spacing w:after="0" w:line="43" w:lineRule="exact"/>
        <w:rPr>
          <w:rFonts w:ascii="Arial" w:cs="Arial" w:eastAsia="Arial" w:hAnsi="Arial"/>
          <w:sz w:val="18"/>
          <w:szCs w:val="18"/>
          <w:u w:val="single" w:color="auto"/>
          <w:color w:val="0000FF"/>
        </w:rPr>
      </w:pPr>
    </w:p>
    <w:p>
      <w:pPr>
        <w:ind w:right="100"/>
        <w:spacing w:after="0" w:line="238" w:lineRule="auto"/>
        <w:rPr>
          <w:sz w:val="20"/>
          <w:szCs w:val="20"/>
          <w:color w:val="auto"/>
        </w:rPr>
      </w:pPr>
      <w:r>
        <w:rPr>
          <w:rFonts w:ascii="Arial" w:cs="Arial" w:eastAsia="Arial" w:hAnsi="Arial"/>
          <w:sz w:val="18"/>
          <w:szCs w:val="18"/>
          <w:color w:val="auto"/>
        </w:rPr>
        <w:t>Reference is made to Exhibit 10(iii)A(44) of the registrant's Form 10-K as filed with the Commission on October 27, 2016, which is incorporated herein by reference.</w:t>
      </w:r>
    </w:p>
    <w:p>
      <w:pPr>
        <w:spacing w:after="0" w:line="43" w:lineRule="exact"/>
        <w:rPr>
          <w:rFonts w:ascii="Arial" w:cs="Arial" w:eastAsia="Arial" w:hAnsi="Arial"/>
          <w:sz w:val="18"/>
          <w:szCs w:val="18"/>
          <w:u w:val="single" w:color="auto"/>
          <w:color w:val="0000FF"/>
        </w:rPr>
      </w:pPr>
    </w:p>
    <w:p>
      <w:pPr>
        <w:ind w:right="100"/>
        <w:spacing w:after="0" w:line="238" w:lineRule="auto"/>
        <w:rPr>
          <w:sz w:val="20"/>
          <w:szCs w:val="20"/>
          <w:color w:val="auto"/>
        </w:rPr>
      </w:pPr>
      <w:r>
        <w:rPr>
          <w:rFonts w:ascii="Arial" w:cs="Arial" w:eastAsia="Arial" w:hAnsi="Arial"/>
          <w:sz w:val="18"/>
          <w:szCs w:val="18"/>
          <w:color w:val="auto"/>
        </w:rPr>
        <w:t>Reference is made to Exhibit 10(iii)A(45) of the registrant's Form 10-K as filed with the Commission on October 26, 2017, which is incorporated herein by reference.</w:t>
      </w:r>
    </w:p>
    <w:p>
      <w:pPr>
        <w:spacing w:after="0" w:line="43" w:lineRule="exact"/>
        <w:rPr>
          <w:rFonts w:ascii="Arial" w:cs="Arial" w:eastAsia="Arial" w:hAnsi="Arial"/>
          <w:sz w:val="18"/>
          <w:szCs w:val="18"/>
          <w:u w:val="single" w:color="auto"/>
          <w:color w:val="0000FF"/>
        </w:rPr>
      </w:pPr>
    </w:p>
    <w:p>
      <w:pPr>
        <w:jc w:val="both"/>
        <w:spacing w:after="0"/>
        <w:rPr>
          <w:sz w:val="20"/>
          <w:szCs w:val="20"/>
          <w:color w:val="auto"/>
        </w:rPr>
      </w:pPr>
      <w:r>
        <w:rPr>
          <w:rFonts w:ascii="Arial" w:cs="Arial" w:eastAsia="Arial" w:hAnsi="Arial"/>
          <w:sz w:val="18"/>
          <w:szCs w:val="18"/>
          <w:color w:val="auto"/>
        </w:rPr>
        <w:t>Reference is made to Exhibit 10(a) of the registrant's Form 10 -Q as filed with the Commission on January 9, 2019, which is incorporated herein by reference.</w:t>
      </w:r>
    </w:p>
    <w:p>
      <w:pPr>
        <w:spacing w:after="0" w:line="4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Reference is made to Exhibit 10(b) of the registrant's Form 10-Q as filed with the Commission on April 3, 2019, which is incorporated herein by reference.</w:t>
      </w:r>
    </w:p>
    <w:p>
      <w:pPr>
        <w:spacing w:after="0" w:line="41" w:lineRule="exact"/>
        <w:rPr>
          <w:rFonts w:ascii="Arial" w:cs="Arial" w:eastAsia="Arial" w:hAnsi="Arial"/>
          <w:sz w:val="18"/>
          <w:szCs w:val="18"/>
          <w:u w:val="single" w:color="auto"/>
          <w:color w:val="0000FF"/>
        </w:rPr>
      </w:pPr>
    </w:p>
    <w:p>
      <w:pPr>
        <w:ind w:right="100"/>
        <w:spacing w:after="0" w:line="238" w:lineRule="auto"/>
        <w:rPr>
          <w:sz w:val="20"/>
          <w:szCs w:val="20"/>
          <w:color w:val="auto"/>
        </w:rPr>
      </w:pPr>
      <w:r>
        <w:rPr>
          <w:rFonts w:ascii="Arial" w:cs="Arial" w:eastAsia="Arial" w:hAnsi="Arial"/>
          <w:sz w:val="18"/>
          <w:szCs w:val="18"/>
          <w:color w:val="auto"/>
        </w:rPr>
        <w:t>Reference is made to Exhibit 10(iii)A(51) of the registrant's Form 10-K as filed with the Commission on October 29, 2019, which is incorporated herein by reference.</w:t>
      </w:r>
    </w:p>
    <w:p>
      <w:pPr>
        <w:spacing w:after="0" w:line="43" w:lineRule="exact"/>
        <w:rPr>
          <w:rFonts w:ascii="Arial" w:cs="Arial" w:eastAsia="Arial" w:hAnsi="Arial"/>
          <w:sz w:val="18"/>
          <w:szCs w:val="18"/>
          <w:u w:val="single" w:color="auto"/>
          <w:color w:val="0000FF"/>
        </w:rPr>
      </w:pPr>
    </w:p>
    <w:p>
      <w:pPr>
        <w:ind w:right="100"/>
        <w:spacing w:after="0" w:line="238" w:lineRule="auto"/>
        <w:rPr>
          <w:sz w:val="20"/>
          <w:szCs w:val="20"/>
          <w:color w:val="auto"/>
        </w:rPr>
      </w:pPr>
      <w:r>
        <w:rPr>
          <w:rFonts w:ascii="Arial" w:cs="Arial" w:eastAsia="Arial" w:hAnsi="Arial"/>
          <w:sz w:val="18"/>
          <w:szCs w:val="18"/>
          <w:color w:val="auto"/>
        </w:rPr>
        <w:t>Reference is made to Exhibit 10(iii)A(52) of the registrant's Form 10-K as filed with the Commission on October 29, 2019, which is incorporated herein by reference.</w:t>
      </w:r>
    </w:p>
    <w:p>
      <w:pPr>
        <w:spacing w:after="0" w:line="43" w:lineRule="exact"/>
        <w:rPr>
          <w:rFonts w:ascii="Arial" w:cs="Arial" w:eastAsia="Arial" w:hAnsi="Arial"/>
          <w:sz w:val="18"/>
          <w:szCs w:val="18"/>
          <w:u w:val="single" w:color="auto"/>
          <w:color w:val="0000FF"/>
        </w:rPr>
      </w:pPr>
    </w:p>
    <w:p>
      <w:pPr>
        <w:ind w:right="100"/>
        <w:spacing w:after="0" w:line="238" w:lineRule="auto"/>
        <w:rPr>
          <w:sz w:val="20"/>
          <w:szCs w:val="20"/>
          <w:color w:val="auto"/>
        </w:rPr>
      </w:pPr>
      <w:r>
        <w:rPr>
          <w:rFonts w:ascii="Arial" w:cs="Arial" w:eastAsia="Arial" w:hAnsi="Arial"/>
          <w:sz w:val="18"/>
          <w:szCs w:val="18"/>
          <w:color w:val="auto"/>
        </w:rPr>
        <w:t>Reference is made to Exhibit 10(iii)A(53) of the registrant's Form 10-K as filed with the Commission on October 29, 2019, which is incorporated herein by reference.</w:t>
      </w:r>
    </w:p>
    <w:p>
      <w:pPr>
        <w:spacing w:after="0" w:line="43" w:lineRule="exact"/>
        <w:rPr>
          <w:rFonts w:ascii="Arial" w:cs="Arial" w:eastAsia="Arial" w:hAnsi="Arial"/>
          <w:sz w:val="18"/>
          <w:szCs w:val="18"/>
          <w:u w:val="single" w:color="auto"/>
          <w:color w:val="0000FF"/>
        </w:rPr>
      </w:pPr>
    </w:p>
    <w:p>
      <w:pPr>
        <w:ind w:right="100"/>
        <w:spacing w:after="0" w:line="238" w:lineRule="auto"/>
        <w:rPr>
          <w:sz w:val="20"/>
          <w:szCs w:val="20"/>
          <w:color w:val="auto"/>
        </w:rPr>
      </w:pPr>
      <w:r>
        <w:rPr>
          <w:rFonts w:ascii="Arial" w:cs="Arial" w:eastAsia="Arial" w:hAnsi="Arial"/>
          <w:sz w:val="18"/>
          <w:szCs w:val="18"/>
          <w:color w:val="auto"/>
        </w:rPr>
        <w:t>Reference is made to Exhibit 10(iii)A(54) of the registrant's Form 10-K as filed with the Commission on October 29, 2019, which is incorporated herein by reference.</w:t>
      </w:r>
    </w:p>
    <w:p>
      <w:pPr>
        <w:spacing w:after="0" w:line="43" w:lineRule="exact"/>
        <w:rPr>
          <w:rFonts w:ascii="Arial" w:cs="Arial" w:eastAsia="Arial" w:hAnsi="Arial"/>
          <w:sz w:val="18"/>
          <w:szCs w:val="18"/>
          <w:u w:val="single" w:color="auto"/>
          <w:color w:val="0000FF"/>
        </w:rPr>
      </w:pPr>
    </w:p>
    <w:p>
      <w:pPr>
        <w:ind w:right="100"/>
        <w:spacing w:after="0" w:line="238" w:lineRule="auto"/>
        <w:rPr>
          <w:sz w:val="20"/>
          <w:szCs w:val="20"/>
          <w:color w:val="auto"/>
        </w:rPr>
      </w:pPr>
      <w:r>
        <w:rPr>
          <w:rFonts w:ascii="Arial" w:cs="Arial" w:eastAsia="Arial" w:hAnsi="Arial"/>
          <w:sz w:val="18"/>
          <w:szCs w:val="18"/>
          <w:color w:val="auto"/>
        </w:rPr>
        <w:t>Reference is made to Exhibit 10(iii)A(55) of the registrant's Form 10-K as filed with the Commission on October 29, 2019, which is incorporated herein by reference.</w:t>
      </w:r>
    </w:p>
    <w:p>
      <w:pPr>
        <w:sectPr>
          <w:pgSz w:w="11900" w:h="16838" w:orient="portrait"/>
          <w:cols w:equalWidth="0" w:num="2">
            <w:col w:w="6580" w:space="420"/>
            <w:col w:w="4200"/>
          </w:cols>
          <w:pgMar w:left="320" w:top="260" w:right="3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2400" w:right="280" w:hanging="527"/>
        <w:spacing w:after="0" w:line="246" w:lineRule="auto"/>
        <w:tabs>
          <w:tab w:leader="none" w:pos="2400" w:val="left"/>
        </w:tabs>
        <w:numPr>
          <w:ilvl w:val="0"/>
          <w:numId w:val="18"/>
        </w:numPr>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Form of Nonqualified Stock Option Agreement for</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Executive Officers.</w:t>
        </w:r>
      </w:hyperlink>
    </w:p>
    <w:p>
      <w:pPr>
        <w:spacing w:after="0" w:line="237" w:lineRule="exact"/>
        <w:rPr>
          <w:rFonts w:ascii="Arial" w:cs="Arial" w:eastAsia="Arial" w:hAnsi="Arial"/>
          <w:sz w:val="18"/>
          <w:szCs w:val="18"/>
          <w:u w:val="single" w:color="auto"/>
          <w:color w:val="0000FF"/>
        </w:rPr>
      </w:pPr>
    </w:p>
    <w:p>
      <w:pPr>
        <w:ind w:left="2400" w:right="280" w:hanging="527"/>
        <w:spacing w:after="0" w:line="246" w:lineRule="auto"/>
        <w:tabs>
          <w:tab w:leader="none" w:pos="2400" w:val="left"/>
        </w:tabs>
        <w:numPr>
          <w:ilvl w:val="0"/>
          <w:numId w:val="18"/>
        </w:numPr>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Amended and Restated Acuity Brands, Inc. Long-</w:t>
        </w:r>
      </w:hyperlink>
      <w:hyperlink r:id="rId119">
        <w:r>
          <w:rPr>
            <w:rFonts w:ascii="Arial" w:cs="Arial" w:eastAsia="Arial" w:hAnsi="Arial"/>
            <w:sz w:val="18"/>
            <w:szCs w:val="18"/>
            <w:u w:val="single" w:color="auto"/>
            <w:color w:val="0000FF"/>
          </w:rPr>
          <w:t>Term Incentive Plan.</w:t>
        </w:r>
      </w:hyperlink>
    </w:p>
    <w:p>
      <w:pPr>
        <w:spacing w:after="0" w:line="200" w:lineRule="exact"/>
        <w:rPr>
          <w:rFonts w:ascii="Arial" w:cs="Arial" w:eastAsia="Arial" w:hAnsi="Arial"/>
          <w:sz w:val="18"/>
          <w:szCs w:val="18"/>
          <w:u w:val="single" w:color="auto"/>
          <w:color w:val="0000FF"/>
        </w:rPr>
      </w:pPr>
    </w:p>
    <w:p>
      <w:pPr>
        <w:spacing w:after="0" w:line="239" w:lineRule="exact"/>
        <w:rPr>
          <w:rFonts w:ascii="Arial" w:cs="Arial" w:eastAsia="Arial" w:hAnsi="Arial"/>
          <w:sz w:val="18"/>
          <w:szCs w:val="18"/>
          <w:u w:val="single" w:color="auto"/>
          <w:color w:val="0000FF"/>
        </w:rPr>
      </w:pPr>
    </w:p>
    <w:p>
      <w:pPr>
        <w:ind w:left="2400" w:right="120" w:hanging="527"/>
        <w:spacing w:after="0" w:line="246" w:lineRule="auto"/>
        <w:tabs>
          <w:tab w:leader="none" w:pos="2400" w:val="left"/>
        </w:tabs>
        <w:numPr>
          <w:ilvl w:val="0"/>
          <w:numId w:val="18"/>
        </w:numPr>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Acuity Brands, Inc. Long-Term Incentive Plan Fiscal</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Year 2008 Plan Rules for Executive Officers.</w:t>
        </w:r>
      </w:hyperlink>
    </w:p>
    <w:p>
      <w:pPr>
        <w:spacing w:after="0" w:line="237" w:lineRule="exact"/>
        <w:rPr>
          <w:rFonts w:ascii="Arial" w:cs="Arial" w:eastAsia="Arial" w:hAnsi="Arial"/>
          <w:sz w:val="18"/>
          <w:szCs w:val="18"/>
          <w:u w:val="single" w:color="auto"/>
          <w:color w:val="0000FF"/>
        </w:rPr>
      </w:pPr>
    </w:p>
    <w:p>
      <w:pPr>
        <w:ind w:left="2400" w:right="280" w:hanging="527"/>
        <w:spacing w:after="0" w:line="246" w:lineRule="auto"/>
        <w:tabs>
          <w:tab w:leader="none" w:pos="2400" w:val="left"/>
        </w:tabs>
        <w:numPr>
          <w:ilvl w:val="0"/>
          <w:numId w:val="18"/>
        </w:numPr>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Form of Nonqualified Stock Option Agreement for</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Key Employees effective October 24, 2008.</w:t>
        </w:r>
      </w:hyperlink>
    </w:p>
    <w:p>
      <w:pPr>
        <w:spacing w:after="0" w:line="237" w:lineRule="exact"/>
        <w:rPr>
          <w:rFonts w:ascii="Arial" w:cs="Arial" w:eastAsia="Arial" w:hAnsi="Arial"/>
          <w:sz w:val="18"/>
          <w:szCs w:val="18"/>
          <w:u w:val="single" w:color="auto"/>
          <w:color w:val="0000FF"/>
        </w:rPr>
      </w:pPr>
    </w:p>
    <w:p>
      <w:pPr>
        <w:jc w:val="both"/>
        <w:ind w:left="2400" w:right="280" w:hanging="527"/>
        <w:spacing w:after="0"/>
        <w:tabs>
          <w:tab w:leader="none" w:pos="2400" w:val="left"/>
        </w:tabs>
        <w:numPr>
          <w:ilvl w:val="0"/>
          <w:numId w:val="18"/>
        </w:numPr>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Form of Nonqualified Stock Option Agreement for</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Executive Officers of Acuity Brands, Inc. effective</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October 24, 2008.</w:t>
        </w:r>
      </w:hyperlink>
    </w:p>
    <w:p>
      <w:pPr>
        <w:spacing w:after="0" w:line="40" w:lineRule="exact"/>
        <w:rPr>
          <w:rFonts w:ascii="Arial" w:cs="Arial" w:eastAsia="Arial" w:hAnsi="Arial"/>
          <w:sz w:val="18"/>
          <w:szCs w:val="18"/>
          <w:u w:val="single" w:color="auto"/>
          <w:color w:val="0000FF"/>
        </w:rPr>
      </w:pPr>
    </w:p>
    <w:p>
      <w:pPr>
        <w:ind w:left="2400" w:right="360" w:hanging="527"/>
        <w:spacing w:after="0" w:line="246" w:lineRule="auto"/>
        <w:tabs>
          <w:tab w:leader="none" w:pos="2400" w:val="left"/>
        </w:tabs>
        <w:numPr>
          <w:ilvl w:val="0"/>
          <w:numId w:val="18"/>
        </w:numPr>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Employment Letter dated July 27, 2006 between</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Acuity Brands, Inc. and Mark A. Black.</w:t>
        </w:r>
      </w:hyperlink>
    </w:p>
    <w:p>
      <w:pPr>
        <w:spacing w:after="0" w:line="237" w:lineRule="exact"/>
        <w:rPr>
          <w:rFonts w:ascii="Arial" w:cs="Arial" w:eastAsia="Arial" w:hAnsi="Arial"/>
          <w:sz w:val="18"/>
          <w:szCs w:val="18"/>
          <w:u w:val="single" w:color="auto"/>
          <w:color w:val="0000FF"/>
        </w:rPr>
      </w:pPr>
    </w:p>
    <w:p>
      <w:pPr>
        <w:ind w:left="2400" w:right="20" w:hanging="527"/>
        <w:spacing w:after="0"/>
        <w:tabs>
          <w:tab w:leader="none" w:pos="2400" w:val="left"/>
        </w:tabs>
        <w:numPr>
          <w:ilvl w:val="0"/>
          <w:numId w:val="18"/>
        </w:numPr>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Severance Agreement dated November 19, 2008, by</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and between Acuity Brands Lighting, Inc. and Mark</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A. Black.</w:t>
        </w:r>
      </w:hyperlink>
    </w:p>
    <w:p>
      <w:pPr>
        <w:spacing w:after="0" w:line="40" w:lineRule="exact"/>
        <w:rPr>
          <w:rFonts w:ascii="Arial" w:cs="Arial" w:eastAsia="Arial" w:hAnsi="Arial"/>
          <w:sz w:val="18"/>
          <w:szCs w:val="18"/>
          <w:u w:val="single" w:color="auto"/>
          <w:color w:val="0000FF"/>
        </w:rPr>
      </w:pPr>
    </w:p>
    <w:p>
      <w:pPr>
        <w:ind w:left="2400" w:right="40" w:hanging="527"/>
        <w:spacing w:after="0"/>
        <w:tabs>
          <w:tab w:leader="none" w:pos="2400" w:val="left"/>
        </w:tabs>
        <w:numPr>
          <w:ilvl w:val="0"/>
          <w:numId w:val="18"/>
        </w:numPr>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Amendment No. 1 to Acuity Brands, Inc. Amended</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Brands, Inc. and Mark A. Black.</w:t>
        </w:r>
      </w:hyperlink>
    </w:p>
    <w:p>
      <w:pPr>
        <w:spacing w:after="0" w:line="243" w:lineRule="exact"/>
        <w:rPr>
          <w:rFonts w:ascii="Arial" w:cs="Arial" w:eastAsia="Arial" w:hAnsi="Arial"/>
          <w:sz w:val="18"/>
          <w:szCs w:val="18"/>
          <w:u w:val="single" w:color="auto"/>
          <w:color w:val="0000FF"/>
        </w:rPr>
      </w:pPr>
    </w:p>
    <w:p>
      <w:pPr>
        <w:ind w:left="2400" w:right="40" w:hanging="527"/>
        <w:spacing w:after="0"/>
        <w:tabs>
          <w:tab w:leader="none" w:pos="2400" w:val="left"/>
        </w:tabs>
        <w:numPr>
          <w:ilvl w:val="0"/>
          <w:numId w:val="18"/>
        </w:numPr>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Amendment No. 2 to Acuity Brands, Inc. Amended</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Brands, Inc. and Mark A. Black.</w:t>
        </w:r>
      </w:hyperlink>
    </w:p>
    <w:p>
      <w:pPr>
        <w:spacing w:after="0" w:line="40" w:lineRule="exact"/>
        <w:rPr>
          <w:rFonts w:ascii="Arial" w:cs="Arial" w:eastAsia="Arial" w:hAnsi="Arial"/>
          <w:sz w:val="18"/>
          <w:szCs w:val="18"/>
          <w:u w:val="single" w:color="auto"/>
          <w:color w:val="0000FF"/>
        </w:rPr>
      </w:pPr>
    </w:p>
    <w:p>
      <w:pPr>
        <w:ind w:left="2400" w:right="40" w:hanging="527"/>
        <w:spacing w:after="0"/>
        <w:tabs>
          <w:tab w:leader="none" w:pos="2400" w:val="left"/>
        </w:tabs>
        <w:numPr>
          <w:ilvl w:val="0"/>
          <w:numId w:val="18"/>
        </w:numPr>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Amendment No. 3 to Acuity Brands, Inc. Amended</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Brands, Inc. and Mark A. Black.</w:t>
        </w:r>
      </w:hyperlink>
    </w:p>
    <w:p>
      <w:pPr>
        <w:spacing w:after="0" w:line="243" w:lineRule="exact"/>
        <w:rPr>
          <w:rFonts w:ascii="Arial" w:cs="Arial" w:eastAsia="Arial" w:hAnsi="Arial"/>
          <w:sz w:val="18"/>
          <w:szCs w:val="18"/>
          <w:u w:val="single" w:color="auto"/>
          <w:color w:val="0000FF"/>
        </w:rPr>
      </w:pPr>
    </w:p>
    <w:p>
      <w:pPr>
        <w:ind w:left="2400" w:right="40" w:hanging="527"/>
        <w:spacing w:after="0"/>
        <w:tabs>
          <w:tab w:leader="none" w:pos="2400" w:val="left"/>
        </w:tabs>
        <w:numPr>
          <w:ilvl w:val="0"/>
          <w:numId w:val="18"/>
        </w:numPr>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Amendment No. 4 to Acuity Brands, Inc. Amended</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Brands, Inc. and Mark A. Black.</w:t>
        </w:r>
      </w:hyperlink>
    </w:p>
    <w:p>
      <w:pPr>
        <w:spacing w:after="0" w:line="243" w:lineRule="exact"/>
        <w:rPr>
          <w:rFonts w:ascii="Arial" w:cs="Arial" w:eastAsia="Arial" w:hAnsi="Arial"/>
          <w:sz w:val="18"/>
          <w:szCs w:val="18"/>
          <w:u w:val="single" w:color="auto"/>
          <w:color w:val="0000FF"/>
        </w:rPr>
      </w:pPr>
    </w:p>
    <w:p>
      <w:pPr>
        <w:ind w:left="2400" w:right="40" w:hanging="527"/>
        <w:spacing w:after="0"/>
        <w:tabs>
          <w:tab w:leader="none" w:pos="2400" w:val="left"/>
        </w:tabs>
        <w:numPr>
          <w:ilvl w:val="0"/>
          <w:numId w:val="18"/>
        </w:numPr>
        <w:rPr>
          <w:rFonts w:ascii="Arial" w:cs="Arial" w:eastAsia="Arial" w:hAnsi="Arial"/>
          <w:sz w:val="18"/>
          <w:szCs w:val="18"/>
          <w:u w:val="single" w:color="auto"/>
          <w:color w:val="0000FF"/>
        </w:rPr>
      </w:pPr>
      <w:hyperlink r:id="rId129">
        <w:r>
          <w:rPr>
            <w:rFonts w:ascii="Arial" w:cs="Arial" w:eastAsia="Arial" w:hAnsi="Arial"/>
            <w:sz w:val="18"/>
            <w:szCs w:val="18"/>
            <w:u w:val="single" w:color="auto"/>
            <w:color w:val="0000FF"/>
          </w:rPr>
          <w:t>Amendment No. 5 to Acuity Brands, Inc. Amended</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Brands, Inc. and Mark A. Black.</w:t>
        </w:r>
      </w:hyperlink>
    </w:p>
    <w:p>
      <w:pPr>
        <w:spacing w:after="0" w:line="243" w:lineRule="exact"/>
        <w:rPr>
          <w:rFonts w:ascii="Arial" w:cs="Arial" w:eastAsia="Arial" w:hAnsi="Arial"/>
          <w:sz w:val="18"/>
          <w:szCs w:val="18"/>
          <w:u w:val="single" w:color="auto"/>
          <w:color w:val="0000FF"/>
        </w:rPr>
      </w:pPr>
    </w:p>
    <w:p>
      <w:pPr>
        <w:ind w:left="2400" w:right="40" w:hanging="527"/>
        <w:spacing w:after="0"/>
        <w:tabs>
          <w:tab w:leader="none" w:pos="2400" w:val="left"/>
        </w:tabs>
        <w:numPr>
          <w:ilvl w:val="0"/>
          <w:numId w:val="18"/>
        </w:numPr>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Amendment No. 6 to Acuity Brands, Inc. Amended</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Brands, Inc. and Mark A. Black.</w:t>
        </w:r>
      </w:hyperlink>
    </w:p>
    <w:p>
      <w:pPr>
        <w:spacing w:after="0" w:line="243" w:lineRule="exact"/>
        <w:rPr>
          <w:rFonts w:ascii="Arial" w:cs="Arial" w:eastAsia="Arial" w:hAnsi="Arial"/>
          <w:sz w:val="18"/>
          <w:szCs w:val="18"/>
          <w:u w:val="single" w:color="auto"/>
          <w:color w:val="0000FF"/>
        </w:rPr>
      </w:pPr>
    </w:p>
    <w:p>
      <w:pPr>
        <w:ind w:left="2400" w:hanging="527"/>
        <w:spacing w:after="0" w:line="246" w:lineRule="auto"/>
        <w:tabs>
          <w:tab w:leader="none" w:pos="2400" w:val="left"/>
        </w:tabs>
        <w:numPr>
          <w:ilvl w:val="0"/>
          <w:numId w:val="18"/>
        </w:numPr>
        <w:rPr>
          <w:rFonts w:ascii="Arial" w:cs="Arial" w:eastAsia="Arial" w:hAnsi="Arial"/>
          <w:sz w:val="18"/>
          <w:szCs w:val="18"/>
          <w:color w:val="0000FF"/>
        </w:rPr>
      </w:pPr>
      <w:hyperlink r:id="rId131">
        <w:r>
          <w:rPr>
            <w:rFonts w:ascii="Arial" w:cs="Arial" w:eastAsia="Arial" w:hAnsi="Arial"/>
            <w:sz w:val="18"/>
            <w:szCs w:val="18"/>
            <w:u w:val="single" w:color="auto"/>
            <w:color w:val="0000FF"/>
          </w:rPr>
          <w:t>General Release Agreement between Acuity Brands,</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Inc. and Mark A. Black dated May 24, 2018</w:t>
        </w:r>
        <w:r>
          <w:rPr>
            <w:rFonts w:ascii="Arial" w:cs="Arial" w:eastAsia="Arial" w:hAnsi="Arial"/>
            <w:sz w:val="18"/>
            <w:szCs w:val="18"/>
            <w:color w:val="000000"/>
          </w:rPr>
          <w:t>.</w:t>
        </w:r>
      </w:hyperlink>
    </w:p>
    <w:p>
      <w:pPr>
        <w:spacing w:after="0" w:line="200" w:lineRule="exact"/>
        <w:rPr>
          <w:rFonts w:ascii="Arial" w:cs="Arial" w:eastAsia="Arial" w:hAnsi="Arial"/>
          <w:sz w:val="18"/>
          <w:szCs w:val="18"/>
          <w:color w:val="0000FF"/>
        </w:rPr>
      </w:pPr>
    </w:p>
    <w:p>
      <w:pPr>
        <w:spacing w:after="0" w:line="239" w:lineRule="exact"/>
        <w:rPr>
          <w:rFonts w:ascii="Arial" w:cs="Arial" w:eastAsia="Arial" w:hAnsi="Arial"/>
          <w:sz w:val="18"/>
          <w:szCs w:val="18"/>
          <w:color w:val="0000FF"/>
        </w:rPr>
      </w:pPr>
    </w:p>
    <w:p>
      <w:pPr>
        <w:ind w:left="2400" w:right="840" w:hanging="527"/>
        <w:spacing w:after="0" w:line="246" w:lineRule="auto"/>
        <w:tabs>
          <w:tab w:leader="none" w:pos="2400" w:val="left"/>
        </w:tabs>
        <w:numPr>
          <w:ilvl w:val="0"/>
          <w:numId w:val="18"/>
        </w:numPr>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Amended and Restated Change in Control</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Agreement.</w:t>
        </w:r>
      </w:hyperlink>
    </w:p>
    <w:p>
      <w:pPr>
        <w:spacing w:after="0" w:line="237" w:lineRule="exact"/>
        <w:rPr>
          <w:rFonts w:ascii="Arial" w:cs="Arial" w:eastAsia="Arial" w:hAnsi="Arial"/>
          <w:sz w:val="18"/>
          <w:szCs w:val="18"/>
          <w:u w:val="single" w:color="auto"/>
          <w:color w:val="0000FF"/>
        </w:rPr>
      </w:pPr>
    </w:p>
    <w:p>
      <w:pPr>
        <w:ind w:left="2400" w:right="840" w:hanging="527"/>
        <w:spacing w:after="0" w:line="246" w:lineRule="auto"/>
        <w:tabs>
          <w:tab w:leader="none" w:pos="2400" w:val="left"/>
        </w:tabs>
        <w:numPr>
          <w:ilvl w:val="0"/>
          <w:numId w:val="18"/>
        </w:numPr>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Amended and Restated Change in Control</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Agreement.</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520"/>
        <w:spacing w:after="0"/>
        <w:rPr>
          <w:sz w:val="20"/>
          <w:szCs w:val="20"/>
          <w:color w:val="auto"/>
        </w:rPr>
      </w:pPr>
      <w:r>
        <w:rPr>
          <w:rFonts w:ascii="Arial" w:cs="Arial" w:eastAsia="Arial" w:hAnsi="Arial"/>
          <w:sz w:val="18"/>
          <w:szCs w:val="18"/>
          <w:color w:val="auto"/>
        </w:rPr>
        <w:t>87</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200" w:lineRule="exact"/>
        <w:rPr>
          <w:rFonts w:ascii="Arial" w:cs="Arial" w:eastAsia="Arial" w:hAnsi="Arial"/>
          <w:sz w:val="18"/>
          <w:szCs w:val="18"/>
          <w:color w:val="auto"/>
        </w:rPr>
      </w:pPr>
    </w:p>
    <w:p>
      <w:pPr>
        <w:spacing w:after="0" w:line="37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Reference is made to Exhibit 99.1 of registrant’s Form 8-K filed with the Commission on December 2, 2005, which is incorporated herein by reference.</w:t>
      </w:r>
    </w:p>
    <w:p>
      <w:pPr>
        <w:spacing w:after="0" w:line="41" w:lineRule="exact"/>
        <w:rPr>
          <w:rFonts w:ascii="Arial" w:cs="Arial" w:eastAsia="Arial" w:hAnsi="Arial"/>
          <w:sz w:val="18"/>
          <w:szCs w:val="18"/>
          <w:color w:val="auto"/>
        </w:rPr>
      </w:pPr>
    </w:p>
    <w:p>
      <w:pPr>
        <w:ind w:right="20"/>
        <w:spacing w:after="0" w:line="238" w:lineRule="auto"/>
        <w:rPr>
          <w:sz w:val="20"/>
          <w:szCs w:val="20"/>
          <w:color w:val="auto"/>
        </w:rPr>
      </w:pPr>
      <w:r>
        <w:rPr>
          <w:rFonts w:ascii="Arial" w:cs="Arial" w:eastAsia="Arial" w:hAnsi="Arial"/>
          <w:sz w:val="18"/>
          <w:szCs w:val="18"/>
          <w:color w:val="auto"/>
        </w:rPr>
        <w:t>Reference is made to Exhibit A of the registrant’s Proxy Statement as filed with the Commission on November 16, 2007, which is incorporated herein by reference.</w:t>
      </w:r>
    </w:p>
    <w:p>
      <w:pPr>
        <w:spacing w:after="0" w:line="43" w:lineRule="exact"/>
        <w:rPr>
          <w:rFonts w:ascii="Arial" w:cs="Arial" w:eastAsia="Arial" w:hAnsi="Arial"/>
          <w:sz w:val="18"/>
          <w:szCs w:val="18"/>
          <w:color w:val="auto"/>
        </w:rPr>
      </w:pPr>
    </w:p>
    <w:p>
      <w:pPr>
        <w:ind w:right="60"/>
        <w:spacing w:after="0" w:line="261" w:lineRule="auto"/>
        <w:rPr>
          <w:sz w:val="20"/>
          <w:szCs w:val="20"/>
          <w:color w:val="auto"/>
        </w:rPr>
      </w:pPr>
      <w:r>
        <w:rPr>
          <w:rFonts w:ascii="Arial" w:cs="Arial" w:eastAsia="Arial" w:hAnsi="Arial"/>
          <w:sz w:val="17"/>
          <w:szCs w:val="17"/>
          <w:color w:val="auto"/>
        </w:rPr>
        <w:t>Reference is made to Exhibit 99.1 of the registrant’s Form 8-K as filed with the Commission on January 4, 2008, which is incorporated herein by reference.</w:t>
      </w:r>
    </w:p>
    <w:p>
      <w:pPr>
        <w:spacing w:after="0" w:line="24" w:lineRule="exact"/>
        <w:rPr>
          <w:rFonts w:ascii="Arial" w:cs="Arial" w:eastAsia="Arial" w:hAnsi="Arial"/>
          <w:sz w:val="18"/>
          <w:szCs w:val="18"/>
          <w:color w:val="auto"/>
        </w:rPr>
      </w:pPr>
    </w:p>
    <w:p>
      <w:pPr>
        <w:ind w:right="120"/>
        <w:spacing w:after="0"/>
        <w:rPr>
          <w:sz w:val="20"/>
          <w:szCs w:val="20"/>
          <w:color w:val="auto"/>
        </w:rPr>
      </w:pPr>
      <w:r>
        <w:rPr>
          <w:rFonts w:ascii="Arial" w:cs="Arial" w:eastAsia="Arial" w:hAnsi="Arial"/>
          <w:sz w:val="18"/>
          <w:szCs w:val="18"/>
          <w:color w:val="auto"/>
        </w:rPr>
        <w:t>Reference is made to Exhibit 10 (i) of registrant’s Form 10-Q as filed with the Commission on April 8, 2009, which is incorporated herein by reference.</w:t>
      </w:r>
    </w:p>
    <w:p>
      <w:pPr>
        <w:spacing w:after="0" w:line="41" w:lineRule="exact"/>
        <w:rPr>
          <w:rFonts w:ascii="Arial" w:cs="Arial" w:eastAsia="Arial" w:hAnsi="Arial"/>
          <w:sz w:val="18"/>
          <w:szCs w:val="18"/>
          <w:color w:val="auto"/>
        </w:rPr>
      </w:pPr>
    </w:p>
    <w:p>
      <w:pPr>
        <w:ind w:right="120"/>
        <w:spacing w:after="0"/>
        <w:rPr>
          <w:sz w:val="20"/>
          <w:szCs w:val="20"/>
          <w:color w:val="auto"/>
        </w:rPr>
      </w:pPr>
      <w:r>
        <w:rPr>
          <w:rFonts w:ascii="Arial" w:cs="Arial" w:eastAsia="Arial" w:hAnsi="Arial"/>
          <w:sz w:val="18"/>
          <w:szCs w:val="18"/>
          <w:color w:val="auto"/>
        </w:rPr>
        <w:t>Reference is made to Exhibit 10 (j) of registrant’s Form 10-Q as filed with the Commission on April 8, 2009, which is incorporated herein by reference.</w:t>
      </w:r>
    </w:p>
    <w:p>
      <w:pPr>
        <w:spacing w:after="0" w:line="41" w:lineRule="exact"/>
        <w:rPr>
          <w:rFonts w:ascii="Arial" w:cs="Arial" w:eastAsia="Arial" w:hAnsi="Arial"/>
          <w:sz w:val="18"/>
          <w:szCs w:val="18"/>
          <w:color w:val="auto"/>
        </w:rPr>
      </w:pPr>
    </w:p>
    <w:p>
      <w:pPr>
        <w:ind w:right="120"/>
        <w:spacing w:after="0"/>
        <w:rPr>
          <w:sz w:val="20"/>
          <w:szCs w:val="20"/>
          <w:color w:val="auto"/>
        </w:rPr>
      </w:pPr>
      <w:r>
        <w:rPr>
          <w:rFonts w:ascii="Arial" w:cs="Arial" w:eastAsia="Arial" w:hAnsi="Arial"/>
          <w:sz w:val="18"/>
          <w:szCs w:val="18"/>
          <w:color w:val="auto"/>
        </w:rPr>
        <w:t>Reference is made to Exhibit 10 (f) of registrant’s Form 10-Q as filed with the Commission on April 8, 2009, which is incorporated herein by reference.</w:t>
      </w:r>
    </w:p>
    <w:p>
      <w:pPr>
        <w:spacing w:after="0" w:line="41" w:lineRule="exact"/>
        <w:rPr>
          <w:rFonts w:ascii="Arial" w:cs="Arial" w:eastAsia="Arial" w:hAnsi="Arial"/>
          <w:sz w:val="18"/>
          <w:szCs w:val="18"/>
          <w:color w:val="auto"/>
        </w:rPr>
      </w:pPr>
    </w:p>
    <w:p>
      <w:pPr>
        <w:ind w:right="60"/>
        <w:spacing w:after="0"/>
        <w:rPr>
          <w:sz w:val="20"/>
          <w:szCs w:val="20"/>
          <w:color w:val="auto"/>
        </w:rPr>
      </w:pPr>
      <w:r>
        <w:rPr>
          <w:rFonts w:ascii="Arial" w:cs="Arial" w:eastAsia="Arial" w:hAnsi="Arial"/>
          <w:sz w:val="18"/>
          <w:szCs w:val="18"/>
          <w:color w:val="auto"/>
        </w:rPr>
        <w:t>Reference is made to Exhibit 10(iii)A(1) of the registrant's Form 10-Q as filed with the Commission on January 9, 2015.</w:t>
      </w:r>
    </w:p>
    <w:p>
      <w:pPr>
        <w:spacing w:after="0" w:line="41" w:lineRule="exact"/>
        <w:rPr>
          <w:rFonts w:ascii="Arial" w:cs="Arial" w:eastAsia="Arial" w:hAnsi="Arial"/>
          <w:sz w:val="18"/>
          <w:szCs w:val="18"/>
          <w:color w:val="auto"/>
        </w:rPr>
      </w:pPr>
    </w:p>
    <w:p>
      <w:pPr>
        <w:ind w:right="80"/>
        <w:spacing w:after="0" w:line="238" w:lineRule="auto"/>
        <w:rPr>
          <w:sz w:val="20"/>
          <w:szCs w:val="20"/>
          <w:color w:val="auto"/>
        </w:rPr>
      </w:pPr>
      <w:r>
        <w:rPr>
          <w:rFonts w:ascii="Arial" w:cs="Arial" w:eastAsia="Arial" w:hAnsi="Arial"/>
          <w:sz w:val="18"/>
          <w:szCs w:val="18"/>
          <w:color w:val="auto"/>
        </w:rPr>
        <w:t>Reference is made to Exhibit 10(iii)A(79) of the registrant’s Form 10-K as filed with the Commission on October 30, 2009, which is incorporated herein by reference.</w:t>
      </w:r>
    </w:p>
    <w:p>
      <w:pPr>
        <w:spacing w:after="0" w:line="43" w:lineRule="exact"/>
        <w:rPr>
          <w:rFonts w:ascii="Arial" w:cs="Arial" w:eastAsia="Arial" w:hAnsi="Arial"/>
          <w:sz w:val="18"/>
          <w:szCs w:val="18"/>
          <w:color w:val="auto"/>
        </w:rPr>
      </w:pPr>
    </w:p>
    <w:p>
      <w:pPr>
        <w:ind w:right="40"/>
        <w:spacing w:after="0" w:line="261" w:lineRule="auto"/>
        <w:rPr>
          <w:sz w:val="20"/>
          <w:szCs w:val="20"/>
          <w:color w:val="auto"/>
        </w:rPr>
      </w:pPr>
      <w:r>
        <w:rPr>
          <w:rFonts w:ascii="Arial" w:cs="Arial" w:eastAsia="Arial" w:hAnsi="Arial"/>
          <w:sz w:val="17"/>
          <w:szCs w:val="17"/>
          <w:color w:val="auto"/>
        </w:rPr>
        <w:t>Reference is made to Exhibit 10 (d) of registrant’s Form 10-Q as filed with the Commission on March 31, 2010, which is incorporated herein by reference.</w:t>
      </w:r>
    </w:p>
    <w:p>
      <w:pPr>
        <w:spacing w:after="0" w:line="24" w:lineRule="exact"/>
        <w:rPr>
          <w:rFonts w:ascii="Arial" w:cs="Arial" w:eastAsia="Arial" w:hAnsi="Arial"/>
          <w:sz w:val="18"/>
          <w:szCs w:val="18"/>
          <w:color w:val="auto"/>
        </w:rPr>
      </w:pPr>
    </w:p>
    <w:p>
      <w:pPr>
        <w:ind w:right="60"/>
        <w:spacing w:after="0" w:line="238" w:lineRule="auto"/>
        <w:rPr>
          <w:sz w:val="20"/>
          <w:szCs w:val="20"/>
          <w:color w:val="auto"/>
        </w:rPr>
      </w:pPr>
      <w:r>
        <w:rPr>
          <w:rFonts w:ascii="Arial" w:cs="Arial" w:eastAsia="Arial" w:hAnsi="Arial"/>
          <w:sz w:val="18"/>
          <w:szCs w:val="18"/>
          <w:color w:val="auto"/>
        </w:rPr>
        <w:t>Reference is made to Exhibit 10(iii)A(3) of the registrant's Form 10-Q as filed with the Commission on April 2, 2014, which is incorporated herein by reference.</w:t>
      </w:r>
    </w:p>
    <w:p>
      <w:pPr>
        <w:spacing w:after="0" w:line="43" w:lineRule="exact"/>
        <w:rPr>
          <w:rFonts w:ascii="Arial" w:cs="Arial" w:eastAsia="Arial" w:hAnsi="Arial"/>
          <w:sz w:val="18"/>
          <w:szCs w:val="18"/>
          <w:color w:val="auto"/>
        </w:rPr>
      </w:pPr>
    </w:p>
    <w:p>
      <w:pPr>
        <w:ind w:right="80"/>
        <w:spacing w:after="0" w:line="238" w:lineRule="auto"/>
        <w:rPr>
          <w:sz w:val="20"/>
          <w:szCs w:val="20"/>
          <w:color w:val="auto"/>
        </w:rPr>
      </w:pPr>
      <w:r>
        <w:rPr>
          <w:rFonts w:ascii="Arial" w:cs="Arial" w:eastAsia="Arial" w:hAnsi="Arial"/>
          <w:sz w:val="18"/>
          <w:szCs w:val="18"/>
          <w:color w:val="auto"/>
        </w:rPr>
        <w:t>Reference is made to Exhibit 10(iii)A(58) of the registrant's Form 10-K as filed with the Commission on October 29, 2014, which is incorporated herein by reference.</w:t>
      </w:r>
    </w:p>
    <w:p>
      <w:pPr>
        <w:spacing w:after="0" w:line="43" w:lineRule="exact"/>
        <w:rPr>
          <w:rFonts w:ascii="Arial" w:cs="Arial" w:eastAsia="Arial" w:hAnsi="Arial"/>
          <w:sz w:val="18"/>
          <w:szCs w:val="18"/>
          <w:color w:val="auto"/>
        </w:rPr>
      </w:pPr>
    </w:p>
    <w:p>
      <w:pPr>
        <w:ind w:right="80"/>
        <w:spacing w:after="0" w:line="238" w:lineRule="auto"/>
        <w:rPr>
          <w:sz w:val="20"/>
          <w:szCs w:val="20"/>
          <w:color w:val="auto"/>
        </w:rPr>
      </w:pPr>
      <w:r>
        <w:rPr>
          <w:rFonts w:ascii="Arial" w:cs="Arial" w:eastAsia="Arial" w:hAnsi="Arial"/>
          <w:sz w:val="18"/>
          <w:szCs w:val="18"/>
          <w:color w:val="auto"/>
        </w:rPr>
        <w:t>Reference is made to Exhibit 10(iii)A(57) of the registrant's Form 10-K as filed with the Commission on October 27, 2015, which is incorporated herein by reference.</w:t>
      </w:r>
    </w:p>
    <w:p>
      <w:pPr>
        <w:spacing w:after="0" w:line="43" w:lineRule="exact"/>
        <w:rPr>
          <w:rFonts w:ascii="Arial" w:cs="Arial" w:eastAsia="Arial" w:hAnsi="Arial"/>
          <w:sz w:val="18"/>
          <w:szCs w:val="18"/>
          <w:color w:val="auto"/>
        </w:rPr>
      </w:pPr>
    </w:p>
    <w:p>
      <w:pPr>
        <w:ind w:right="80"/>
        <w:spacing w:after="0" w:line="238" w:lineRule="auto"/>
        <w:rPr>
          <w:sz w:val="20"/>
          <w:szCs w:val="20"/>
          <w:color w:val="auto"/>
        </w:rPr>
      </w:pPr>
      <w:r>
        <w:rPr>
          <w:rFonts w:ascii="Arial" w:cs="Arial" w:eastAsia="Arial" w:hAnsi="Arial"/>
          <w:sz w:val="18"/>
          <w:szCs w:val="18"/>
          <w:color w:val="auto"/>
        </w:rPr>
        <w:t>Reference is made to Exhibit 10(iii)A(59) of the registrant's Form 10-K as filed with the Commission on October 27, 2016, which is incorporated herein by reference.</w:t>
      </w:r>
    </w:p>
    <w:p>
      <w:pPr>
        <w:spacing w:after="0" w:line="43" w:lineRule="exact"/>
        <w:rPr>
          <w:rFonts w:ascii="Arial" w:cs="Arial" w:eastAsia="Arial" w:hAnsi="Arial"/>
          <w:sz w:val="18"/>
          <w:szCs w:val="18"/>
          <w:color w:val="auto"/>
        </w:rPr>
      </w:pPr>
    </w:p>
    <w:p>
      <w:pPr>
        <w:ind w:right="80"/>
        <w:spacing w:after="0" w:line="238" w:lineRule="auto"/>
        <w:rPr>
          <w:sz w:val="20"/>
          <w:szCs w:val="20"/>
          <w:color w:val="auto"/>
        </w:rPr>
      </w:pPr>
      <w:r>
        <w:rPr>
          <w:rFonts w:ascii="Arial" w:cs="Arial" w:eastAsia="Arial" w:hAnsi="Arial"/>
          <w:sz w:val="18"/>
          <w:szCs w:val="18"/>
          <w:color w:val="auto"/>
        </w:rPr>
        <w:t>Reference is made to Exhibit 10(iii)A(58) of the registrant’s Form 10-K as filed with the Commission on October 25, 2018, which is incorporated herein by reference.</w:t>
      </w:r>
    </w:p>
    <w:p>
      <w:pPr>
        <w:spacing w:after="0" w:line="43" w:lineRule="exact"/>
        <w:rPr>
          <w:rFonts w:ascii="Arial" w:cs="Arial" w:eastAsia="Arial" w:hAnsi="Arial"/>
          <w:sz w:val="18"/>
          <w:szCs w:val="18"/>
          <w:color w:val="auto"/>
        </w:rPr>
      </w:pPr>
    </w:p>
    <w:p>
      <w:pPr>
        <w:ind w:right="60"/>
        <w:spacing w:after="0"/>
        <w:rPr>
          <w:sz w:val="20"/>
          <w:szCs w:val="20"/>
          <w:color w:val="auto"/>
        </w:rPr>
      </w:pPr>
      <w:r>
        <w:rPr>
          <w:rFonts w:ascii="Arial" w:cs="Arial" w:eastAsia="Arial" w:hAnsi="Arial"/>
          <w:sz w:val="18"/>
          <w:szCs w:val="18"/>
          <w:color w:val="auto"/>
        </w:rPr>
        <w:t>Reference is made to Exhibit 10(iii)A(2) of the registrant's Form 10-Q as filed with the Commission on January 9, 2015.</w:t>
      </w:r>
    </w:p>
    <w:p>
      <w:pPr>
        <w:spacing w:after="0" w:line="41" w:lineRule="exact"/>
        <w:rPr>
          <w:rFonts w:ascii="Arial" w:cs="Arial" w:eastAsia="Arial" w:hAnsi="Arial"/>
          <w:sz w:val="18"/>
          <w:szCs w:val="18"/>
          <w:color w:val="auto"/>
        </w:rPr>
      </w:pPr>
    </w:p>
    <w:p>
      <w:pPr>
        <w:ind w:right="80"/>
        <w:spacing w:after="0" w:line="238" w:lineRule="auto"/>
        <w:rPr>
          <w:sz w:val="20"/>
          <w:szCs w:val="20"/>
          <w:color w:val="auto"/>
        </w:rPr>
      </w:pPr>
      <w:r>
        <w:rPr>
          <w:rFonts w:ascii="Arial" w:cs="Arial" w:eastAsia="Arial" w:hAnsi="Arial"/>
          <w:sz w:val="18"/>
          <w:szCs w:val="18"/>
          <w:color w:val="auto"/>
        </w:rPr>
        <w:t>Reference is made to Exhibit 10(iii)A(84) of the registrant’s Form 10-K as filed with the Commission on October 30, 2009, which is incorporated herein by reference.</w:t>
      </w:r>
    </w:p>
    <w:p>
      <w:pPr>
        <w:sectPr>
          <w:pgSz w:w="11900" w:h="16838" w:orient="portrait"/>
          <w:cols w:equalWidth="0" w:num="2">
            <w:col w:w="6620" w:space="380"/>
            <w:col w:w="4180"/>
          </w:cols>
          <w:pgMar w:left="320" w:top="260" w:right="39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2400" w:right="80" w:hanging="527"/>
        <w:spacing w:after="0" w:line="246" w:lineRule="auto"/>
        <w:tabs>
          <w:tab w:leader="none" w:pos="2400" w:val="left"/>
        </w:tabs>
        <w:numPr>
          <w:ilvl w:val="0"/>
          <w:numId w:val="19"/>
        </w:numPr>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Employment Letter between Acuity Brands, Inc. and</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Laurent J. Vernerey dated September 6, 2017.</w:t>
        </w:r>
      </w:hyperlink>
    </w:p>
    <w:p>
      <w:pPr>
        <w:spacing w:after="0" w:line="200" w:lineRule="exact"/>
        <w:rPr>
          <w:rFonts w:ascii="Arial" w:cs="Arial" w:eastAsia="Arial" w:hAnsi="Arial"/>
          <w:sz w:val="18"/>
          <w:szCs w:val="18"/>
          <w:u w:val="single" w:color="auto"/>
          <w:color w:val="0000FF"/>
        </w:rPr>
      </w:pPr>
    </w:p>
    <w:p>
      <w:pPr>
        <w:spacing w:after="0" w:line="239" w:lineRule="exact"/>
        <w:rPr>
          <w:rFonts w:ascii="Arial" w:cs="Arial" w:eastAsia="Arial" w:hAnsi="Arial"/>
          <w:sz w:val="18"/>
          <w:szCs w:val="18"/>
          <w:u w:val="single" w:color="auto"/>
          <w:color w:val="0000FF"/>
        </w:rPr>
      </w:pPr>
    </w:p>
    <w:p>
      <w:pPr>
        <w:ind w:left="2400" w:right="100" w:hanging="527"/>
        <w:spacing w:after="0"/>
        <w:tabs>
          <w:tab w:leader="none" w:pos="2400" w:val="left"/>
        </w:tabs>
        <w:numPr>
          <w:ilvl w:val="0"/>
          <w:numId w:val="19"/>
        </w:numPr>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Severance Agreement by and between Acuity</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Brands, Inc. and Laurent J. Vernerey dated January</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5, 2018.</w:t>
        </w:r>
      </w:hyperlink>
    </w:p>
    <w:p>
      <w:pPr>
        <w:spacing w:after="0" w:line="243" w:lineRule="exact"/>
        <w:rPr>
          <w:rFonts w:ascii="Arial" w:cs="Arial" w:eastAsia="Arial" w:hAnsi="Arial"/>
          <w:sz w:val="18"/>
          <w:szCs w:val="18"/>
          <w:u w:val="single" w:color="auto"/>
          <w:color w:val="0000FF"/>
        </w:rPr>
      </w:pPr>
    </w:p>
    <w:p>
      <w:pPr>
        <w:jc w:val="both"/>
        <w:ind w:left="2400" w:right="60" w:hanging="527"/>
        <w:spacing w:after="0" w:line="248" w:lineRule="auto"/>
        <w:tabs>
          <w:tab w:leader="none" w:pos="2400" w:val="left"/>
        </w:tabs>
        <w:numPr>
          <w:ilvl w:val="0"/>
          <w:numId w:val="19"/>
        </w:numPr>
        <w:rPr>
          <w:rFonts w:ascii="Arial" w:cs="Arial" w:eastAsia="Arial" w:hAnsi="Arial"/>
          <w:sz w:val="17"/>
          <w:szCs w:val="17"/>
          <w:u w:val="single" w:color="auto"/>
          <w:color w:val="0000FF"/>
        </w:rPr>
      </w:pPr>
      <w:hyperlink r:id="rId136">
        <w:r>
          <w:rPr>
            <w:rFonts w:ascii="Arial" w:cs="Arial" w:eastAsia="Arial" w:hAnsi="Arial"/>
            <w:sz w:val="17"/>
            <w:szCs w:val="17"/>
            <w:u w:val="single" w:color="auto"/>
            <w:color w:val="0000FF"/>
          </w:rPr>
          <w:t>Amendment No. 1 to Acuity Brands, Inc. Severance</w:t>
        </w:r>
      </w:hyperlink>
      <w:r>
        <w:rPr>
          <w:rFonts w:ascii="Arial" w:cs="Arial" w:eastAsia="Arial" w:hAnsi="Arial"/>
          <w:sz w:val="17"/>
          <w:szCs w:val="17"/>
          <w:u w:val="single" w:color="auto"/>
          <w:color w:val="0000FF"/>
        </w:rPr>
        <w:t xml:space="preserve"> </w:t>
      </w:r>
      <w:hyperlink r:id="rId136">
        <w:r>
          <w:rPr>
            <w:rFonts w:ascii="Arial" w:cs="Arial" w:eastAsia="Arial" w:hAnsi="Arial"/>
            <w:sz w:val="17"/>
            <w:szCs w:val="17"/>
            <w:u w:val="single" w:color="auto"/>
            <w:color w:val="0000FF"/>
          </w:rPr>
          <w:t>Agreement between Acuity Brands, Inc. and Laurent</w:t>
        </w:r>
      </w:hyperlink>
    </w:p>
    <w:p>
      <w:pPr>
        <w:spacing w:after="0" w:line="1" w:lineRule="exact"/>
        <w:rPr>
          <w:rFonts w:ascii="Arial" w:cs="Arial" w:eastAsia="Arial" w:hAnsi="Arial"/>
          <w:sz w:val="17"/>
          <w:szCs w:val="17"/>
          <w:u w:val="single" w:color="auto"/>
          <w:color w:val="0000FF"/>
        </w:rPr>
      </w:pPr>
    </w:p>
    <w:p>
      <w:pPr>
        <w:ind w:left="2580" w:hanging="183"/>
        <w:spacing w:after="0"/>
        <w:tabs>
          <w:tab w:leader="none" w:pos="2580" w:val="left"/>
        </w:tabs>
        <w:numPr>
          <w:ilvl w:val="1"/>
          <w:numId w:val="19"/>
        </w:numPr>
        <w:rPr>
          <w:rFonts w:ascii="Arial" w:cs="Arial" w:eastAsia="Arial" w:hAnsi="Arial"/>
          <w:sz w:val="18"/>
          <w:szCs w:val="18"/>
          <w:u w:val="single" w:color="auto"/>
          <w:color w:val="0000FF"/>
        </w:rPr>
      </w:pPr>
      <w:hyperlink r:id="rId136">
        <w:r>
          <w:rPr>
            <w:rFonts w:ascii="Arial" w:cs="Arial" w:eastAsia="Arial" w:hAnsi="Arial"/>
            <w:sz w:val="18"/>
            <w:szCs w:val="18"/>
            <w:u w:val="single" w:color="auto"/>
            <w:color w:val="0000FF"/>
          </w:rPr>
          <w:t>Vernerey.</w:t>
        </w:r>
      </w:hyperlink>
    </w:p>
    <w:p>
      <w:pPr>
        <w:spacing w:after="0" w:line="49" w:lineRule="exact"/>
        <w:rPr>
          <w:rFonts w:ascii="Arial" w:cs="Arial" w:eastAsia="Arial" w:hAnsi="Arial"/>
          <w:sz w:val="18"/>
          <w:szCs w:val="18"/>
          <w:u w:val="single" w:color="auto"/>
          <w:color w:val="0000FF"/>
        </w:rPr>
      </w:pPr>
    </w:p>
    <w:p>
      <w:pPr>
        <w:ind w:left="2400" w:hanging="527"/>
        <w:spacing w:after="0"/>
        <w:tabs>
          <w:tab w:leader="none" w:pos="2400" w:val="left"/>
        </w:tabs>
        <w:numPr>
          <w:ilvl w:val="0"/>
          <w:numId w:val="19"/>
        </w:numPr>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Change in Control Agreement dated January 5, 2018</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by and between Acuity Brands, Inc. and Laurent J.</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Vernerey.</w:t>
        </w:r>
      </w:hyperlink>
    </w:p>
    <w:p>
      <w:pPr>
        <w:spacing w:after="0" w:line="243" w:lineRule="exact"/>
        <w:rPr>
          <w:rFonts w:ascii="Arial" w:cs="Arial" w:eastAsia="Arial" w:hAnsi="Arial"/>
          <w:sz w:val="18"/>
          <w:szCs w:val="18"/>
          <w:u w:val="single" w:color="auto"/>
          <w:color w:val="0000FF"/>
        </w:rPr>
      </w:pPr>
    </w:p>
    <w:p>
      <w:pPr>
        <w:ind w:left="2400" w:right="80" w:hanging="527"/>
        <w:spacing w:after="0" w:line="248" w:lineRule="auto"/>
        <w:tabs>
          <w:tab w:leader="none" w:pos="2400" w:val="left"/>
        </w:tabs>
        <w:numPr>
          <w:ilvl w:val="0"/>
          <w:numId w:val="19"/>
        </w:numPr>
        <w:rPr>
          <w:rFonts w:ascii="Arial" w:cs="Arial" w:eastAsia="Arial" w:hAnsi="Arial"/>
          <w:sz w:val="17"/>
          <w:szCs w:val="17"/>
          <w:u w:val="single" w:color="auto"/>
          <w:color w:val="0000FF"/>
        </w:rPr>
      </w:pPr>
      <w:hyperlink w:anchor="page100">
        <w:r>
          <w:rPr>
            <w:rFonts w:ascii="Arial" w:cs="Arial" w:eastAsia="Arial" w:hAnsi="Arial"/>
            <w:sz w:val="17"/>
            <w:szCs w:val="17"/>
            <w:u w:val="single" w:color="auto"/>
            <w:color w:val="0000FF"/>
          </w:rPr>
          <w:t>Change in Control Agreement dated March 28,</w:t>
        </w:r>
      </w:hyperlink>
      <w:r>
        <w:rPr>
          <w:rFonts w:ascii="Arial" w:cs="Arial" w:eastAsia="Arial" w:hAnsi="Arial"/>
          <w:sz w:val="17"/>
          <w:szCs w:val="17"/>
          <w:u w:val="single" w:color="auto"/>
          <w:color w:val="0000FF"/>
        </w:rPr>
        <w:t xml:space="preserve"> </w:t>
      </w:r>
      <w:hyperlink w:anchor="page100">
        <w:r>
          <w:rPr>
            <w:rFonts w:ascii="Arial" w:cs="Arial" w:eastAsia="Arial" w:hAnsi="Arial"/>
            <w:sz w:val="17"/>
            <w:szCs w:val="17"/>
            <w:u w:val="single" w:color="auto"/>
            <w:color w:val="0000FF"/>
          </w:rPr>
          <w:t>2018, by and between Acuity Brands, Inc. and Barry</w:t>
        </w:r>
      </w:hyperlink>
    </w:p>
    <w:p>
      <w:pPr>
        <w:spacing w:after="0" w:line="1" w:lineRule="exact"/>
        <w:rPr>
          <w:rFonts w:ascii="Arial" w:cs="Arial" w:eastAsia="Arial" w:hAnsi="Arial"/>
          <w:sz w:val="17"/>
          <w:szCs w:val="17"/>
          <w:u w:val="single" w:color="auto"/>
          <w:color w:val="0000FF"/>
        </w:rPr>
      </w:pPr>
    </w:p>
    <w:p>
      <w:pPr>
        <w:ind w:left="2620" w:hanging="223"/>
        <w:spacing w:after="0"/>
        <w:tabs>
          <w:tab w:leader="none" w:pos="2620" w:val="left"/>
        </w:tabs>
        <w:numPr>
          <w:ilvl w:val="1"/>
          <w:numId w:val="20"/>
        </w:numPr>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Goldman.</w:t>
        </w:r>
      </w:hyperlink>
    </w:p>
    <w:p>
      <w:pPr>
        <w:spacing w:after="0" w:line="49" w:lineRule="exact"/>
        <w:rPr>
          <w:rFonts w:ascii="Arial" w:cs="Arial" w:eastAsia="Arial" w:hAnsi="Arial"/>
          <w:sz w:val="18"/>
          <w:szCs w:val="18"/>
          <w:u w:val="single" w:color="auto"/>
          <w:color w:val="0000FF"/>
        </w:rPr>
      </w:pPr>
    </w:p>
    <w:p>
      <w:pPr>
        <w:ind w:left="2400" w:right="80" w:hanging="527"/>
        <w:spacing w:after="0"/>
        <w:tabs>
          <w:tab w:leader="none" w:pos="2400" w:val="left"/>
        </w:tabs>
        <w:numPr>
          <w:ilvl w:val="0"/>
          <w:numId w:val="21"/>
        </w:numPr>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Amendment No. 1 to Acuity Brands, Inc. Change in</w:t>
        </w:r>
      </w:hyperlink>
      <w:r>
        <w:rPr>
          <w:rFonts w:ascii="Arial" w:cs="Arial" w:eastAsia="Arial" w:hAnsi="Arial"/>
          <w:sz w:val="18"/>
          <w:szCs w:val="18"/>
          <w:u w:val="single" w:color="auto"/>
          <w:color w:val="0000FF"/>
        </w:rPr>
        <w:t xml:space="preserve"> </w:t>
      </w:r>
      <w:hyperlink w:anchor="page114">
        <w:r>
          <w:rPr>
            <w:rFonts w:ascii="Arial" w:cs="Arial" w:eastAsia="Arial" w:hAnsi="Arial"/>
            <w:sz w:val="18"/>
            <w:szCs w:val="18"/>
            <w:u w:val="single" w:color="auto"/>
            <w:color w:val="0000FF"/>
          </w:rPr>
          <w:t>Control Agreement between Acuity Brands, Inc. and</w:t>
        </w:r>
      </w:hyperlink>
      <w:r>
        <w:rPr>
          <w:rFonts w:ascii="Arial" w:cs="Arial" w:eastAsia="Arial" w:hAnsi="Arial"/>
          <w:sz w:val="18"/>
          <w:szCs w:val="18"/>
          <w:u w:val="single" w:color="auto"/>
          <w:color w:val="0000FF"/>
        </w:rPr>
        <w:t xml:space="preserve"> </w:t>
      </w:r>
      <w:hyperlink w:anchor="page114">
        <w:r>
          <w:rPr>
            <w:rFonts w:ascii="Arial" w:cs="Arial" w:eastAsia="Arial" w:hAnsi="Arial"/>
            <w:sz w:val="18"/>
            <w:szCs w:val="18"/>
            <w:u w:val="single" w:color="auto"/>
            <w:color w:val="0000FF"/>
          </w:rPr>
          <w:t>Barry R. Goldman.</w:t>
        </w:r>
      </w:hyperlink>
    </w:p>
    <w:p>
      <w:pPr>
        <w:spacing w:after="0" w:line="40" w:lineRule="exact"/>
        <w:rPr>
          <w:rFonts w:ascii="Arial" w:cs="Arial" w:eastAsia="Arial" w:hAnsi="Arial"/>
          <w:sz w:val="18"/>
          <w:szCs w:val="18"/>
          <w:u w:val="single" w:color="auto"/>
          <w:color w:val="0000FF"/>
        </w:rPr>
      </w:pPr>
    </w:p>
    <w:p>
      <w:pPr>
        <w:ind w:left="2400" w:right="340" w:hanging="527"/>
        <w:spacing w:after="0"/>
        <w:tabs>
          <w:tab w:leader="none" w:pos="2400" w:val="left"/>
        </w:tabs>
        <w:numPr>
          <w:ilvl w:val="0"/>
          <w:numId w:val="21"/>
        </w:numPr>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Severance Agreement dated March 28, 2020, by</w:t>
        </w:r>
      </w:hyperlink>
      <w:r>
        <w:rPr>
          <w:rFonts w:ascii="Arial" w:cs="Arial" w:eastAsia="Arial" w:hAnsi="Arial"/>
          <w:sz w:val="18"/>
          <w:szCs w:val="18"/>
          <w:u w:val="single" w:color="auto"/>
          <w:color w:val="0000FF"/>
        </w:rPr>
        <w:t xml:space="preserve"> </w:t>
      </w:r>
      <w:hyperlink w:anchor="page115">
        <w:r>
          <w:rPr>
            <w:rFonts w:ascii="Arial" w:cs="Arial" w:eastAsia="Arial" w:hAnsi="Arial"/>
            <w:sz w:val="18"/>
            <w:szCs w:val="18"/>
            <w:u w:val="single" w:color="auto"/>
            <w:color w:val="0000FF"/>
          </w:rPr>
          <w:t>and between Acuity Brands, Inc. and Barry R.</w:t>
        </w:r>
      </w:hyperlink>
      <w:r>
        <w:rPr>
          <w:rFonts w:ascii="Arial" w:cs="Arial" w:eastAsia="Arial" w:hAnsi="Arial"/>
          <w:sz w:val="18"/>
          <w:szCs w:val="18"/>
          <w:u w:val="single" w:color="auto"/>
          <w:color w:val="0000FF"/>
        </w:rPr>
        <w:t xml:space="preserve"> </w:t>
      </w:r>
      <w:hyperlink w:anchor="page115">
        <w:r>
          <w:rPr>
            <w:rFonts w:ascii="Arial" w:cs="Arial" w:eastAsia="Arial" w:hAnsi="Arial"/>
            <w:sz w:val="18"/>
            <w:szCs w:val="18"/>
            <w:u w:val="single" w:color="auto"/>
            <w:color w:val="0000FF"/>
          </w:rPr>
          <w:t>Goldman.</w:t>
        </w:r>
      </w:hyperlink>
    </w:p>
    <w:p>
      <w:pPr>
        <w:spacing w:after="0" w:line="40" w:lineRule="exact"/>
        <w:rPr>
          <w:rFonts w:ascii="Arial" w:cs="Arial" w:eastAsia="Arial" w:hAnsi="Arial"/>
          <w:sz w:val="18"/>
          <w:szCs w:val="18"/>
          <w:u w:val="single" w:color="auto"/>
          <w:color w:val="0000FF"/>
        </w:rPr>
      </w:pPr>
    </w:p>
    <w:p>
      <w:pPr>
        <w:ind w:left="2400" w:hanging="527"/>
        <w:spacing w:after="0"/>
        <w:tabs>
          <w:tab w:leader="none" w:pos="2400" w:val="left"/>
        </w:tabs>
        <w:numPr>
          <w:ilvl w:val="0"/>
          <w:numId w:val="21"/>
        </w:numPr>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Amendment No. 1 to Acuity Brands, Inc. Severance</w:t>
        </w:r>
      </w:hyperlink>
      <w:r>
        <w:rPr>
          <w:rFonts w:ascii="Arial" w:cs="Arial" w:eastAsia="Arial" w:hAnsi="Arial"/>
          <w:sz w:val="18"/>
          <w:szCs w:val="18"/>
          <w:u w:val="single" w:color="auto"/>
          <w:color w:val="0000FF"/>
        </w:rPr>
        <w:t xml:space="preserve"> </w:t>
      </w:r>
      <w:hyperlink w:anchor="page136">
        <w:r>
          <w:rPr>
            <w:rFonts w:ascii="Arial" w:cs="Arial" w:eastAsia="Arial" w:hAnsi="Arial"/>
            <w:sz w:val="18"/>
            <w:szCs w:val="18"/>
            <w:u w:val="single" w:color="auto"/>
            <w:color w:val="0000FF"/>
          </w:rPr>
          <w:t>Agreement between Acuity Brands, Inc. and Barry R.</w:t>
        </w:r>
      </w:hyperlink>
      <w:r>
        <w:rPr>
          <w:rFonts w:ascii="Arial" w:cs="Arial" w:eastAsia="Arial" w:hAnsi="Arial"/>
          <w:sz w:val="18"/>
          <w:szCs w:val="18"/>
          <w:u w:val="single" w:color="auto"/>
          <w:color w:val="0000FF"/>
        </w:rPr>
        <w:t xml:space="preserve"> </w:t>
      </w:r>
      <w:hyperlink w:anchor="page136">
        <w:r>
          <w:rPr>
            <w:rFonts w:ascii="Arial" w:cs="Arial" w:eastAsia="Arial" w:hAnsi="Arial"/>
            <w:sz w:val="18"/>
            <w:szCs w:val="18"/>
            <w:u w:val="single" w:color="auto"/>
            <w:color w:val="0000FF"/>
          </w:rPr>
          <w:t>Goldman.</w:t>
        </w:r>
      </w:hyperlink>
    </w:p>
    <w:p>
      <w:pPr>
        <w:spacing w:after="0" w:line="40" w:lineRule="exact"/>
        <w:rPr>
          <w:rFonts w:ascii="Arial" w:cs="Arial" w:eastAsia="Arial" w:hAnsi="Arial"/>
          <w:sz w:val="18"/>
          <w:szCs w:val="18"/>
          <w:u w:val="single" w:color="auto"/>
          <w:color w:val="0000FF"/>
        </w:rPr>
      </w:pPr>
    </w:p>
    <w:p>
      <w:pPr>
        <w:ind w:left="2400" w:hanging="527"/>
        <w:spacing w:after="0"/>
        <w:tabs>
          <w:tab w:leader="none" w:pos="2400" w:val="left"/>
        </w:tabs>
        <w:numPr>
          <w:ilvl w:val="0"/>
          <w:numId w:val="21"/>
        </w:numPr>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Amendment No. 2 to Acuity Brands, Inc. Severance</w:t>
        </w:r>
      </w:hyperlink>
      <w:r>
        <w:rPr>
          <w:rFonts w:ascii="Arial" w:cs="Arial" w:eastAsia="Arial" w:hAnsi="Arial"/>
          <w:sz w:val="18"/>
          <w:szCs w:val="18"/>
          <w:u w:val="single" w:color="auto"/>
          <w:color w:val="0000FF"/>
        </w:rPr>
        <w:t xml:space="preserve"> </w:t>
      </w:r>
      <w:hyperlink w:anchor="page137">
        <w:r>
          <w:rPr>
            <w:rFonts w:ascii="Arial" w:cs="Arial" w:eastAsia="Arial" w:hAnsi="Arial"/>
            <w:sz w:val="18"/>
            <w:szCs w:val="18"/>
            <w:u w:val="single" w:color="auto"/>
            <w:color w:val="0000FF"/>
          </w:rPr>
          <w:t>Agreement between Acuity Brands, Inc. and Barry R.</w:t>
        </w:r>
      </w:hyperlink>
      <w:r>
        <w:rPr>
          <w:rFonts w:ascii="Arial" w:cs="Arial" w:eastAsia="Arial" w:hAnsi="Arial"/>
          <w:sz w:val="18"/>
          <w:szCs w:val="18"/>
          <w:u w:val="single" w:color="auto"/>
          <w:color w:val="0000FF"/>
        </w:rPr>
        <w:t xml:space="preserve"> </w:t>
      </w:r>
      <w:hyperlink w:anchor="page137">
        <w:r>
          <w:rPr>
            <w:rFonts w:ascii="Arial" w:cs="Arial" w:eastAsia="Arial" w:hAnsi="Arial"/>
            <w:sz w:val="18"/>
            <w:szCs w:val="18"/>
            <w:u w:val="single" w:color="auto"/>
            <w:color w:val="0000FF"/>
          </w:rPr>
          <w:t>Goldman.</w:t>
        </w:r>
      </w:hyperlink>
    </w:p>
    <w:p>
      <w:pPr>
        <w:spacing w:after="0" w:line="40" w:lineRule="exact"/>
        <w:rPr>
          <w:rFonts w:ascii="Arial" w:cs="Arial" w:eastAsia="Arial" w:hAnsi="Arial"/>
          <w:sz w:val="18"/>
          <w:szCs w:val="18"/>
          <w:u w:val="single" w:color="auto"/>
          <w:color w:val="0000FF"/>
        </w:rPr>
      </w:pPr>
    </w:p>
    <w:p>
      <w:pPr>
        <w:ind w:left="2400" w:hanging="527"/>
        <w:spacing w:after="0"/>
        <w:tabs>
          <w:tab w:leader="none" w:pos="2400" w:val="left"/>
        </w:tabs>
        <w:numPr>
          <w:ilvl w:val="0"/>
          <w:numId w:val="21"/>
        </w:numPr>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Amendment No. 3 to Acuity Brands, Inc. Severance</w:t>
        </w:r>
      </w:hyperlink>
      <w:r>
        <w:rPr>
          <w:rFonts w:ascii="Arial" w:cs="Arial" w:eastAsia="Arial" w:hAnsi="Arial"/>
          <w:sz w:val="18"/>
          <w:szCs w:val="18"/>
          <w:u w:val="single" w:color="auto"/>
          <w:color w:val="0000FF"/>
        </w:rPr>
        <w:t xml:space="preserve"> </w:t>
      </w:r>
      <w:hyperlink w:anchor="page138">
        <w:r>
          <w:rPr>
            <w:rFonts w:ascii="Arial" w:cs="Arial" w:eastAsia="Arial" w:hAnsi="Arial"/>
            <w:sz w:val="18"/>
            <w:szCs w:val="18"/>
            <w:u w:val="single" w:color="auto"/>
            <w:color w:val="0000FF"/>
          </w:rPr>
          <w:t>Agreement between Acuity Brands, Inc. and Barry R.</w:t>
        </w:r>
      </w:hyperlink>
      <w:r>
        <w:rPr>
          <w:rFonts w:ascii="Arial" w:cs="Arial" w:eastAsia="Arial" w:hAnsi="Arial"/>
          <w:sz w:val="18"/>
          <w:szCs w:val="18"/>
          <w:u w:val="single" w:color="auto"/>
          <w:color w:val="0000FF"/>
        </w:rPr>
        <w:t xml:space="preserve"> </w:t>
      </w:r>
      <w:hyperlink w:anchor="page138">
        <w:r>
          <w:rPr>
            <w:rFonts w:ascii="Arial" w:cs="Arial" w:eastAsia="Arial" w:hAnsi="Arial"/>
            <w:sz w:val="18"/>
            <w:szCs w:val="18"/>
            <w:u w:val="single" w:color="auto"/>
            <w:color w:val="0000FF"/>
          </w:rPr>
          <w:t>Goldman.</w:t>
        </w:r>
      </w:hyperlink>
    </w:p>
    <w:p>
      <w:pPr>
        <w:spacing w:after="0" w:line="243" w:lineRule="exact"/>
        <w:rPr>
          <w:rFonts w:ascii="Arial" w:cs="Arial" w:eastAsia="Arial" w:hAnsi="Arial"/>
          <w:sz w:val="18"/>
          <w:szCs w:val="18"/>
          <w:u w:val="single" w:color="auto"/>
          <w:color w:val="0000FF"/>
        </w:rPr>
      </w:pPr>
    </w:p>
    <w:p>
      <w:pPr>
        <w:ind w:left="2400" w:right="100" w:hanging="527"/>
        <w:spacing w:after="0"/>
        <w:tabs>
          <w:tab w:leader="none" w:pos="2400" w:val="left"/>
        </w:tabs>
        <w:numPr>
          <w:ilvl w:val="0"/>
          <w:numId w:val="21"/>
        </w:numPr>
        <w:rPr>
          <w:rFonts w:ascii="Arial" w:cs="Arial" w:eastAsia="Arial" w:hAnsi="Arial"/>
          <w:sz w:val="18"/>
          <w:szCs w:val="18"/>
          <w:u w:val="single" w:color="auto"/>
          <w:color w:val="0000FF"/>
        </w:rPr>
      </w:pPr>
      <w:hyperlink w:anchor="page139">
        <w:r>
          <w:rPr>
            <w:rFonts w:ascii="Arial" w:cs="Arial" w:eastAsia="Arial" w:hAnsi="Arial"/>
            <w:sz w:val="18"/>
            <w:szCs w:val="18"/>
            <w:u w:val="single" w:color="auto"/>
            <w:color w:val="0000FF"/>
          </w:rPr>
          <w:t>Change in Control Agreement dated March 2, 2020,</w:t>
        </w:r>
      </w:hyperlink>
      <w:r>
        <w:rPr>
          <w:rFonts w:ascii="Arial" w:cs="Arial" w:eastAsia="Arial" w:hAnsi="Arial"/>
          <w:sz w:val="18"/>
          <w:szCs w:val="18"/>
          <w:u w:val="single" w:color="auto"/>
          <w:color w:val="0000FF"/>
        </w:rPr>
        <w:t xml:space="preserve"> </w:t>
      </w:r>
      <w:hyperlink w:anchor="page139">
        <w:r>
          <w:rPr>
            <w:rFonts w:ascii="Arial" w:cs="Arial" w:eastAsia="Arial" w:hAnsi="Arial"/>
            <w:sz w:val="18"/>
            <w:szCs w:val="18"/>
            <w:u w:val="single" w:color="auto"/>
            <w:color w:val="0000FF"/>
          </w:rPr>
          <w:t>by and between Acuity Brands, Inc. and Dianne S.</w:t>
        </w:r>
      </w:hyperlink>
      <w:r>
        <w:rPr>
          <w:rFonts w:ascii="Arial" w:cs="Arial" w:eastAsia="Arial" w:hAnsi="Arial"/>
          <w:sz w:val="18"/>
          <w:szCs w:val="18"/>
          <w:u w:val="single" w:color="auto"/>
          <w:color w:val="0000FF"/>
        </w:rPr>
        <w:t xml:space="preserve"> </w:t>
      </w:r>
      <w:hyperlink w:anchor="page139">
        <w:r>
          <w:rPr>
            <w:rFonts w:ascii="Arial" w:cs="Arial" w:eastAsia="Arial" w:hAnsi="Arial"/>
            <w:sz w:val="18"/>
            <w:szCs w:val="18"/>
            <w:u w:val="single" w:color="auto"/>
            <w:color w:val="0000FF"/>
          </w:rPr>
          <w:t>Mills.</w:t>
        </w:r>
      </w:hyperlink>
    </w:p>
    <w:p>
      <w:pPr>
        <w:spacing w:after="0" w:line="40" w:lineRule="exact"/>
        <w:rPr>
          <w:rFonts w:ascii="Arial" w:cs="Arial" w:eastAsia="Arial" w:hAnsi="Arial"/>
          <w:sz w:val="18"/>
          <w:szCs w:val="18"/>
          <w:u w:val="single" w:color="auto"/>
          <w:color w:val="0000FF"/>
        </w:rPr>
      </w:pPr>
    </w:p>
    <w:p>
      <w:pPr>
        <w:ind w:left="2400" w:right="100" w:hanging="527"/>
        <w:spacing w:after="0" w:line="274" w:lineRule="auto"/>
        <w:tabs>
          <w:tab w:leader="none" w:pos="2400" w:val="left"/>
        </w:tabs>
        <w:numPr>
          <w:ilvl w:val="0"/>
          <w:numId w:val="21"/>
        </w:numPr>
        <w:rPr>
          <w:rFonts w:ascii="Arial" w:cs="Arial" w:eastAsia="Arial" w:hAnsi="Arial"/>
          <w:sz w:val="17"/>
          <w:szCs w:val="17"/>
          <w:u w:val="single" w:color="auto"/>
          <w:color w:val="0000FF"/>
        </w:rPr>
      </w:pPr>
      <w:hyperlink w:anchor="page152">
        <w:r>
          <w:rPr>
            <w:rFonts w:ascii="Arial" w:cs="Arial" w:eastAsia="Arial" w:hAnsi="Arial"/>
            <w:sz w:val="17"/>
            <w:szCs w:val="17"/>
            <w:u w:val="single" w:color="auto"/>
            <w:color w:val="0000FF"/>
          </w:rPr>
          <w:t>Severance Agreement dated March 2, 2020, by and</w:t>
        </w:r>
      </w:hyperlink>
      <w:r>
        <w:rPr>
          <w:rFonts w:ascii="Arial" w:cs="Arial" w:eastAsia="Arial" w:hAnsi="Arial"/>
          <w:sz w:val="17"/>
          <w:szCs w:val="17"/>
          <w:u w:val="single" w:color="auto"/>
          <w:color w:val="0000FF"/>
        </w:rPr>
        <w:t xml:space="preserve"> </w:t>
      </w:r>
      <w:hyperlink w:anchor="page152">
        <w:r>
          <w:rPr>
            <w:rFonts w:ascii="Arial" w:cs="Arial" w:eastAsia="Arial" w:hAnsi="Arial"/>
            <w:sz w:val="17"/>
            <w:szCs w:val="17"/>
            <w:u w:val="single" w:color="auto"/>
            <w:color w:val="0000FF"/>
          </w:rPr>
          <w:t>between Acuity Brands, Inc. and Dianne S. Mills.</w:t>
        </w:r>
      </w:hyperlink>
    </w:p>
    <w:p>
      <w:pPr>
        <w:spacing w:after="0" w:line="12" w:lineRule="exact"/>
        <w:rPr>
          <w:rFonts w:ascii="Arial" w:cs="Arial" w:eastAsia="Arial" w:hAnsi="Arial"/>
          <w:sz w:val="17"/>
          <w:szCs w:val="17"/>
          <w:u w:val="single" w:color="auto"/>
          <w:color w:val="0000FF"/>
        </w:rPr>
      </w:pPr>
    </w:p>
    <w:p>
      <w:pPr>
        <w:ind w:left="2400" w:hanging="527"/>
        <w:spacing w:after="0"/>
        <w:tabs>
          <w:tab w:leader="none" w:pos="2400" w:val="left"/>
        </w:tabs>
        <w:numPr>
          <w:ilvl w:val="0"/>
          <w:numId w:val="21"/>
        </w:numPr>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Form of Indemnification Agreement.</w:t>
        </w:r>
      </w:hyperlink>
    </w:p>
    <w:p>
      <w:pPr>
        <w:spacing w:after="0" w:line="200" w:lineRule="exact"/>
        <w:rPr>
          <w:rFonts w:ascii="Arial" w:cs="Arial" w:eastAsia="Arial" w:hAnsi="Arial"/>
          <w:sz w:val="18"/>
          <w:szCs w:val="18"/>
          <w:u w:val="single" w:color="auto"/>
          <w:color w:val="0000FF"/>
        </w:rPr>
      </w:pPr>
    </w:p>
    <w:p>
      <w:pPr>
        <w:spacing w:after="0" w:line="254" w:lineRule="exact"/>
        <w:rPr>
          <w:rFonts w:ascii="Arial" w:cs="Arial" w:eastAsia="Arial" w:hAnsi="Arial"/>
          <w:sz w:val="18"/>
          <w:szCs w:val="18"/>
          <w:u w:val="single" w:color="auto"/>
          <w:color w:val="0000FF"/>
        </w:rPr>
      </w:pPr>
    </w:p>
    <w:p>
      <w:pPr>
        <w:ind w:left="2400" w:right="240" w:hanging="527"/>
        <w:spacing w:after="0" w:line="246" w:lineRule="auto"/>
        <w:tabs>
          <w:tab w:leader="none" w:pos="2400" w:val="left"/>
        </w:tabs>
        <w:numPr>
          <w:ilvl w:val="0"/>
          <w:numId w:val="21"/>
        </w:numPr>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Acuity Brands, Inc. 2012 Omnibus Stock Incentive</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Compensation Plan.</w:t>
        </w:r>
      </w:hyperlink>
    </w:p>
    <w:p>
      <w:pPr>
        <w:spacing w:after="0" w:line="200" w:lineRule="exact"/>
        <w:rPr>
          <w:rFonts w:ascii="Arial" w:cs="Arial" w:eastAsia="Arial" w:hAnsi="Arial"/>
          <w:sz w:val="18"/>
          <w:szCs w:val="18"/>
          <w:u w:val="single" w:color="auto"/>
          <w:color w:val="0000FF"/>
        </w:rPr>
      </w:pPr>
    </w:p>
    <w:p>
      <w:pPr>
        <w:spacing w:after="0" w:line="239" w:lineRule="exact"/>
        <w:rPr>
          <w:rFonts w:ascii="Arial" w:cs="Arial" w:eastAsia="Arial" w:hAnsi="Arial"/>
          <w:sz w:val="18"/>
          <w:szCs w:val="18"/>
          <w:u w:val="single" w:color="auto"/>
          <w:color w:val="0000FF"/>
        </w:rPr>
      </w:pPr>
    </w:p>
    <w:p>
      <w:pPr>
        <w:ind w:left="2400" w:right="700" w:hanging="527"/>
        <w:spacing w:after="0" w:line="246" w:lineRule="auto"/>
        <w:tabs>
          <w:tab w:leader="none" w:pos="2400" w:val="left"/>
        </w:tabs>
        <w:numPr>
          <w:ilvl w:val="0"/>
          <w:numId w:val="21"/>
        </w:numPr>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Acuity Brands, Inc. 2012 Management Cash</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Incentive Plan.</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520"/>
        <w:spacing w:after="0"/>
        <w:rPr>
          <w:sz w:val="20"/>
          <w:szCs w:val="20"/>
          <w:color w:val="auto"/>
        </w:rPr>
      </w:pPr>
      <w:r>
        <w:rPr>
          <w:rFonts w:ascii="Arial" w:cs="Arial" w:eastAsia="Arial" w:hAnsi="Arial"/>
          <w:sz w:val="18"/>
          <w:szCs w:val="18"/>
          <w:color w:val="auto"/>
        </w:rPr>
        <w:t>88</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200" w:lineRule="exact"/>
        <w:rPr>
          <w:rFonts w:ascii="Arial" w:cs="Arial" w:eastAsia="Arial" w:hAnsi="Arial"/>
          <w:sz w:val="18"/>
          <w:szCs w:val="18"/>
          <w:color w:val="auto"/>
        </w:rPr>
      </w:pPr>
    </w:p>
    <w:p>
      <w:pPr>
        <w:spacing w:after="0" w:line="374" w:lineRule="exact"/>
        <w:rPr>
          <w:rFonts w:ascii="Arial" w:cs="Arial" w:eastAsia="Arial" w:hAnsi="Arial"/>
          <w:sz w:val="18"/>
          <w:szCs w:val="18"/>
          <w:color w:val="auto"/>
        </w:rPr>
      </w:pPr>
    </w:p>
    <w:p>
      <w:pPr>
        <w:ind w:right="100"/>
        <w:spacing w:after="0" w:line="238" w:lineRule="auto"/>
        <w:rPr>
          <w:sz w:val="20"/>
          <w:szCs w:val="20"/>
          <w:color w:val="auto"/>
        </w:rPr>
      </w:pPr>
      <w:r>
        <w:rPr>
          <w:rFonts w:ascii="Arial" w:cs="Arial" w:eastAsia="Arial" w:hAnsi="Arial"/>
          <w:sz w:val="18"/>
          <w:szCs w:val="18"/>
          <w:color w:val="auto"/>
        </w:rPr>
        <w:t>Reference is made to Exhibit 10(iii)A(61) of the registrant’s Form 10-K as filed with the Commission on October 25, 2018, which is incorporated herein by reference.</w:t>
      </w:r>
    </w:p>
    <w:p>
      <w:pPr>
        <w:spacing w:after="0" w:line="43" w:lineRule="exact"/>
        <w:rPr>
          <w:rFonts w:ascii="Arial" w:cs="Arial" w:eastAsia="Arial" w:hAnsi="Arial"/>
          <w:sz w:val="18"/>
          <w:szCs w:val="18"/>
          <w:color w:val="auto"/>
        </w:rPr>
      </w:pPr>
    </w:p>
    <w:p>
      <w:pPr>
        <w:ind w:right="100"/>
        <w:spacing w:after="0" w:line="238" w:lineRule="auto"/>
        <w:rPr>
          <w:sz w:val="20"/>
          <w:szCs w:val="20"/>
          <w:color w:val="auto"/>
        </w:rPr>
      </w:pPr>
      <w:r>
        <w:rPr>
          <w:rFonts w:ascii="Arial" w:cs="Arial" w:eastAsia="Arial" w:hAnsi="Arial"/>
          <w:sz w:val="18"/>
          <w:szCs w:val="18"/>
          <w:color w:val="auto"/>
        </w:rPr>
        <w:t>Reference is made to Exhibit 10(iii)A(62) of the registrant’s Form 10-K as filed with the Commission on October 25, 2018, which is incorporated herein by reference.</w:t>
      </w:r>
    </w:p>
    <w:p>
      <w:pPr>
        <w:spacing w:after="0" w:line="43" w:lineRule="exact"/>
        <w:rPr>
          <w:rFonts w:ascii="Arial" w:cs="Arial" w:eastAsia="Arial" w:hAnsi="Arial"/>
          <w:sz w:val="18"/>
          <w:szCs w:val="18"/>
          <w:color w:val="auto"/>
        </w:rPr>
      </w:pPr>
    </w:p>
    <w:p>
      <w:pPr>
        <w:jc w:val="both"/>
        <w:spacing w:after="0"/>
        <w:rPr>
          <w:sz w:val="20"/>
          <w:szCs w:val="20"/>
          <w:color w:val="auto"/>
        </w:rPr>
      </w:pPr>
      <w:r>
        <w:rPr>
          <w:rFonts w:ascii="Arial" w:cs="Arial" w:eastAsia="Arial" w:hAnsi="Arial"/>
          <w:sz w:val="18"/>
          <w:szCs w:val="18"/>
          <w:color w:val="auto"/>
        </w:rPr>
        <w:t>Reference is made to Exhibit 10(b) of the registrant's Form 10 -Q as filed with the Commission on January 9, 2019, which is incorporated herein by reference.</w:t>
      </w:r>
    </w:p>
    <w:p>
      <w:pPr>
        <w:spacing w:after="0" w:line="41" w:lineRule="exact"/>
        <w:rPr>
          <w:rFonts w:ascii="Arial" w:cs="Arial" w:eastAsia="Arial" w:hAnsi="Arial"/>
          <w:sz w:val="18"/>
          <w:szCs w:val="18"/>
          <w:color w:val="auto"/>
        </w:rPr>
      </w:pPr>
    </w:p>
    <w:p>
      <w:pPr>
        <w:ind w:right="100"/>
        <w:spacing w:after="0" w:line="238" w:lineRule="auto"/>
        <w:rPr>
          <w:sz w:val="20"/>
          <w:szCs w:val="20"/>
          <w:color w:val="auto"/>
        </w:rPr>
      </w:pPr>
      <w:r>
        <w:rPr>
          <w:rFonts w:ascii="Arial" w:cs="Arial" w:eastAsia="Arial" w:hAnsi="Arial"/>
          <w:sz w:val="18"/>
          <w:szCs w:val="18"/>
          <w:color w:val="auto"/>
        </w:rPr>
        <w:t>Reference is made to Exhibit 10(iii)A(63) of the registrant’s Form 10-K as filed with the Commission on October 25, 2018, which is incorporated herein by reference.</w:t>
      </w:r>
    </w:p>
    <w:p>
      <w:pPr>
        <w:spacing w:after="0" w:line="4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with the Commission as part of this Form 10-K.</w:t>
      </w:r>
    </w:p>
    <w:p>
      <w:pPr>
        <w:spacing w:after="0" w:line="200" w:lineRule="exact"/>
        <w:rPr>
          <w:rFonts w:ascii="Arial" w:cs="Arial" w:eastAsia="Arial" w:hAnsi="Arial"/>
          <w:sz w:val="18"/>
          <w:szCs w:val="18"/>
          <w:color w:val="auto"/>
        </w:rPr>
      </w:pPr>
    </w:p>
    <w:p>
      <w:pPr>
        <w:spacing w:after="0" w:line="25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with the Commission as part of this Form 10-K.</w:t>
      </w:r>
    </w:p>
    <w:p>
      <w:pPr>
        <w:spacing w:after="0" w:line="200" w:lineRule="exact"/>
        <w:rPr>
          <w:rFonts w:ascii="Arial" w:cs="Arial" w:eastAsia="Arial" w:hAnsi="Arial"/>
          <w:sz w:val="18"/>
          <w:szCs w:val="18"/>
          <w:color w:val="auto"/>
        </w:rPr>
      </w:pPr>
    </w:p>
    <w:p>
      <w:pPr>
        <w:spacing w:after="0" w:line="25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with the Commission as part of this Form 10-K.</w:t>
      </w:r>
    </w:p>
    <w:p>
      <w:pPr>
        <w:spacing w:after="0" w:line="200" w:lineRule="exact"/>
        <w:rPr>
          <w:rFonts w:ascii="Arial" w:cs="Arial" w:eastAsia="Arial" w:hAnsi="Arial"/>
          <w:sz w:val="18"/>
          <w:szCs w:val="18"/>
          <w:color w:val="auto"/>
        </w:rPr>
      </w:pPr>
    </w:p>
    <w:p>
      <w:pPr>
        <w:spacing w:after="0" w:line="25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with the Commission as part of this Form 10-K.</w:t>
      </w:r>
    </w:p>
    <w:p>
      <w:pPr>
        <w:spacing w:after="0" w:line="200" w:lineRule="exact"/>
        <w:rPr>
          <w:rFonts w:ascii="Arial" w:cs="Arial" w:eastAsia="Arial" w:hAnsi="Arial"/>
          <w:sz w:val="18"/>
          <w:szCs w:val="18"/>
          <w:color w:val="auto"/>
        </w:rPr>
      </w:pPr>
    </w:p>
    <w:p>
      <w:pPr>
        <w:spacing w:after="0" w:line="25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with the Commission as part of this Form 10-K.</w:t>
      </w:r>
    </w:p>
    <w:p>
      <w:pPr>
        <w:spacing w:after="0" w:line="200" w:lineRule="exact"/>
        <w:rPr>
          <w:rFonts w:ascii="Arial" w:cs="Arial" w:eastAsia="Arial" w:hAnsi="Arial"/>
          <w:sz w:val="18"/>
          <w:szCs w:val="18"/>
          <w:color w:val="auto"/>
        </w:rPr>
      </w:pPr>
    </w:p>
    <w:p>
      <w:pPr>
        <w:spacing w:after="0" w:line="25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with the Commission as part of this Form 10-K.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with the Commission as part of this Form 10-K.</w:t>
      </w:r>
    </w:p>
    <w:p>
      <w:pPr>
        <w:spacing w:after="0" w:line="200" w:lineRule="exact"/>
        <w:rPr>
          <w:rFonts w:ascii="Arial" w:cs="Arial" w:eastAsia="Arial" w:hAnsi="Arial"/>
          <w:sz w:val="18"/>
          <w:szCs w:val="18"/>
          <w:color w:val="auto"/>
        </w:rPr>
      </w:pPr>
    </w:p>
    <w:p>
      <w:pPr>
        <w:spacing w:after="0" w:line="25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with the Commission as part of this Form 10-K.</w:t>
      </w:r>
    </w:p>
    <w:p>
      <w:pPr>
        <w:spacing w:after="0" w:line="252" w:lineRule="exact"/>
        <w:rPr>
          <w:rFonts w:ascii="Arial" w:cs="Arial" w:eastAsia="Arial" w:hAnsi="Arial"/>
          <w:sz w:val="18"/>
          <w:szCs w:val="18"/>
          <w:color w:val="auto"/>
        </w:rPr>
      </w:pPr>
    </w:p>
    <w:p>
      <w:pPr>
        <w:ind w:right="100"/>
        <w:spacing w:after="0" w:line="261" w:lineRule="auto"/>
        <w:rPr>
          <w:sz w:val="20"/>
          <w:szCs w:val="20"/>
          <w:color w:val="auto"/>
        </w:rPr>
      </w:pPr>
      <w:r>
        <w:rPr>
          <w:rFonts w:ascii="Arial" w:cs="Arial" w:eastAsia="Arial" w:hAnsi="Arial"/>
          <w:sz w:val="17"/>
          <w:szCs w:val="17"/>
          <w:color w:val="auto"/>
        </w:rPr>
        <w:t>Reference is made to Exhibit 10.1 of registrant’s Form 8-K as filed with the Commission on February 9, 2010, which is incorporated herein by reference.</w:t>
      </w:r>
    </w:p>
    <w:p>
      <w:pPr>
        <w:spacing w:after="0" w:line="24" w:lineRule="exact"/>
        <w:rPr>
          <w:rFonts w:ascii="Arial" w:cs="Arial" w:eastAsia="Arial" w:hAnsi="Arial"/>
          <w:sz w:val="18"/>
          <w:szCs w:val="18"/>
          <w:color w:val="auto"/>
        </w:rPr>
      </w:pPr>
    </w:p>
    <w:p>
      <w:pPr>
        <w:ind w:right="580"/>
        <w:spacing w:after="0" w:line="238" w:lineRule="auto"/>
        <w:rPr>
          <w:sz w:val="20"/>
          <w:szCs w:val="20"/>
          <w:color w:val="auto"/>
        </w:rPr>
      </w:pPr>
      <w:r>
        <w:rPr>
          <w:rFonts w:ascii="Arial" w:cs="Arial" w:eastAsia="Arial" w:hAnsi="Arial"/>
          <w:sz w:val="18"/>
          <w:szCs w:val="18"/>
          <w:color w:val="auto"/>
        </w:rPr>
        <w:t>Reference is made to Exhibit A of the registrant’s Proxy Statement as filed with the Commission on November 19, 2012, which is incorporated herein by reference.</w:t>
      </w:r>
    </w:p>
    <w:p>
      <w:pPr>
        <w:spacing w:after="0" w:line="43" w:lineRule="exact"/>
        <w:rPr>
          <w:rFonts w:ascii="Arial" w:cs="Arial" w:eastAsia="Arial" w:hAnsi="Arial"/>
          <w:sz w:val="18"/>
          <w:szCs w:val="18"/>
          <w:color w:val="auto"/>
        </w:rPr>
      </w:pPr>
    </w:p>
    <w:p>
      <w:pPr>
        <w:ind w:right="580"/>
        <w:spacing w:after="0" w:line="238" w:lineRule="auto"/>
        <w:rPr>
          <w:sz w:val="20"/>
          <w:szCs w:val="20"/>
          <w:color w:val="auto"/>
        </w:rPr>
      </w:pPr>
      <w:r>
        <w:rPr>
          <w:rFonts w:ascii="Arial" w:cs="Arial" w:eastAsia="Arial" w:hAnsi="Arial"/>
          <w:sz w:val="18"/>
          <w:szCs w:val="18"/>
          <w:color w:val="auto"/>
        </w:rPr>
        <w:t>Reference is made to Exhibit B of the registrant’s Proxy Statement as filed with the Commission on November 19, 2012, which is incorporated herein by reference.</w:t>
      </w:r>
    </w:p>
    <w:p>
      <w:pPr>
        <w:sectPr>
          <w:pgSz w:w="11900" w:h="16838" w:orient="portrait"/>
          <w:cols w:equalWidth="0" w:num="2">
            <w:col w:w="6620" w:space="380"/>
            <w:col w:w="4200"/>
          </w:cols>
          <w:pgMar w:left="320" w:top="260" w:right="3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2400" w:right="40" w:hanging="527"/>
        <w:spacing w:after="0" w:line="246" w:lineRule="auto"/>
        <w:tabs>
          <w:tab w:leader="none" w:pos="2400" w:val="left"/>
        </w:tabs>
        <w:numPr>
          <w:ilvl w:val="0"/>
          <w:numId w:val="22"/>
        </w:numPr>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restricted stock, effective October 24, 2013.</w:t>
        </w:r>
      </w:hyperlink>
    </w:p>
    <w:p>
      <w:pPr>
        <w:spacing w:after="0" w:line="200" w:lineRule="exact"/>
        <w:rPr>
          <w:rFonts w:ascii="Arial" w:cs="Arial" w:eastAsia="Arial" w:hAnsi="Arial"/>
          <w:sz w:val="18"/>
          <w:szCs w:val="18"/>
          <w:u w:val="single" w:color="auto"/>
          <w:color w:val="0000FF"/>
        </w:rPr>
      </w:pPr>
    </w:p>
    <w:p>
      <w:pPr>
        <w:spacing w:after="0" w:line="239" w:lineRule="exact"/>
        <w:rPr>
          <w:rFonts w:ascii="Arial" w:cs="Arial" w:eastAsia="Arial" w:hAnsi="Arial"/>
          <w:sz w:val="18"/>
          <w:szCs w:val="18"/>
          <w:u w:val="single" w:color="auto"/>
          <w:color w:val="0000FF"/>
        </w:rPr>
      </w:pPr>
    </w:p>
    <w:p>
      <w:pPr>
        <w:ind w:left="2400" w:right="40" w:hanging="527"/>
        <w:spacing w:after="0" w:line="246" w:lineRule="auto"/>
        <w:tabs>
          <w:tab w:leader="none" w:pos="2400" w:val="left"/>
        </w:tabs>
        <w:numPr>
          <w:ilvl w:val="0"/>
          <w:numId w:val="22"/>
        </w:numPr>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stock options, effective October 24, 2013.</w:t>
        </w:r>
      </w:hyperlink>
    </w:p>
    <w:p>
      <w:pPr>
        <w:spacing w:after="0" w:line="200" w:lineRule="exact"/>
        <w:rPr>
          <w:rFonts w:ascii="Arial" w:cs="Arial" w:eastAsia="Arial" w:hAnsi="Arial"/>
          <w:sz w:val="18"/>
          <w:szCs w:val="18"/>
          <w:u w:val="single" w:color="auto"/>
          <w:color w:val="0000FF"/>
        </w:rPr>
      </w:pPr>
    </w:p>
    <w:p>
      <w:pPr>
        <w:spacing w:after="0" w:line="239" w:lineRule="exact"/>
        <w:rPr>
          <w:rFonts w:ascii="Arial" w:cs="Arial" w:eastAsia="Arial" w:hAnsi="Arial"/>
          <w:sz w:val="18"/>
          <w:szCs w:val="18"/>
          <w:u w:val="single" w:color="auto"/>
          <w:color w:val="0000FF"/>
        </w:rPr>
      </w:pPr>
    </w:p>
    <w:p>
      <w:pPr>
        <w:ind w:left="2400" w:right="40" w:hanging="527"/>
        <w:spacing w:after="0" w:line="246" w:lineRule="auto"/>
        <w:tabs>
          <w:tab w:leader="none" w:pos="2400" w:val="left"/>
        </w:tabs>
        <w:numPr>
          <w:ilvl w:val="0"/>
          <w:numId w:val="22"/>
        </w:numPr>
        <w:rPr>
          <w:rFonts w:ascii="Arial" w:cs="Arial" w:eastAsia="Arial" w:hAnsi="Arial"/>
          <w:sz w:val="18"/>
          <w:szCs w:val="18"/>
          <w:u w:val="single" w:color="auto"/>
          <w:color w:val="0000FF"/>
        </w:rPr>
      </w:pPr>
      <w:hyperlink r:id="rId143">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restricted stock, effective October 27, 2014.</w:t>
        </w:r>
      </w:hyperlink>
    </w:p>
    <w:p>
      <w:pPr>
        <w:spacing w:after="0" w:line="200" w:lineRule="exact"/>
        <w:rPr>
          <w:rFonts w:ascii="Arial" w:cs="Arial" w:eastAsia="Arial" w:hAnsi="Arial"/>
          <w:sz w:val="18"/>
          <w:szCs w:val="18"/>
          <w:u w:val="single" w:color="auto"/>
          <w:color w:val="0000FF"/>
        </w:rPr>
      </w:pPr>
    </w:p>
    <w:p>
      <w:pPr>
        <w:spacing w:after="0" w:line="239" w:lineRule="exact"/>
        <w:rPr>
          <w:rFonts w:ascii="Arial" w:cs="Arial" w:eastAsia="Arial" w:hAnsi="Arial"/>
          <w:sz w:val="18"/>
          <w:szCs w:val="18"/>
          <w:u w:val="single" w:color="auto"/>
          <w:color w:val="0000FF"/>
        </w:rPr>
      </w:pPr>
    </w:p>
    <w:p>
      <w:pPr>
        <w:ind w:left="2400" w:right="40" w:hanging="527"/>
        <w:spacing w:after="0" w:line="246" w:lineRule="auto"/>
        <w:tabs>
          <w:tab w:leader="none" w:pos="2400" w:val="left"/>
        </w:tabs>
        <w:numPr>
          <w:ilvl w:val="0"/>
          <w:numId w:val="22"/>
        </w:numPr>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stock options, effective October 27, 2014.</w:t>
        </w:r>
      </w:hyperlink>
    </w:p>
    <w:p>
      <w:pPr>
        <w:spacing w:after="0" w:line="200" w:lineRule="exact"/>
        <w:rPr>
          <w:rFonts w:ascii="Arial" w:cs="Arial" w:eastAsia="Arial" w:hAnsi="Arial"/>
          <w:sz w:val="18"/>
          <w:szCs w:val="18"/>
          <w:u w:val="single" w:color="auto"/>
          <w:color w:val="0000FF"/>
        </w:rPr>
      </w:pPr>
    </w:p>
    <w:p>
      <w:pPr>
        <w:spacing w:after="0" w:line="239" w:lineRule="exact"/>
        <w:rPr>
          <w:rFonts w:ascii="Arial" w:cs="Arial" w:eastAsia="Arial" w:hAnsi="Arial"/>
          <w:sz w:val="18"/>
          <w:szCs w:val="18"/>
          <w:u w:val="single" w:color="auto"/>
          <w:color w:val="0000FF"/>
        </w:rPr>
      </w:pPr>
    </w:p>
    <w:p>
      <w:pPr>
        <w:ind w:left="2400" w:right="40" w:hanging="527"/>
        <w:spacing w:after="0" w:line="246" w:lineRule="auto"/>
        <w:tabs>
          <w:tab w:leader="none" w:pos="2400" w:val="left"/>
        </w:tabs>
        <w:numPr>
          <w:ilvl w:val="0"/>
          <w:numId w:val="22"/>
        </w:numPr>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stock options, effective April 1, 2016.</w:t>
        </w:r>
      </w:hyperlink>
    </w:p>
    <w:p>
      <w:pPr>
        <w:spacing w:after="0" w:line="200" w:lineRule="exact"/>
        <w:rPr>
          <w:rFonts w:ascii="Arial" w:cs="Arial" w:eastAsia="Arial" w:hAnsi="Arial"/>
          <w:sz w:val="18"/>
          <w:szCs w:val="18"/>
          <w:u w:val="single" w:color="auto"/>
          <w:color w:val="0000FF"/>
        </w:rPr>
      </w:pPr>
    </w:p>
    <w:p>
      <w:pPr>
        <w:spacing w:after="0" w:line="239" w:lineRule="exact"/>
        <w:rPr>
          <w:rFonts w:ascii="Arial" w:cs="Arial" w:eastAsia="Arial" w:hAnsi="Arial"/>
          <w:sz w:val="18"/>
          <w:szCs w:val="18"/>
          <w:u w:val="single" w:color="auto"/>
          <w:color w:val="0000FF"/>
        </w:rPr>
      </w:pPr>
    </w:p>
    <w:p>
      <w:pPr>
        <w:ind w:left="2400" w:right="80" w:hanging="527"/>
        <w:spacing w:after="0" w:line="246" w:lineRule="auto"/>
        <w:tabs>
          <w:tab w:leader="none" w:pos="2400" w:val="left"/>
        </w:tabs>
        <w:numPr>
          <w:ilvl w:val="0"/>
          <w:numId w:val="22"/>
        </w:numPr>
        <w:rPr>
          <w:rFonts w:ascii="Arial" w:cs="Arial" w:eastAsia="Arial" w:hAnsi="Arial"/>
          <w:sz w:val="18"/>
          <w:szCs w:val="18"/>
          <w:u w:val="single" w:color="auto"/>
          <w:color w:val="0000FF"/>
        </w:rPr>
      </w:pPr>
      <w:hyperlink r:id="rId146">
        <w:r>
          <w:rPr>
            <w:rFonts w:ascii="Arial" w:cs="Arial" w:eastAsia="Arial" w:hAnsi="Arial"/>
            <w:sz w:val="18"/>
            <w:szCs w:val="18"/>
            <w:u w:val="single" w:color="auto"/>
            <w:color w:val="0000FF"/>
          </w:rPr>
          <w:t>Form of Restricted Stock Award Agreement for U.S.</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Grantees.</w:t>
        </w:r>
      </w:hyperlink>
    </w:p>
    <w:p>
      <w:pPr>
        <w:spacing w:after="0" w:line="200" w:lineRule="exact"/>
        <w:rPr>
          <w:rFonts w:ascii="Arial" w:cs="Arial" w:eastAsia="Arial" w:hAnsi="Arial"/>
          <w:sz w:val="18"/>
          <w:szCs w:val="18"/>
          <w:u w:val="single" w:color="auto"/>
          <w:color w:val="0000FF"/>
        </w:rPr>
      </w:pPr>
    </w:p>
    <w:p>
      <w:pPr>
        <w:spacing w:after="0" w:line="239" w:lineRule="exact"/>
        <w:rPr>
          <w:rFonts w:ascii="Arial" w:cs="Arial" w:eastAsia="Arial" w:hAnsi="Arial"/>
          <w:sz w:val="18"/>
          <w:szCs w:val="18"/>
          <w:u w:val="single" w:color="auto"/>
          <w:color w:val="0000FF"/>
        </w:rPr>
      </w:pPr>
    </w:p>
    <w:p>
      <w:pPr>
        <w:ind w:left="2400" w:right="100" w:hanging="527"/>
        <w:spacing w:after="0" w:line="246" w:lineRule="auto"/>
        <w:tabs>
          <w:tab w:leader="none" w:pos="2400" w:val="left"/>
        </w:tabs>
        <w:numPr>
          <w:ilvl w:val="0"/>
          <w:numId w:val="22"/>
        </w:numPr>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Form of Restricted Stock Unit Award Agreement for</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Non-U.S. Grantees.</w:t>
        </w:r>
      </w:hyperlink>
    </w:p>
    <w:p>
      <w:pPr>
        <w:spacing w:after="0" w:line="200" w:lineRule="exact"/>
        <w:rPr>
          <w:rFonts w:ascii="Arial" w:cs="Arial" w:eastAsia="Arial" w:hAnsi="Arial"/>
          <w:sz w:val="18"/>
          <w:szCs w:val="18"/>
          <w:u w:val="single" w:color="auto"/>
          <w:color w:val="0000FF"/>
        </w:rPr>
      </w:pPr>
    </w:p>
    <w:p>
      <w:pPr>
        <w:spacing w:after="0" w:line="239" w:lineRule="exact"/>
        <w:rPr>
          <w:rFonts w:ascii="Arial" w:cs="Arial" w:eastAsia="Arial" w:hAnsi="Arial"/>
          <w:sz w:val="18"/>
          <w:szCs w:val="18"/>
          <w:u w:val="single" w:color="auto"/>
          <w:color w:val="0000FF"/>
        </w:rPr>
      </w:pPr>
    </w:p>
    <w:p>
      <w:pPr>
        <w:ind w:left="2400" w:right="900" w:hanging="527"/>
        <w:spacing w:after="0" w:line="246" w:lineRule="auto"/>
        <w:tabs>
          <w:tab w:leader="none" w:pos="2400" w:val="left"/>
        </w:tabs>
        <w:numPr>
          <w:ilvl w:val="0"/>
          <w:numId w:val="22"/>
        </w:numPr>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Form of Nonqualified Stock Option Award</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Agreement.</w:t>
        </w:r>
      </w:hyperlink>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jc w:val="both"/>
        <w:ind w:left="2400" w:right="880" w:hanging="577"/>
        <w:spacing w:after="0" w:line="274" w:lineRule="auto"/>
        <w:tabs>
          <w:tab w:leader="none" w:pos="2400" w:val="left"/>
        </w:tabs>
        <w:numPr>
          <w:ilvl w:val="0"/>
          <w:numId w:val="23"/>
        </w:numPr>
        <w:rPr>
          <w:rFonts w:ascii="Arial" w:cs="Arial" w:eastAsia="Arial" w:hAnsi="Arial"/>
          <w:sz w:val="17"/>
          <w:szCs w:val="17"/>
          <w:u w:val="single" w:color="auto"/>
          <w:color w:val="0000FF"/>
        </w:rPr>
      </w:pPr>
      <w:hyperlink r:id="rId149">
        <w:r>
          <w:rPr>
            <w:rFonts w:ascii="Arial" w:cs="Arial" w:eastAsia="Arial" w:hAnsi="Arial"/>
            <w:sz w:val="17"/>
            <w:szCs w:val="17"/>
            <w:u w:val="single" w:color="auto"/>
            <w:color w:val="0000FF"/>
          </w:rPr>
          <w:t>Form of Nonqualified Stock Option Award</w:t>
        </w:r>
      </w:hyperlink>
      <w:r>
        <w:rPr>
          <w:rFonts w:ascii="Arial" w:cs="Arial" w:eastAsia="Arial" w:hAnsi="Arial"/>
          <w:sz w:val="17"/>
          <w:szCs w:val="17"/>
          <w:u w:val="single" w:color="auto"/>
          <w:color w:val="0000FF"/>
        </w:rPr>
        <w:t xml:space="preserve"> </w:t>
      </w:r>
      <w:hyperlink r:id="rId149">
        <w:r>
          <w:rPr>
            <w:rFonts w:ascii="Arial" w:cs="Arial" w:eastAsia="Arial" w:hAnsi="Arial"/>
            <w:sz w:val="17"/>
            <w:szCs w:val="17"/>
            <w:u w:val="single" w:color="auto"/>
            <w:color w:val="0000FF"/>
          </w:rPr>
          <w:t>Agreement for Named Executive Officers.</w:t>
        </w:r>
      </w:hyperlink>
    </w:p>
    <w:p>
      <w:pPr>
        <w:spacing w:after="0" w:line="200" w:lineRule="exact"/>
        <w:rPr>
          <w:rFonts w:ascii="Arial" w:cs="Arial" w:eastAsia="Arial" w:hAnsi="Arial"/>
          <w:sz w:val="17"/>
          <w:szCs w:val="17"/>
          <w:u w:val="single" w:color="auto"/>
          <w:color w:val="0000FF"/>
        </w:rPr>
      </w:pPr>
    </w:p>
    <w:p>
      <w:pPr>
        <w:spacing w:after="0" w:line="217" w:lineRule="exact"/>
        <w:rPr>
          <w:rFonts w:ascii="Arial" w:cs="Arial" w:eastAsia="Arial" w:hAnsi="Arial"/>
          <w:sz w:val="17"/>
          <w:szCs w:val="17"/>
          <w:u w:val="single" w:color="auto"/>
          <w:color w:val="0000FF"/>
        </w:rPr>
      </w:pPr>
    </w:p>
    <w:p>
      <w:pPr>
        <w:ind w:left="2400" w:right="320" w:hanging="577"/>
        <w:spacing w:after="0" w:line="274" w:lineRule="auto"/>
        <w:tabs>
          <w:tab w:leader="none" w:pos="2400" w:val="left"/>
        </w:tabs>
        <w:numPr>
          <w:ilvl w:val="0"/>
          <w:numId w:val="23"/>
        </w:numPr>
        <w:rPr>
          <w:rFonts w:ascii="Arial" w:cs="Arial" w:eastAsia="Arial" w:hAnsi="Arial"/>
          <w:sz w:val="17"/>
          <w:szCs w:val="17"/>
          <w:u w:val="single" w:color="auto"/>
          <w:color w:val="0000FF"/>
        </w:rPr>
      </w:pPr>
      <w:hyperlink r:id="rId150">
        <w:r>
          <w:rPr>
            <w:rFonts w:ascii="Arial" w:cs="Arial" w:eastAsia="Arial" w:hAnsi="Arial"/>
            <w:sz w:val="17"/>
            <w:szCs w:val="17"/>
            <w:u w:val="single" w:color="auto"/>
            <w:color w:val="0000FF"/>
          </w:rPr>
          <w:t>Amended and Restated Acuity Brands, Inc. 2012</w:t>
        </w:r>
      </w:hyperlink>
      <w:r>
        <w:rPr>
          <w:rFonts w:ascii="Arial" w:cs="Arial" w:eastAsia="Arial" w:hAnsi="Arial"/>
          <w:sz w:val="17"/>
          <w:szCs w:val="17"/>
          <w:u w:val="single" w:color="auto"/>
          <w:color w:val="0000FF"/>
        </w:rPr>
        <w:t xml:space="preserve"> </w:t>
      </w:r>
      <w:hyperlink r:id="rId150">
        <w:r>
          <w:rPr>
            <w:rFonts w:ascii="Arial" w:cs="Arial" w:eastAsia="Arial" w:hAnsi="Arial"/>
            <w:sz w:val="17"/>
            <w:szCs w:val="17"/>
            <w:u w:val="single" w:color="auto"/>
            <w:color w:val="0000FF"/>
          </w:rPr>
          <w:t>Omnibus Stock Incentive Compensation Plan.</w:t>
        </w:r>
      </w:hyperlink>
    </w:p>
    <w:p>
      <w:pPr>
        <w:spacing w:after="0" w:line="200" w:lineRule="exact"/>
        <w:rPr>
          <w:rFonts w:ascii="Arial" w:cs="Arial" w:eastAsia="Arial" w:hAnsi="Arial"/>
          <w:sz w:val="17"/>
          <w:szCs w:val="17"/>
          <w:u w:val="single" w:color="auto"/>
          <w:color w:val="0000FF"/>
        </w:rPr>
      </w:pPr>
    </w:p>
    <w:p>
      <w:pPr>
        <w:spacing w:after="0" w:line="217" w:lineRule="exact"/>
        <w:rPr>
          <w:rFonts w:ascii="Arial" w:cs="Arial" w:eastAsia="Arial" w:hAnsi="Arial"/>
          <w:sz w:val="17"/>
          <w:szCs w:val="17"/>
          <w:u w:val="single" w:color="auto"/>
          <w:color w:val="0000FF"/>
        </w:rPr>
      </w:pPr>
    </w:p>
    <w:p>
      <w:pPr>
        <w:ind w:left="2400" w:right="680" w:hanging="577"/>
        <w:spacing w:after="0" w:line="246" w:lineRule="auto"/>
        <w:tabs>
          <w:tab w:leader="none" w:pos="2400" w:val="left"/>
        </w:tabs>
        <w:numPr>
          <w:ilvl w:val="0"/>
          <w:numId w:val="23"/>
        </w:numPr>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Acuity Brands, Inc. 2017 Management Cash</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Incentive Plan.</w:t>
        </w:r>
      </w:hyperlink>
    </w:p>
    <w:p>
      <w:pPr>
        <w:spacing w:after="0" w:line="200" w:lineRule="exact"/>
        <w:rPr>
          <w:rFonts w:ascii="Arial" w:cs="Arial" w:eastAsia="Arial" w:hAnsi="Arial"/>
          <w:sz w:val="18"/>
          <w:szCs w:val="18"/>
          <w:u w:val="single" w:color="auto"/>
          <w:color w:val="0000FF"/>
        </w:rPr>
      </w:pPr>
    </w:p>
    <w:p>
      <w:pPr>
        <w:spacing w:after="0" w:line="239" w:lineRule="exact"/>
        <w:rPr>
          <w:rFonts w:ascii="Arial" w:cs="Arial" w:eastAsia="Arial" w:hAnsi="Arial"/>
          <w:sz w:val="18"/>
          <w:szCs w:val="18"/>
          <w:u w:val="single" w:color="auto"/>
          <w:color w:val="0000FF"/>
        </w:rPr>
      </w:pPr>
    </w:p>
    <w:p>
      <w:pPr>
        <w:ind w:left="2400" w:right="80" w:hanging="577"/>
        <w:spacing w:after="0" w:line="246" w:lineRule="auto"/>
        <w:tabs>
          <w:tab w:leader="none" w:pos="2400" w:val="left"/>
        </w:tabs>
        <w:numPr>
          <w:ilvl w:val="0"/>
          <w:numId w:val="23"/>
        </w:numPr>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Form of Restricted Stock Award Agreement for U.S.</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Employees.</w:t>
        </w:r>
      </w:hyperlink>
    </w:p>
    <w:p>
      <w:pPr>
        <w:spacing w:after="0" w:line="200" w:lineRule="exact"/>
        <w:rPr>
          <w:rFonts w:ascii="Arial" w:cs="Arial" w:eastAsia="Arial" w:hAnsi="Arial"/>
          <w:sz w:val="18"/>
          <w:szCs w:val="18"/>
          <w:u w:val="single" w:color="auto"/>
          <w:color w:val="0000FF"/>
        </w:rPr>
      </w:pPr>
    </w:p>
    <w:p>
      <w:pPr>
        <w:spacing w:after="0" w:line="239" w:lineRule="exact"/>
        <w:rPr>
          <w:rFonts w:ascii="Arial" w:cs="Arial" w:eastAsia="Arial" w:hAnsi="Arial"/>
          <w:sz w:val="18"/>
          <w:szCs w:val="18"/>
          <w:u w:val="single" w:color="auto"/>
          <w:color w:val="0000FF"/>
        </w:rPr>
      </w:pPr>
    </w:p>
    <w:p>
      <w:pPr>
        <w:ind w:left="2400" w:hanging="577"/>
        <w:spacing w:after="0" w:line="246" w:lineRule="auto"/>
        <w:tabs>
          <w:tab w:leader="none" w:pos="2400" w:val="left"/>
        </w:tabs>
        <w:numPr>
          <w:ilvl w:val="0"/>
          <w:numId w:val="23"/>
        </w:numPr>
        <w:rPr>
          <w:rFonts w:ascii="Arial" w:cs="Arial" w:eastAsia="Arial" w:hAnsi="Arial"/>
          <w:sz w:val="18"/>
          <w:szCs w:val="18"/>
          <w:u w:val="single" w:color="auto"/>
          <w:color w:val="0000FF"/>
        </w:rPr>
      </w:pPr>
      <w:hyperlink r:id="rId153">
        <w:r>
          <w:rPr>
            <w:rFonts w:ascii="Arial" w:cs="Arial" w:eastAsia="Arial" w:hAnsi="Arial"/>
            <w:sz w:val="18"/>
            <w:szCs w:val="18"/>
            <w:u w:val="single" w:color="auto"/>
            <w:color w:val="0000FF"/>
          </w:rPr>
          <w:t>Form of Restricted Stock Unit Notification and Award</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Agreement for Non-U.S. Grantees.</w:t>
        </w:r>
      </w:hyperlink>
    </w:p>
    <w:p>
      <w:pPr>
        <w:spacing w:after="0" w:line="200" w:lineRule="exact"/>
        <w:rPr>
          <w:rFonts w:ascii="Arial" w:cs="Arial" w:eastAsia="Arial" w:hAnsi="Arial"/>
          <w:sz w:val="18"/>
          <w:szCs w:val="18"/>
          <w:u w:val="single" w:color="auto"/>
          <w:color w:val="0000FF"/>
        </w:rPr>
      </w:pPr>
    </w:p>
    <w:p>
      <w:pPr>
        <w:spacing w:after="0" w:line="239" w:lineRule="exact"/>
        <w:rPr>
          <w:rFonts w:ascii="Arial" w:cs="Arial" w:eastAsia="Arial" w:hAnsi="Arial"/>
          <w:sz w:val="18"/>
          <w:szCs w:val="18"/>
          <w:u w:val="single" w:color="auto"/>
          <w:color w:val="0000FF"/>
        </w:rPr>
      </w:pPr>
    </w:p>
    <w:p>
      <w:pPr>
        <w:ind w:left="2400" w:right="480" w:hanging="577"/>
        <w:spacing w:after="0" w:line="246" w:lineRule="auto"/>
        <w:tabs>
          <w:tab w:leader="none" w:pos="2400" w:val="left"/>
        </w:tabs>
        <w:numPr>
          <w:ilvl w:val="0"/>
          <w:numId w:val="23"/>
        </w:numPr>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Form of Restricted Stock Award Agreement for</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Directors.</w:t>
        </w:r>
      </w:hyperlink>
    </w:p>
    <w:p>
      <w:pPr>
        <w:spacing w:after="0" w:line="200" w:lineRule="exact"/>
        <w:rPr>
          <w:rFonts w:ascii="Arial" w:cs="Arial" w:eastAsia="Arial" w:hAnsi="Arial"/>
          <w:sz w:val="18"/>
          <w:szCs w:val="18"/>
          <w:u w:val="single" w:color="auto"/>
          <w:color w:val="0000FF"/>
        </w:rPr>
      </w:pPr>
    </w:p>
    <w:p>
      <w:pPr>
        <w:spacing w:after="0" w:line="239" w:lineRule="exact"/>
        <w:rPr>
          <w:rFonts w:ascii="Arial" w:cs="Arial" w:eastAsia="Arial" w:hAnsi="Arial"/>
          <w:sz w:val="18"/>
          <w:szCs w:val="18"/>
          <w:u w:val="single" w:color="auto"/>
          <w:color w:val="0000FF"/>
        </w:rPr>
      </w:pPr>
    </w:p>
    <w:p>
      <w:pPr>
        <w:ind w:left="2400" w:right="20" w:hanging="577"/>
        <w:spacing w:after="0" w:line="238" w:lineRule="auto"/>
        <w:tabs>
          <w:tab w:leader="none" w:pos="2400" w:val="left"/>
        </w:tabs>
        <w:numPr>
          <w:ilvl w:val="0"/>
          <w:numId w:val="23"/>
        </w:numPr>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Acuity Brands, Inc. Amended and Restated 2012</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Omnibus Stock Incentive Compensation Plan Global</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Performance Unit Notification and Award</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Agreement.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374" w:lineRule="exact"/>
        <w:rPr>
          <w:rFonts w:ascii="Arial" w:cs="Arial" w:eastAsia="Arial" w:hAnsi="Arial"/>
          <w:sz w:val="18"/>
          <w:szCs w:val="18"/>
          <w:u w:val="single" w:color="auto"/>
          <w:color w:val="0000FF"/>
        </w:rPr>
      </w:pPr>
    </w:p>
    <w:p>
      <w:pPr>
        <w:ind w:right="60"/>
        <w:spacing w:after="0" w:line="238" w:lineRule="auto"/>
        <w:rPr>
          <w:sz w:val="20"/>
          <w:szCs w:val="20"/>
          <w:color w:val="auto"/>
        </w:rPr>
      </w:pPr>
      <w:r>
        <w:rPr>
          <w:rFonts w:ascii="Arial" w:cs="Arial" w:eastAsia="Arial" w:hAnsi="Arial"/>
          <w:sz w:val="18"/>
          <w:szCs w:val="18"/>
          <w:color w:val="auto"/>
        </w:rPr>
        <w:t>Reference is made to Exhibit 10(iii)A(72) of the registrant's Form 10-K as filed with the Commission on October 29, 2013, which is incorporated herein by reference.</w:t>
      </w:r>
    </w:p>
    <w:p>
      <w:pPr>
        <w:spacing w:after="0" w:line="43" w:lineRule="exact"/>
        <w:rPr>
          <w:rFonts w:ascii="Arial" w:cs="Arial" w:eastAsia="Arial" w:hAnsi="Arial"/>
          <w:sz w:val="18"/>
          <w:szCs w:val="18"/>
          <w:u w:val="single" w:color="auto"/>
          <w:color w:val="0000FF"/>
        </w:rPr>
      </w:pPr>
    </w:p>
    <w:p>
      <w:pPr>
        <w:ind w:right="40"/>
        <w:spacing w:after="0" w:line="238" w:lineRule="auto"/>
        <w:rPr>
          <w:sz w:val="20"/>
          <w:szCs w:val="20"/>
          <w:color w:val="auto"/>
        </w:rPr>
      </w:pPr>
      <w:r>
        <w:rPr>
          <w:rFonts w:ascii="Arial" w:cs="Arial" w:eastAsia="Arial" w:hAnsi="Arial"/>
          <w:sz w:val="18"/>
          <w:szCs w:val="18"/>
          <w:color w:val="auto"/>
        </w:rPr>
        <w:t>Reference is made to Exhibit 10(iii)A(1) of the registrant's Form 10-Q as filed with the Commission on April 2, 2014, which is incorporated herein by reference.</w:t>
      </w:r>
    </w:p>
    <w:p>
      <w:pPr>
        <w:spacing w:after="0" w:line="43" w:lineRule="exact"/>
        <w:rPr>
          <w:rFonts w:ascii="Arial" w:cs="Arial" w:eastAsia="Arial" w:hAnsi="Arial"/>
          <w:sz w:val="18"/>
          <w:szCs w:val="18"/>
          <w:u w:val="single" w:color="auto"/>
          <w:color w:val="0000FF"/>
        </w:rPr>
      </w:pPr>
    </w:p>
    <w:p>
      <w:pPr>
        <w:ind w:right="60"/>
        <w:spacing w:after="0" w:line="238" w:lineRule="auto"/>
        <w:rPr>
          <w:sz w:val="20"/>
          <w:szCs w:val="20"/>
          <w:color w:val="auto"/>
        </w:rPr>
      </w:pPr>
      <w:r>
        <w:rPr>
          <w:rFonts w:ascii="Arial" w:cs="Arial" w:eastAsia="Arial" w:hAnsi="Arial"/>
          <w:sz w:val="18"/>
          <w:szCs w:val="18"/>
          <w:color w:val="auto"/>
        </w:rPr>
        <w:t>Reference is made to Exhibit 10(iii)A(65) of the registrant's Form 10-K as filed with the Commission on October 29, 2014, which is incorporated herein by reference.</w:t>
      </w:r>
    </w:p>
    <w:p>
      <w:pPr>
        <w:spacing w:after="0" w:line="43" w:lineRule="exact"/>
        <w:rPr>
          <w:rFonts w:ascii="Arial" w:cs="Arial" w:eastAsia="Arial" w:hAnsi="Arial"/>
          <w:sz w:val="18"/>
          <w:szCs w:val="18"/>
          <w:u w:val="single" w:color="auto"/>
          <w:color w:val="0000FF"/>
        </w:rPr>
      </w:pPr>
    </w:p>
    <w:p>
      <w:pPr>
        <w:ind w:right="60"/>
        <w:spacing w:after="0" w:line="238" w:lineRule="auto"/>
        <w:rPr>
          <w:sz w:val="20"/>
          <w:szCs w:val="20"/>
          <w:color w:val="auto"/>
        </w:rPr>
      </w:pPr>
      <w:r>
        <w:rPr>
          <w:rFonts w:ascii="Arial" w:cs="Arial" w:eastAsia="Arial" w:hAnsi="Arial"/>
          <w:sz w:val="18"/>
          <w:szCs w:val="18"/>
          <w:color w:val="auto"/>
        </w:rPr>
        <w:t>Reference is made to Exhibit 10(iii)A(66) of the registrant's Form 10-K as filed with the Commission on October 29, 2014, which is incorporated herein by reference.</w:t>
      </w:r>
    </w:p>
    <w:p>
      <w:pPr>
        <w:spacing w:after="0" w:line="43" w:lineRule="exact"/>
        <w:rPr>
          <w:rFonts w:ascii="Arial" w:cs="Arial" w:eastAsia="Arial" w:hAnsi="Arial"/>
          <w:sz w:val="18"/>
          <w:szCs w:val="18"/>
          <w:u w:val="single" w:color="auto"/>
          <w:color w:val="0000FF"/>
        </w:rPr>
      </w:pPr>
    </w:p>
    <w:p>
      <w:pPr>
        <w:ind w:right="40"/>
        <w:spacing w:after="0" w:line="238" w:lineRule="auto"/>
        <w:rPr>
          <w:sz w:val="20"/>
          <w:szCs w:val="20"/>
          <w:color w:val="auto"/>
        </w:rPr>
      </w:pPr>
      <w:r>
        <w:rPr>
          <w:rFonts w:ascii="Arial" w:cs="Arial" w:eastAsia="Arial" w:hAnsi="Arial"/>
          <w:sz w:val="18"/>
          <w:szCs w:val="18"/>
          <w:color w:val="auto"/>
        </w:rPr>
        <w:t>Reference is made to Exhibit 10(iii)A(1) of the registrant's Form 10-Q as filed with the Commission on April 6, 2016, which is incorporated herein by reference.</w:t>
      </w:r>
    </w:p>
    <w:p>
      <w:pPr>
        <w:spacing w:after="0" w:line="43" w:lineRule="exact"/>
        <w:rPr>
          <w:rFonts w:ascii="Arial" w:cs="Arial" w:eastAsia="Arial" w:hAnsi="Arial"/>
          <w:sz w:val="18"/>
          <w:szCs w:val="18"/>
          <w:u w:val="single" w:color="auto"/>
          <w:color w:val="0000FF"/>
        </w:rPr>
      </w:pPr>
    </w:p>
    <w:p>
      <w:pPr>
        <w:ind w:right="60"/>
        <w:spacing w:after="0" w:line="238" w:lineRule="auto"/>
        <w:rPr>
          <w:sz w:val="20"/>
          <w:szCs w:val="20"/>
          <w:color w:val="auto"/>
        </w:rPr>
      </w:pPr>
      <w:r>
        <w:rPr>
          <w:rFonts w:ascii="Arial" w:cs="Arial" w:eastAsia="Arial" w:hAnsi="Arial"/>
          <w:sz w:val="18"/>
          <w:szCs w:val="18"/>
          <w:color w:val="auto"/>
        </w:rPr>
        <w:t>Reference is made to Exhibit 10(iii)A(70) of the registrant's Form 10-K as filed with the Commission on October 27, 2016, which is incorporated herein by reference.</w:t>
      </w:r>
    </w:p>
    <w:p>
      <w:pPr>
        <w:spacing w:after="0" w:line="43" w:lineRule="exact"/>
        <w:rPr>
          <w:rFonts w:ascii="Arial" w:cs="Arial" w:eastAsia="Arial" w:hAnsi="Arial"/>
          <w:sz w:val="18"/>
          <w:szCs w:val="18"/>
          <w:u w:val="single" w:color="auto"/>
          <w:color w:val="0000FF"/>
        </w:rPr>
      </w:pPr>
    </w:p>
    <w:p>
      <w:pPr>
        <w:ind w:right="60"/>
        <w:spacing w:after="0" w:line="238" w:lineRule="auto"/>
        <w:rPr>
          <w:sz w:val="20"/>
          <w:szCs w:val="20"/>
          <w:color w:val="auto"/>
        </w:rPr>
      </w:pPr>
      <w:r>
        <w:rPr>
          <w:rFonts w:ascii="Arial" w:cs="Arial" w:eastAsia="Arial" w:hAnsi="Arial"/>
          <w:sz w:val="18"/>
          <w:szCs w:val="18"/>
          <w:color w:val="auto"/>
        </w:rPr>
        <w:t>Reference is made to Exhibit 10(iii)A(72) of the registrant's Form 10-K as filed with the Commission on October 26, 2017, which is incorporated herein by reference.</w:t>
      </w:r>
    </w:p>
    <w:p>
      <w:pPr>
        <w:spacing w:after="0" w:line="43" w:lineRule="exact"/>
        <w:rPr>
          <w:rFonts w:ascii="Arial" w:cs="Arial" w:eastAsia="Arial" w:hAnsi="Arial"/>
          <w:sz w:val="18"/>
          <w:szCs w:val="18"/>
          <w:u w:val="single" w:color="auto"/>
          <w:color w:val="0000FF"/>
        </w:rPr>
      </w:pPr>
    </w:p>
    <w:p>
      <w:pPr>
        <w:ind w:right="60"/>
        <w:spacing w:after="0" w:line="238" w:lineRule="auto"/>
        <w:rPr>
          <w:sz w:val="20"/>
          <w:szCs w:val="20"/>
          <w:color w:val="auto"/>
        </w:rPr>
      </w:pPr>
      <w:r>
        <w:rPr>
          <w:rFonts w:ascii="Arial" w:cs="Arial" w:eastAsia="Arial" w:hAnsi="Arial"/>
          <w:sz w:val="18"/>
          <w:szCs w:val="18"/>
          <w:color w:val="auto"/>
        </w:rPr>
        <w:t>Reference is made to Exhibit 10(iii)A(72) of the registrant's Form 10-K as filed with the Commission on October 27, 2016, which is incorporated herein by reference.</w:t>
      </w:r>
    </w:p>
    <w:p>
      <w:pPr>
        <w:spacing w:after="0" w:line="43" w:lineRule="exact"/>
        <w:rPr>
          <w:rFonts w:ascii="Arial" w:cs="Arial" w:eastAsia="Arial" w:hAnsi="Arial"/>
          <w:sz w:val="18"/>
          <w:szCs w:val="18"/>
          <w:u w:val="single" w:color="auto"/>
          <w:color w:val="0000FF"/>
        </w:rPr>
      </w:pPr>
    </w:p>
    <w:p>
      <w:pPr>
        <w:ind w:right="60"/>
        <w:spacing w:after="0" w:line="238" w:lineRule="auto"/>
        <w:rPr>
          <w:sz w:val="20"/>
          <w:szCs w:val="20"/>
          <w:color w:val="auto"/>
        </w:rPr>
      </w:pPr>
      <w:r>
        <w:rPr>
          <w:rFonts w:ascii="Arial" w:cs="Arial" w:eastAsia="Arial" w:hAnsi="Arial"/>
          <w:sz w:val="18"/>
          <w:szCs w:val="18"/>
          <w:color w:val="auto"/>
        </w:rPr>
        <w:t>Reference is made to Exhibit 10(iii)A(73) of the registrant's Form 10-K as filed with the Commission on October 27, 2016, which is incorporated herein by reference.</w:t>
      </w:r>
    </w:p>
    <w:p>
      <w:pPr>
        <w:spacing w:after="0" w:line="43" w:lineRule="exact"/>
        <w:rPr>
          <w:rFonts w:ascii="Arial" w:cs="Arial" w:eastAsia="Arial" w:hAnsi="Arial"/>
          <w:sz w:val="18"/>
          <w:szCs w:val="18"/>
          <w:u w:val="single" w:color="auto"/>
          <w:color w:val="0000FF"/>
        </w:rPr>
      </w:pPr>
    </w:p>
    <w:p>
      <w:pPr>
        <w:spacing w:after="0" w:line="238" w:lineRule="auto"/>
        <w:rPr>
          <w:sz w:val="20"/>
          <w:szCs w:val="20"/>
          <w:color w:val="auto"/>
        </w:rPr>
      </w:pPr>
      <w:r>
        <w:rPr>
          <w:rFonts w:ascii="Arial" w:cs="Arial" w:eastAsia="Arial" w:hAnsi="Arial"/>
          <w:sz w:val="18"/>
          <w:szCs w:val="18"/>
          <w:color w:val="auto"/>
        </w:rPr>
        <w:t>Reference is made to Annex A of the registrant’s Proxy Statement as filed with the Commission on November 21, 2017, which is incorporated herein by reference.</w:t>
      </w:r>
    </w:p>
    <w:p>
      <w:pPr>
        <w:spacing w:after="0" w:line="43" w:lineRule="exact"/>
        <w:rPr>
          <w:rFonts w:ascii="Arial" w:cs="Arial" w:eastAsia="Arial" w:hAnsi="Arial"/>
          <w:sz w:val="18"/>
          <w:szCs w:val="18"/>
          <w:u w:val="single" w:color="auto"/>
          <w:color w:val="0000FF"/>
        </w:rPr>
      </w:pPr>
    </w:p>
    <w:p>
      <w:pPr>
        <w:spacing w:after="0" w:line="238" w:lineRule="auto"/>
        <w:rPr>
          <w:sz w:val="20"/>
          <w:szCs w:val="20"/>
          <w:color w:val="auto"/>
        </w:rPr>
      </w:pPr>
      <w:r>
        <w:rPr>
          <w:rFonts w:ascii="Arial" w:cs="Arial" w:eastAsia="Arial" w:hAnsi="Arial"/>
          <w:sz w:val="18"/>
          <w:szCs w:val="18"/>
          <w:color w:val="auto"/>
        </w:rPr>
        <w:t>Reference is made to Annex B of the registrant’s Proxy Statement as filed with the Commission on November 21, 2017, which is incorporated herein by reference.</w:t>
      </w:r>
    </w:p>
    <w:p>
      <w:pPr>
        <w:spacing w:after="0" w:line="43" w:lineRule="exact"/>
        <w:rPr>
          <w:rFonts w:ascii="Arial" w:cs="Arial" w:eastAsia="Arial" w:hAnsi="Arial"/>
          <w:sz w:val="18"/>
          <w:szCs w:val="18"/>
          <w:u w:val="single" w:color="auto"/>
          <w:color w:val="0000FF"/>
        </w:rPr>
      </w:pPr>
    </w:p>
    <w:p>
      <w:pPr>
        <w:ind w:right="40"/>
        <w:spacing w:after="0" w:line="238" w:lineRule="auto"/>
        <w:rPr>
          <w:sz w:val="20"/>
          <w:szCs w:val="20"/>
          <w:color w:val="auto"/>
        </w:rPr>
      </w:pPr>
      <w:r>
        <w:rPr>
          <w:rFonts w:ascii="Arial" w:cs="Arial" w:eastAsia="Arial" w:hAnsi="Arial"/>
          <w:sz w:val="18"/>
          <w:szCs w:val="18"/>
          <w:color w:val="auto"/>
        </w:rPr>
        <w:t>Reference is made to Exhibit 10(iii)A(1) of the registrant's Form 10-Q as filed with the Commission on April 4, 2018, which is incorporated herein by reference.</w:t>
      </w:r>
    </w:p>
    <w:p>
      <w:pPr>
        <w:spacing w:after="0" w:line="43" w:lineRule="exact"/>
        <w:rPr>
          <w:rFonts w:ascii="Arial" w:cs="Arial" w:eastAsia="Arial" w:hAnsi="Arial"/>
          <w:sz w:val="18"/>
          <w:szCs w:val="18"/>
          <w:u w:val="single" w:color="auto"/>
          <w:color w:val="0000FF"/>
        </w:rPr>
      </w:pPr>
    </w:p>
    <w:p>
      <w:pPr>
        <w:ind w:right="40"/>
        <w:spacing w:after="0" w:line="238" w:lineRule="auto"/>
        <w:rPr>
          <w:sz w:val="20"/>
          <w:szCs w:val="20"/>
          <w:color w:val="auto"/>
        </w:rPr>
      </w:pPr>
      <w:r>
        <w:rPr>
          <w:rFonts w:ascii="Arial" w:cs="Arial" w:eastAsia="Arial" w:hAnsi="Arial"/>
          <w:sz w:val="18"/>
          <w:szCs w:val="18"/>
          <w:color w:val="auto"/>
        </w:rPr>
        <w:t>Reference is made to Exhibit 10(iii)A(2) of the registrant's Form 10-Q as filed with the Commission on April 4, 2018, which is incorporated herein by reference.</w:t>
      </w:r>
    </w:p>
    <w:p>
      <w:pPr>
        <w:spacing w:after="0" w:line="43" w:lineRule="exact"/>
        <w:rPr>
          <w:rFonts w:ascii="Arial" w:cs="Arial" w:eastAsia="Arial" w:hAnsi="Arial"/>
          <w:sz w:val="18"/>
          <w:szCs w:val="18"/>
          <w:u w:val="single" w:color="auto"/>
          <w:color w:val="0000FF"/>
        </w:rPr>
      </w:pPr>
    </w:p>
    <w:p>
      <w:pPr>
        <w:ind w:right="40"/>
        <w:spacing w:after="0" w:line="238" w:lineRule="auto"/>
        <w:rPr>
          <w:sz w:val="20"/>
          <w:szCs w:val="20"/>
          <w:color w:val="auto"/>
        </w:rPr>
      </w:pPr>
      <w:r>
        <w:rPr>
          <w:rFonts w:ascii="Arial" w:cs="Arial" w:eastAsia="Arial" w:hAnsi="Arial"/>
          <w:sz w:val="18"/>
          <w:szCs w:val="18"/>
          <w:color w:val="auto"/>
        </w:rPr>
        <w:t>Reference is made to Exhibit 10(iii)A(3) of the registrant's Form 10-Q as filed with the Commission on April 4, 2018, which is incorporated herein by reference.</w:t>
      </w:r>
    </w:p>
    <w:p>
      <w:pPr>
        <w:spacing w:after="0" w:line="43" w:lineRule="exact"/>
        <w:rPr>
          <w:rFonts w:ascii="Arial" w:cs="Arial" w:eastAsia="Arial" w:hAnsi="Arial"/>
          <w:sz w:val="18"/>
          <w:szCs w:val="18"/>
          <w:u w:val="single" w:color="auto"/>
          <w:color w:val="0000FF"/>
        </w:rPr>
      </w:pPr>
    </w:p>
    <w:p>
      <w:pPr>
        <w:ind w:right="60"/>
        <w:spacing w:after="0" w:line="238" w:lineRule="auto"/>
        <w:rPr>
          <w:sz w:val="20"/>
          <w:szCs w:val="20"/>
          <w:color w:val="auto"/>
        </w:rPr>
      </w:pPr>
      <w:r>
        <w:rPr>
          <w:rFonts w:ascii="Arial" w:cs="Arial" w:eastAsia="Arial" w:hAnsi="Arial"/>
          <w:sz w:val="18"/>
          <w:szCs w:val="18"/>
          <w:color w:val="auto"/>
        </w:rPr>
        <w:t>Reference is made to Exhibit 10(iii)A(93) of the registrant's Form 10-K as filed with the Commission on October 29, 2019, which is incorporated herein by reference.</w:t>
      </w:r>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6600" w:space="400"/>
            <w:col w:w="4160"/>
          </w:cols>
          <w:pgMar w:left="320" w:top="260" w:right="419" w:bottom="1440" w:gutter="0" w:footer="0" w:header="0"/>
        </w:sectPr>
      </w:pPr>
    </w:p>
    <w:p>
      <w:pPr>
        <w:spacing w:after="0" w:line="32" w:lineRule="exact"/>
        <w:rPr>
          <w:rFonts w:ascii="Arial" w:cs="Arial" w:eastAsia="Arial" w:hAnsi="Arial"/>
          <w:sz w:val="18"/>
          <w:szCs w:val="18"/>
          <w:u w:val="single" w:color="auto"/>
          <w:color w:val="0000FF"/>
        </w:rPr>
      </w:pPr>
    </w:p>
    <w:p>
      <w:pPr>
        <w:jc w:val="center"/>
        <w:ind w:right="-7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160"/>
          </w:cols>
          <w:pgMar w:left="320" w:top="260" w:right="41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17"/>
        </w:trPr>
        <w:tc>
          <w:tcPr>
            <w:tcW w:w="162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553"/>
        </w:trPr>
        <w:tc>
          <w:tcPr>
            <w:tcW w:w="16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(107)</w:t>
            </w:r>
          </w:p>
        </w:tc>
        <w:tc>
          <w:tcPr>
            <w:tcW w:w="4180" w:type="dxa"/>
            <w:vAlign w:val="bottom"/>
            <w:gridSpan w:val="13"/>
          </w:tcPr>
          <w:p>
            <w:pPr>
              <w:spacing w:after="0"/>
              <w:rPr>
                <w:rFonts w:ascii="Arial" w:cs="Arial" w:eastAsia="Arial" w:hAnsi="Arial"/>
                <w:sz w:val="18"/>
                <w:szCs w:val="18"/>
                <w:color w:val="0000FF"/>
              </w:rPr>
            </w:pPr>
            <w:hyperlink r:id="rId156">
              <w:r>
                <w:rPr>
                  <w:rFonts w:ascii="Arial" w:cs="Arial" w:eastAsia="Arial" w:hAnsi="Arial"/>
                  <w:sz w:val="18"/>
                  <w:szCs w:val="18"/>
                  <w:color w:val="0000FF"/>
                </w:rPr>
                <w:t>Acuity Brands, Inc. Amended and Restated 2012</w:t>
              </w:r>
            </w:hyperlink>
          </w:p>
        </w:tc>
      </w:tr>
      <w:tr>
        <w:trPr>
          <w:trHeight w:val="20"/>
        </w:trPr>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1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18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156">
              <w:r>
                <w:rPr>
                  <w:rFonts w:ascii="Arial" w:cs="Arial" w:eastAsia="Arial" w:hAnsi="Arial"/>
                  <w:sz w:val="18"/>
                  <w:szCs w:val="18"/>
                  <w:color w:val="0000FF"/>
                  <w:w w:val="99"/>
                </w:rPr>
                <w:t>Omnibus Stock Incentive Compensation Plan Global</w:t>
              </w:r>
            </w:hyperlink>
          </w:p>
        </w:tc>
      </w:tr>
      <w:tr>
        <w:trPr>
          <w:trHeight w:val="183"/>
        </w:trPr>
        <w:tc>
          <w:tcPr>
            <w:tcW w:w="1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180" w:type="dxa"/>
            <w:vAlign w:val="bottom"/>
            <w:gridSpan w:val="13"/>
          </w:tcPr>
          <w:p>
            <w:pPr>
              <w:spacing w:after="0" w:line="182" w:lineRule="exact"/>
              <w:rPr>
                <w:rFonts w:ascii="Arial" w:cs="Arial" w:eastAsia="Arial" w:hAnsi="Arial"/>
                <w:sz w:val="18"/>
                <w:szCs w:val="18"/>
                <w:color w:val="0000FF"/>
              </w:rPr>
            </w:pPr>
            <w:hyperlink r:id="rId156">
              <w:r>
                <w:rPr>
                  <w:rFonts w:ascii="Arial" w:cs="Arial" w:eastAsia="Arial" w:hAnsi="Arial"/>
                  <w:sz w:val="18"/>
                  <w:szCs w:val="18"/>
                  <w:color w:val="0000FF"/>
                </w:rPr>
                <w:t>Restricted Stock Unit Notification and Award</w:t>
              </w:r>
            </w:hyperlink>
          </w:p>
        </w:tc>
      </w:tr>
      <w:tr>
        <w:trPr>
          <w:trHeight w:val="183"/>
        </w:trPr>
        <w:tc>
          <w:tcPr>
            <w:tcW w:w="1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52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r:id="rId156">
              <w:r>
                <w:rPr>
                  <w:rFonts w:ascii="Arial" w:cs="Arial" w:eastAsia="Arial" w:hAnsi="Arial"/>
                  <w:sz w:val="18"/>
                  <w:szCs w:val="18"/>
                  <w:color w:val="0000FF"/>
                </w:rPr>
                <w:t>Agreement.</w:t>
              </w:r>
            </w:hyperlink>
          </w:p>
        </w:tc>
        <w:tc>
          <w:tcPr>
            <w:tcW w:w="660" w:type="dxa"/>
            <w:vAlign w:val="bottom"/>
            <w:gridSpan w:val="6"/>
          </w:tcPr>
          <w:p>
            <w:pPr>
              <w:spacing w:after="0"/>
              <w:rPr>
                <w:sz w:val="15"/>
                <w:szCs w:val="15"/>
                <w:color w:val="auto"/>
              </w:rPr>
            </w:pPr>
          </w:p>
        </w:tc>
      </w:tr>
      <w:tr>
        <w:trPr>
          <w:trHeight w:val="20"/>
        </w:trPr>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1620" w:type="dxa"/>
            <w:vAlign w:val="bottom"/>
          </w:tcPr>
          <w:p>
            <w:pPr>
              <w:ind w:left="40"/>
              <w:spacing w:after="0"/>
              <w:rPr>
                <w:sz w:val="20"/>
                <w:szCs w:val="20"/>
                <w:color w:val="auto"/>
              </w:rPr>
            </w:pPr>
            <w:r>
              <w:rPr>
                <w:rFonts w:ascii="Arial" w:cs="Arial" w:eastAsia="Arial" w:hAnsi="Arial"/>
                <w:sz w:val="18"/>
                <w:szCs w:val="18"/>
                <w:color w:val="auto"/>
              </w:rPr>
              <w:t>EXHIBIT 21</w:t>
            </w:r>
          </w:p>
        </w:tc>
        <w:tc>
          <w:tcPr>
            <w:tcW w:w="780" w:type="dxa"/>
            <w:vAlign w:val="bottom"/>
          </w:tcPr>
          <w:p>
            <w:pPr>
              <w:spacing w:after="0"/>
              <w:rPr>
                <w:sz w:val="24"/>
                <w:szCs w:val="24"/>
                <w:color w:val="auto"/>
              </w:rPr>
            </w:pPr>
          </w:p>
        </w:tc>
        <w:tc>
          <w:tcPr>
            <w:tcW w:w="4180" w:type="dxa"/>
            <w:vAlign w:val="bottom"/>
            <w:gridSpan w:val="13"/>
          </w:tcPr>
          <w:p>
            <w:pPr>
              <w:spacing w:after="0"/>
              <w:rPr>
                <w:rFonts w:ascii="Arial" w:cs="Arial" w:eastAsia="Arial" w:hAnsi="Arial"/>
                <w:sz w:val="18"/>
                <w:szCs w:val="18"/>
                <w:u w:val="single" w:color="auto"/>
                <w:color w:val="0000FF"/>
              </w:rPr>
            </w:pPr>
            <w:hyperlink w:anchor="page172">
              <w:r>
                <w:rPr>
                  <w:rFonts w:ascii="Arial" w:cs="Arial" w:eastAsia="Arial" w:hAnsi="Arial"/>
                  <w:sz w:val="18"/>
                  <w:szCs w:val="18"/>
                  <w:u w:val="single" w:color="auto"/>
                  <w:color w:val="0000FF"/>
                </w:rPr>
                <w:t>List of Subsidiaries.</w:t>
              </w:r>
            </w:hyperlink>
          </w:p>
        </w:tc>
      </w:tr>
      <w:tr>
        <w:trPr>
          <w:trHeight w:val="229"/>
        </w:trPr>
        <w:tc>
          <w:tcPr>
            <w:tcW w:w="1620" w:type="dxa"/>
            <w:vAlign w:val="bottom"/>
          </w:tcPr>
          <w:p>
            <w:pPr>
              <w:ind w:left="40"/>
              <w:spacing w:after="0"/>
              <w:rPr>
                <w:sz w:val="20"/>
                <w:szCs w:val="20"/>
                <w:color w:val="auto"/>
              </w:rPr>
            </w:pPr>
            <w:r>
              <w:rPr>
                <w:rFonts w:ascii="Arial" w:cs="Arial" w:eastAsia="Arial" w:hAnsi="Arial"/>
                <w:sz w:val="18"/>
                <w:szCs w:val="18"/>
                <w:color w:val="auto"/>
              </w:rPr>
              <w:t>EXHIBIT 22</w:t>
            </w:r>
          </w:p>
        </w:tc>
        <w:tc>
          <w:tcPr>
            <w:tcW w:w="780" w:type="dxa"/>
            <w:vAlign w:val="bottom"/>
          </w:tcPr>
          <w:p>
            <w:pPr>
              <w:spacing w:after="0"/>
              <w:rPr>
                <w:sz w:val="19"/>
                <w:szCs w:val="19"/>
                <w:color w:val="auto"/>
              </w:rPr>
            </w:pPr>
          </w:p>
        </w:tc>
        <w:tc>
          <w:tcPr>
            <w:tcW w:w="350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173">
              <w:r>
                <w:rPr>
                  <w:rFonts w:ascii="Arial" w:cs="Arial" w:eastAsia="Arial" w:hAnsi="Arial"/>
                  <w:sz w:val="18"/>
                  <w:szCs w:val="18"/>
                  <w:color w:val="0000FF"/>
                  <w:w w:val="99"/>
                </w:rPr>
                <w:t>List of Guarantors and Subsidiary Issuers of</w:t>
              </w:r>
            </w:hyperlink>
          </w:p>
        </w:tc>
        <w:tc>
          <w:tcPr>
            <w:tcW w:w="680" w:type="dxa"/>
            <w:vAlign w:val="bottom"/>
            <w:gridSpan w:val="7"/>
          </w:tcPr>
          <w:p>
            <w:pPr>
              <w:spacing w:after="0"/>
              <w:rPr>
                <w:sz w:val="19"/>
                <w:szCs w:val="19"/>
                <w:color w:val="auto"/>
              </w:rPr>
            </w:pPr>
          </w:p>
        </w:tc>
      </w:tr>
      <w:tr>
        <w:trPr>
          <w:trHeight w:val="183"/>
        </w:trPr>
        <w:tc>
          <w:tcPr>
            <w:tcW w:w="1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40" w:type="dxa"/>
            <w:vAlign w:val="bottom"/>
            <w:tcBorders>
              <w:bottom w:val="single" w:sz="8" w:color="0000FF"/>
            </w:tcBorders>
            <w:gridSpan w:val="4"/>
          </w:tcPr>
          <w:p>
            <w:pPr>
              <w:spacing w:after="0" w:line="182" w:lineRule="exact"/>
              <w:rPr>
                <w:rFonts w:ascii="Arial" w:cs="Arial" w:eastAsia="Arial" w:hAnsi="Arial"/>
                <w:sz w:val="18"/>
                <w:szCs w:val="18"/>
                <w:color w:val="0000FF"/>
                <w:w w:val="98"/>
              </w:rPr>
            </w:pPr>
            <w:hyperlink w:anchor="page173">
              <w:r>
                <w:rPr>
                  <w:rFonts w:ascii="Arial" w:cs="Arial" w:eastAsia="Arial" w:hAnsi="Arial"/>
                  <w:sz w:val="18"/>
                  <w:szCs w:val="18"/>
                  <w:color w:val="0000FF"/>
                  <w:w w:val="98"/>
                </w:rPr>
                <w:t>Guaranteed Securities.</w:t>
              </w:r>
            </w:hyperlink>
          </w:p>
        </w:tc>
        <w:tc>
          <w:tcPr>
            <w:tcW w:w="2340" w:type="dxa"/>
            <w:vAlign w:val="bottom"/>
            <w:gridSpan w:val="9"/>
          </w:tcPr>
          <w:p>
            <w:pPr>
              <w:spacing w:after="0"/>
              <w:rPr>
                <w:sz w:val="15"/>
                <w:szCs w:val="15"/>
                <w:color w:val="auto"/>
              </w:rPr>
            </w:pPr>
          </w:p>
        </w:tc>
      </w:tr>
      <w:tr>
        <w:trPr>
          <w:trHeight w:val="236"/>
        </w:trPr>
        <w:tc>
          <w:tcPr>
            <w:tcW w:w="1620" w:type="dxa"/>
            <w:vAlign w:val="bottom"/>
          </w:tcPr>
          <w:p>
            <w:pPr>
              <w:ind w:left="40"/>
              <w:spacing w:after="0"/>
              <w:rPr>
                <w:sz w:val="20"/>
                <w:szCs w:val="20"/>
                <w:color w:val="auto"/>
              </w:rPr>
            </w:pPr>
            <w:r>
              <w:rPr>
                <w:rFonts w:ascii="Arial" w:cs="Arial" w:eastAsia="Arial" w:hAnsi="Arial"/>
                <w:sz w:val="18"/>
                <w:szCs w:val="18"/>
                <w:color w:val="auto"/>
              </w:rPr>
              <w:t>EXHIBIT 23</w:t>
            </w:r>
          </w:p>
        </w:tc>
        <w:tc>
          <w:tcPr>
            <w:tcW w:w="780" w:type="dxa"/>
            <w:vAlign w:val="bottom"/>
          </w:tcPr>
          <w:p>
            <w:pPr>
              <w:spacing w:after="0"/>
              <w:rPr>
                <w:sz w:val="20"/>
                <w:szCs w:val="20"/>
                <w:color w:val="auto"/>
              </w:rPr>
            </w:pPr>
          </w:p>
        </w:tc>
        <w:tc>
          <w:tcPr>
            <w:tcW w:w="338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174">
              <w:r>
                <w:rPr>
                  <w:rFonts w:ascii="Arial" w:cs="Arial" w:eastAsia="Arial" w:hAnsi="Arial"/>
                  <w:sz w:val="18"/>
                  <w:szCs w:val="18"/>
                  <w:color w:val="0000FF"/>
                  <w:w w:val="99"/>
                </w:rPr>
                <w:t>Consent of Independent Registered Public</w:t>
              </w:r>
            </w:hyperlink>
          </w:p>
        </w:tc>
        <w:tc>
          <w:tcPr>
            <w:tcW w:w="800" w:type="dxa"/>
            <w:vAlign w:val="bottom"/>
            <w:gridSpan w:val="8"/>
          </w:tcPr>
          <w:p>
            <w:pPr>
              <w:spacing w:after="0"/>
              <w:rPr>
                <w:sz w:val="20"/>
                <w:szCs w:val="20"/>
                <w:color w:val="auto"/>
              </w:rPr>
            </w:pPr>
          </w:p>
        </w:tc>
      </w:tr>
      <w:tr>
        <w:trPr>
          <w:trHeight w:val="183"/>
        </w:trPr>
        <w:tc>
          <w:tcPr>
            <w:tcW w:w="1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180" w:type="dxa"/>
            <w:vAlign w:val="bottom"/>
            <w:gridSpan w:val="13"/>
          </w:tcPr>
          <w:p>
            <w:pPr>
              <w:spacing w:after="0" w:line="182" w:lineRule="exact"/>
              <w:rPr>
                <w:rFonts w:ascii="Arial" w:cs="Arial" w:eastAsia="Arial" w:hAnsi="Arial"/>
                <w:sz w:val="18"/>
                <w:szCs w:val="18"/>
                <w:color w:val="0000FF"/>
              </w:rPr>
            </w:pPr>
            <w:hyperlink w:anchor="page174">
              <w:r>
                <w:rPr>
                  <w:rFonts w:ascii="Arial" w:cs="Arial" w:eastAsia="Arial" w:hAnsi="Arial"/>
                  <w:sz w:val="18"/>
                  <w:szCs w:val="18"/>
                  <w:color w:val="0000FF"/>
                </w:rPr>
                <w:t>Accounting Firm.</w:t>
              </w:r>
            </w:hyperlink>
          </w:p>
        </w:tc>
      </w:tr>
      <w:tr>
        <w:trPr>
          <w:trHeight w:val="20"/>
        </w:trPr>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1620" w:type="dxa"/>
            <w:vAlign w:val="bottom"/>
          </w:tcPr>
          <w:p>
            <w:pPr>
              <w:ind w:left="40"/>
              <w:spacing w:after="0"/>
              <w:rPr>
                <w:sz w:val="20"/>
                <w:szCs w:val="20"/>
                <w:color w:val="auto"/>
              </w:rPr>
            </w:pPr>
            <w:r>
              <w:rPr>
                <w:rFonts w:ascii="Arial" w:cs="Arial" w:eastAsia="Arial" w:hAnsi="Arial"/>
                <w:sz w:val="18"/>
                <w:szCs w:val="18"/>
                <w:color w:val="auto"/>
              </w:rPr>
              <w:t>EXHIBIT 24</w:t>
            </w:r>
          </w:p>
        </w:tc>
        <w:tc>
          <w:tcPr>
            <w:tcW w:w="780" w:type="dxa"/>
            <w:vAlign w:val="bottom"/>
          </w:tcPr>
          <w:p>
            <w:pPr>
              <w:spacing w:after="0"/>
              <w:rPr>
                <w:sz w:val="24"/>
                <w:szCs w:val="24"/>
                <w:color w:val="auto"/>
              </w:rPr>
            </w:pPr>
          </w:p>
        </w:tc>
        <w:tc>
          <w:tcPr>
            <w:tcW w:w="4180" w:type="dxa"/>
            <w:vAlign w:val="bottom"/>
            <w:gridSpan w:val="13"/>
          </w:tcPr>
          <w:p>
            <w:pPr>
              <w:spacing w:after="0"/>
              <w:rPr>
                <w:rFonts w:ascii="Arial" w:cs="Arial" w:eastAsia="Arial" w:hAnsi="Arial"/>
                <w:sz w:val="18"/>
                <w:szCs w:val="18"/>
                <w:u w:val="single" w:color="auto"/>
                <w:color w:val="0000FF"/>
              </w:rPr>
            </w:pPr>
            <w:hyperlink w:anchor="page175">
              <w:r>
                <w:rPr>
                  <w:rFonts w:ascii="Arial" w:cs="Arial" w:eastAsia="Arial" w:hAnsi="Arial"/>
                  <w:sz w:val="18"/>
                  <w:szCs w:val="18"/>
                  <w:u w:val="single" w:color="auto"/>
                  <w:color w:val="0000FF"/>
                </w:rPr>
                <w:t>Powers of Attorney.</w:t>
              </w:r>
            </w:hyperlink>
          </w:p>
        </w:tc>
      </w:tr>
      <w:tr>
        <w:trPr>
          <w:trHeight w:val="229"/>
        </w:trPr>
        <w:tc>
          <w:tcPr>
            <w:tcW w:w="1620" w:type="dxa"/>
            <w:vAlign w:val="bottom"/>
          </w:tcPr>
          <w:p>
            <w:pPr>
              <w:ind w:left="40"/>
              <w:spacing w:after="0"/>
              <w:rPr>
                <w:sz w:val="20"/>
                <w:szCs w:val="20"/>
                <w:color w:val="auto"/>
              </w:rPr>
            </w:pPr>
            <w:r>
              <w:rPr>
                <w:rFonts w:ascii="Arial" w:cs="Arial" w:eastAsia="Arial" w:hAnsi="Arial"/>
                <w:sz w:val="18"/>
                <w:szCs w:val="18"/>
                <w:color w:val="auto"/>
              </w:rPr>
              <w:t>EXHIBIT 31</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4180" w:type="dxa"/>
            <w:vAlign w:val="bottom"/>
            <w:gridSpan w:val="13"/>
          </w:tcPr>
          <w:p>
            <w:pPr>
              <w:spacing w:after="0"/>
              <w:rPr>
                <w:rFonts w:ascii="Arial" w:cs="Arial" w:eastAsia="Arial" w:hAnsi="Arial"/>
                <w:sz w:val="18"/>
                <w:szCs w:val="18"/>
                <w:color w:val="0000FF"/>
              </w:rPr>
            </w:pPr>
            <w:hyperlink w:anchor="page186">
              <w:r>
                <w:rPr>
                  <w:rFonts w:ascii="Arial" w:cs="Arial" w:eastAsia="Arial" w:hAnsi="Arial"/>
                  <w:sz w:val="18"/>
                  <w:szCs w:val="18"/>
                  <w:color w:val="0000FF"/>
                </w:rPr>
                <w:t>Certification of the Chief Executive Officer of the</w:t>
              </w:r>
            </w:hyperlink>
          </w:p>
        </w:tc>
      </w:tr>
      <w:tr>
        <w:trPr>
          <w:trHeight w:val="20"/>
        </w:trPr>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1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10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w:anchor="page186">
              <w:r>
                <w:rPr>
                  <w:rFonts w:ascii="Arial" w:cs="Arial" w:eastAsia="Arial" w:hAnsi="Arial"/>
                  <w:sz w:val="18"/>
                  <w:szCs w:val="18"/>
                  <w:color w:val="0000FF"/>
                  <w:w w:val="99"/>
                </w:rPr>
                <w:t>Company pursuant to Section 302 of the Sarbanes-</w:t>
              </w:r>
            </w:hyperlink>
          </w:p>
        </w:tc>
        <w:tc>
          <w:tcPr>
            <w:tcW w:w="80" w:type="dxa"/>
            <w:vAlign w:val="bottom"/>
          </w:tcPr>
          <w:p>
            <w:pPr>
              <w:spacing w:after="0"/>
              <w:rPr>
                <w:sz w:val="15"/>
                <w:szCs w:val="15"/>
                <w:color w:val="auto"/>
              </w:rPr>
            </w:pPr>
          </w:p>
        </w:tc>
      </w:tr>
      <w:tr>
        <w:trPr>
          <w:trHeight w:val="183"/>
        </w:trPr>
        <w:tc>
          <w:tcPr>
            <w:tcW w:w="1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180" w:type="dxa"/>
            <w:vAlign w:val="bottom"/>
            <w:gridSpan w:val="13"/>
          </w:tcPr>
          <w:p>
            <w:pPr>
              <w:spacing w:after="0" w:line="182" w:lineRule="exact"/>
              <w:rPr>
                <w:rFonts w:ascii="Arial" w:cs="Arial" w:eastAsia="Arial" w:hAnsi="Arial"/>
                <w:sz w:val="18"/>
                <w:szCs w:val="18"/>
                <w:color w:val="0000FF"/>
              </w:rPr>
            </w:pPr>
            <w:hyperlink w:anchor="page186">
              <w:r>
                <w:rPr>
                  <w:rFonts w:ascii="Arial" w:cs="Arial" w:eastAsia="Arial" w:hAnsi="Arial"/>
                  <w:sz w:val="18"/>
                  <w:szCs w:val="18"/>
                  <w:color w:val="0000FF"/>
                </w:rPr>
                <w:t>Oxley Act of 2002.</w:t>
              </w:r>
            </w:hyperlink>
          </w:p>
        </w:tc>
      </w:tr>
      <w:tr>
        <w:trPr>
          <w:trHeight w:val="20"/>
        </w:trPr>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37"/>
        </w:trPr>
        <w:tc>
          <w:tcPr>
            <w:tcW w:w="16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4180" w:type="dxa"/>
            <w:vAlign w:val="bottom"/>
            <w:gridSpan w:val="13"/>
          </w:tcPr>
          <w:p>
            <w:pPr>
              <w:spacing w:after="0"/>
              <w:rPr>
                <w:rFonts w:ascii="Arial" w:cs="Arial" w:eastAsia="Arial" w:hAnsi="Arial"/>
                <w:sz w:val="18"/>
                <w:szCs w:val="18"/>
                <w:color w:val="0000FF"/>
              </w:rPr>
            </w:pPr>
            <w:hyperlink w:anchor="page187">
              <w:r>
                <w:rPr>
                  <w:rFonts w:ascii="Arial" w:cs="Arial" w:eastAsia="Arial" w:hAnsi="Arial"/>
                  <w:sz w:val="18"/>
                  <w:szCs w:val="18"/>
                  <w:color w:val="0000FF"/>
                </w:rPr>
                <w:t>Certification of the Chief Financial Officer of the</w:t>
              </w:r>
            </w:hyperlink>
          </w:p>
        </w:tc>
      </w:tr>
      <w:tr>
        <w:trPr>
          <w:trHeight w:val="20"/>
        </w:trPr>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83"/>
        </w:trPr>
        <w:tc>
          <w:tcPr>
            <w:tcW w:w="1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10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w:anchor="page187">
              <w:r>
                <w:rPr>
                  <w:rFonts w:ascii="Arial" w:cs="Arial" w:eastAsia="Arial" w:hAnsi="Arial"/>
                  <w:sz w:val="18"/>
                  <w:szCs w:val="18"/>
                  <w:color w:val="0000FF"/>
                  <w:w w:val="99"/>
                </w:rPr>
                <w:t>Company pursuant to Section 302 of the Sarbanes-</w:t>
              </w:r>
            </w:hyperlink>
          </w:p>
        </w:tc>
        <w:tc>
          <w:tcPr>
            <w:tcW w:w="80" w:type="dxa"/>
            <w:vAlign w:val="bottom"/>
          </w:tcPr>
          <w:p>
            <w:pPr>
              <w:spacing w:after="0"/>
              <w:rPr>
                <w:sz w:val="15"/>
                <w:szCs w:val="15"/>
                <w:color w:val="auto"/>
              </w:rPr>
            </w:pPr>
          </w:p>
        </w:tc>
      </w:tr>
      <w:tr>
        <w:trPr>
          <w:trHeight w:val="183"/>
        </w:trPr>
        <w:tc>
          <w:tcPr>
            <w:tcW w:w="1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180" w:type="dxa"/>
            <w:vAlign w:val="bottom"/>
            <w:gridSpan w:val="13"/>
          </w:tcPr>
          <w:p>
            <w:pPr>
              <w:spacing w:after="0" w:line="182" w:lineRule="exact"/>
              <w:rPr>
                <w:rFonts w:ascii="Arial" w:cs="Arial" w:eastAsia="Arial" w:hAnsi="Arial"/>
                <w:sz w:val="18"/>
                <w:szCs w:val="18"/>
                <w:color w:val="0000FF"/>
              </w:rPr>
            </w:pPr>
            <w:hyperlink w:anchor="page187">
              <w:r>
                <w:rPr>
                  <w:rFonts w:ascii="Arial" w:cs="Arial" w:eastAsia="Arial" w:hAnsi="Arial"/>
                  <w:sz w:val="18"/>
                  <w:szCs w:val="18"/>
                  <w:color w:val="0000FF"/>
                </w:rPr>
                <w:t>Oxley Act of 2002.</w:t>
              </w:r>
            </w:hyperlink>
          </w:p>
        </w:tc>
      </w:tr>
      <w:tr>
        <w:trPr>
          <w:trHeight w:val="20"/>
        </w:trPr>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37"/>
        </w:trPr>
        <w:tc>
          <w:tcPr>
            <w:tcW w:w="1620" w:type="dxa"/>
            <w:vAlign w:val="bottom"/>
          </w:tcPr>
          <w:p>
            <w:pPr>
              <w:ind w:left="40"/>
              <w:spacing w:after="0"/>
              <w:rPr>
                <w:sz w:val="20"/>
                <w:szCs w:val="20"/>
                <w:color w:val="auto"/>
              </w:rPr>
            </w:pPr>
            <w:r>
              <w:rPr>
                <w:rFonts w:ascii="Arial" w:cs="Arial" w:eastAsia="Arial" w:hAnsi="Arial"/>
                <w:sz w:val="18"/>
                <w:szCs w:val="18"/>
                <w:color w:val="auto"/>
              </w:rPr>
              <w:t>EXHIBIT 32</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4180" w:type="dxa"/>
            <w:vAlign w:val="bottom"/>
            <w:gridSpan w:val="13"/>
          </w:tcPr>
          <w:p>
            <w:pPr>
              <w:spacing w:after="0"/>
              <w:rPr>
                <w:rFonts w:ascii="Arial" w:cs="Arial" w:eastAsia="Arial" w:hAnsi="Arial"/>
                <w:sz w:val="18"/>
                <w:szCs w:val="18"/>
                <w:color w:val="0000FF"/>
              </w:rPr>
            </w:pPr>
            <w:hyperlink w:anchor="page188">
              <w:r>
                <w:rPr>
                  <w:rFonts w:ascii="Arial" w:cs="Arial" w:eastAsia="Arial" w:hAnsi="Arial"/>
                  <w:sz w:val="18"/>
                  <w:szCs w:val="18"/>
                  <w:color w:val="0000FF"/>
                </w:rPr>
                <w:t>Certification of the Chief Executive Officer of the</w:t>
              </w:r>
            </w:hyperlink>
          </w:p>
        </w:tc>
      </w:tr>
      <w:tr>
        <w:trPr>
          <w:trHeight w:val="20"/>
        </w:trPr>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83"/>
        </w:trPr>
        <w:tc>
          <w:tcPr>
            <w:tcW w:w="1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94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w:anchor="page188">
              <w:r>
                <w:rPr>
                  <w:rFonts w:ascii="Arial" w:cs="Arial" w:eastAsia="Arial" w:hAnsi="Arial"/>
                  <w:sz w:val="18"/>
                  <w:szCs w:val="18"/>
                  <w:color w:val="0000FF"/>
                  <w:w w:val="99"/>
                </w:rPr>
                <w:t>Company pursuant to 18 U.S.C. Section 1350, as</w:t>
              </w:r>
            </w:hyperlink>
          </w:p>
        </w:tc>
        <w:tc>
          <w:tcPr>
            <w:tcW w:w="240" w:type="dxa"/>
            <w:vAlign w:val="bottom"/>
            <w:gridSpan w:val="3"/>
          </w:tcPr>
          <w:p>
            <w:pPr>
              <w:spacing w:after="0"/>
              <w:rPr>
                <w:sz w:val="15"/>
                <w:szCs w:val="15"/>
                <w:color w:val="auto"/>
              </w:rPr>
            </w:pPr>
          </w:p>
        </w:tc>
      </w:tr>
      <w:tr>
        <w:trPr>
          <w:trHeight w:val="183"/>
        </w:trPr>
        <w:tc>
          <w:tcPr>
            <w:tcW w:w="1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98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w:anchor="page188">
              <w:r>
                <w:rPr>
                  <w:rFonts w:ascii="Arial" w:cs="Arial" w:eastAsia="Arial" w:hAnsi="Arial"/>
                  <w:sz w:val="18"/>
                  <w:szCs w:val="18"/>
                  <w:color w:val="0000FF"/>
                  <w:w w:val="99"/>
                </w:rPr>
                <w:t>adopted pursuant to Section 906 of the Sarbanes-</w:t>
              </w:r>
            </w:hyperlink>
          </w:p>
        </w:tc>
        <w:tc>
          <w:tcPr>
            <w:tcW w:w="200" w:type="dxa"/>
            <w:vAlign w:val="bottom"/>
            <w:gridSpan w:val="2"/>
          </w:tcPr>
          <w:p>
            <w:pPr>
              <w:spacing w:after="0"/>
              <w:rPr>
                <w:sz w:val="15"/>
                <w:szCs w:val="15"/>
                <w:color w:val="auto"/>
              </w:rPr>
            </w:pPr>
          </w:p>
        </w:tc>
      </w:tr>
      <w:tr>
        <w:trPr>
          <w:trHeight w:val="183"/>
        </w:trPr>
        <w:tc>
          <w:tcPr>
            <w:tcW w:w="1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180" w:type="dxa"/>
            <w:vAlign w:val="bottom"/>
            <w:gridSpan w:val="13"/>
          </w:tcPr>
          <w:p>
            <w:pPr>
              <w:spacing w:after="0" w:line="182" w:lineRule="exact"/>
              <w:rPr>
                <w:rFonts w:ascii="Arial" w:cs="Arial" w:eastAsia="Arial" w:hAnsi="Arial"/>
                <w:sz w:val="18"/>
                <w:szCs w:val="18"/>
                <w:color w:val="0000FF"/>
              </w:rPr>
            </w:pPr>
            <w:hyperlink w:anchor="page188">
              <w:r>
                <w:rPr>
                  <w:rFonts w:ascii="Arial" w:cs="Arial" w:eastAsia="Arial" w:hAnsi="Arial"/>
                  <w:sz w:val="18"/>
                  <w:szCs w:val="18"/>
                  <w:color w:val="0000FF"/>
                </w:rPr>
                <w:t>Oxley Act of 2002.</w:t>
              </w:r>
            </w:hyperlink>
          </w:p>
        </w:tc>
      </w:tr>
      <w:tr>
        <w:trPr>
          <w:trHeight w:val="20"/>
        </w:trPr>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r>
      <w:tr>
        <w:trPr>
          <w:trHeight w:val="236"/>
        </w:trPr>
        <w:tc>
          <w:tcPr>
            <w:tcW w:w="16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4180" w:type="dxa"/>
            <w:vAlign w:val="bottom"/>
            <w:gridSpan w:val="13"/>
          </w:tcPr>
          <w:p>
            <w:pPr>
              <w:spacing w:after="0"/>
              <w:rPr>
                <w:rFonts w:ascii="Arial" w:cs="Arial" w:eastAsia="Arial" w:hAnsi="Arial"/>
                <w:sz w:val="18"/>
                <w:szCs w:val="18"/>
                <w:color w:val="0000FF"/>
              </w:rPr>
            </w:pPr>
            <w:hyperlink w:anchor="page189">
              <w:r>
                <w:rPr>
                  <w:rFonts w:ascii="Arial" w:cs="Arial" w:eastAsia="Arial" w:hAnsi="Arial"/>
                  <w:sz w:val="18"/>
                  <w:szCs w:val="18"/>
                  <w:color w:val="0000FF"/>
                </w:rPr>
                <w:t>Certification of the Chief Executive Officer of the</w:t>
              </w:r>
            </w:hyperlink>
          </w:p>
        </w:tc>
      </w:tr>
      <w:tr>
        <w:trPr>
          <w:trHeight w:val="20"/>
        </w:trPr>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420" w:type="dxa"/>
            <w:vAlign w:val="bottom"/>
            <w:tcBorders>
              <w:left w:val="single" w:sz="8" w:color="0000FF"/>
            </w:tcBorders>
            <w:gridSpan w:val="5"/>
          </w:tcPr>
          <w:p>
            <w:pPr>
              <w:spacing w:after="0" w:line="20" w:lineRule="exact"/>
              <w:rPr>
                <w:sz w:val="1"/>
                <w:szCs w:val="1"/>
                <w:color w:val="auto"/>
              </w:rPr>
            </w:pPr>
          </w:p>
        </w:tc>
      </w:tr>
      <w:tr>
        <w:trPr>
          <w:trHeight w:val="183"/>
        </w:trPr>
        <w:tc>
          <w:tcPr>
            <w:tcW w:w="1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94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w:anchor="page189">
              <w:r>
                <w:rPr>
                  <w:rFonts w:ascii="Arial" w:cs="Arial" w:eastAsia="Arial" w:hAnsi="Arial"/>
                  <w:sz w:val="18"/>
                  <w:szCs w:val="18"/>
                  <w:color w:val="0000FF"/>
                  <w:w w:val="99"/>
                </w:rPr>
                <w:t>Company pursuant to 18 U.S.C. Section 1350, as</w:t>
              </w:r>
            </w:hyperlink>
          </w:p>
        </w:tc>
        <w:tc>
          <w:tcPr>
            <w:tcW w:w="240" w:type="dxa"/>
            <w:vAlign w:val="bottom"/>
            <w:gridSpan w:val="3"/>
          </w:tcPr>
          <w:p>
            <w:pPr>
              <w:spacing w:after="0"/>
              <w:rPr>
                <w:sz w:val="15"/>
                <w:szCs w:val="15"/>
                <w:color w:val="auto"/>
              </w:rPr>
            </w:pPr>
          </w:p>
        </w:tc>
      </w:tr>
      <w:tr>
        <w:trPr>
          <w:trHeight w:val="183"/>
        </w:trPr>
        <w:tc>
          <w:tcPr>
            <w:tcW w:w="1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98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w:anchor="page189">
              <w:r>
                <w:rPr>
                  <w:rFonts w:ascii="Arial" w:cs="Arial" w:eastAsia="Arial" w:hAnsi="Arial"/>
                  <w:sz w:val="18"/>
                  <w:szCs w:val="18"/>
                  <w:color w:val="0000FF"/>
                  <w:w w:val="99"/>
                </w:rPr>
                <w:t>adopted pursuant to Section 906 of the Sarbanes-</w:t>
              </w:r>
            </w:hyperlink>
          </w:p>
        </w:tc>
        <w:tc>
          <w:tcPr>
            <w:tcW w:w="200" w:type="dxa"/>
            <w:vAlign w:val="bottom"/>
            <w:gridSpan w:val="2"/>
          </w:tcPr>
          <w:p>
            <w:pPr>
              <w:spacing w:after="0"/>
              <w:rPr>
                <w:sz w:val="15"/>
                <w:szCs w:val="15"/>
                <w:color w:val="auto"/>
              </w:rPr>
            </w:pPr>
          </w:p>
        </w:tc>
      </w:tr>
      <w:tr>
        <w:trPr>
          <w:trHeight w:val="183"/>
        </w:trPr>
        <w:tc>
          <w:tcPr>
            <w:tcW w:w="1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180" w:type="dxa"/>
            <w:vAlign w:val="bottom"/>
            <w:gridSpan w:val="13"/>
          </w:tcPr>
          <w:p>
            <w:pPr>
              <w:spacing w:after="0" w:line="182" w:lineRule="exact"/>
              <w:rPr>
                <w:rFonts w:ascii="Arial" w:cs="Arial" w:eastAsia="Arial" w:hAnsi="Arial"/>
                <w:sz w:val="18"/>
                <w:szCs w:val="18"/>
                <w:color w:val="0000FF"/>
              </w:rPr>
            </w:pPr>
            <w:hyperlink w:anchor="page189">
              <w:r>
                <w:rPr>
                  <w:rFonts w:ascii="Arial" w:cs="Arial" w:eastAsia="Arial" w:hAnsi="Arial"/>
                  <w:sz w:val="18"/>
                  <w:szCs w:val="18"/>
                  <w:color w:val="0000FF"/>
                </w:rPr>
                <w:t>Oxley Act of 2002.</w:t>
              </w:r>
            </w:hyperlink>
          </w:p>
        </w:tc>
      </w:tr>
      <w:tr>
        <w:trPr>
          <w:trHeight w:val="20"/>
        </w:trPr>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r>
      <w:tr>
        <w:trPr>
          <w:trHeight w:val="277"/>
        </w:trPr>
        <w:tc>
          <w:tcPr>
            <w:tcW w:w="1620" w:type="dxa"/>
            <w:vAlign w:val="bottom"/>
          </w:tcPr>
          <w:p>
            <w:pPr>
              <w:ind w:left="40"/>
              <w:spacing w:after="0"/>
              <w:rPr>
                <w:sz w:val="20"/>
                <w:szCs w:val="20"/>
                <w:color w:val="auto"/>
              </w:rPr>
            </w:pPr>
            <w:r>
              <w:rPr>
                <w:rFonts w:ascii="Arial" w:cs="Arial" w:eastAsia="Arial" w:hAnsi="Arial"/>
                <w:sz w:val="18"/>
                <w:szCs w:val="18"/>
                <w:color w:val="auto"/>
              </w:rPr>
              <w:t>EXHIBIT 101</w:t>
            </w: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.INS</w:t>
            </w:r>
          </w:p>
        </w:tc>
        <w:tc>
          <w:tcPr>
            <w:tcW w:w="418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r>
      <w:tr>
        <w:trPr>
          <w:trHeight w:val="661"/>
        </w:trPr>
        <w:tc>
          <w:tcPr>
            <w:tcW w:w="16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.SCH</w:t>
            </w:r>
          </w:p>
        </w:tc>
        <w:tc>
          <w:tcPr>
            <w:tcW w:w="418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56"/>
        </w:trPr>
        <w:tc>
          <w:tcPr>
            <w:tcW w:w="16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.CAL</w:t>
            </w:r>
          </w:p>
        </w:tc>
        <w:tc>
          <w:tcPr>
            <w:tcW w:w="418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17"/>
        </w:trPr>
        <w:tc>
          <w:tcPr>
            <w:tcW w:w="1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80" w:type="dxa"/>
            <w:vAlign w:val="bottom"/>
            <w:gridSpan w:val="13"/>
          </w:tcPr>
          <w:p>
            <w:pPr>
              <w:spacing w:after="0"/>
              <w:rPr>
                <w:sz w:val="20"/>
                <w:szCs w:val="20"/>
                <w:color w:val="auto"/>
              </w:rPr>
            </w:pPr>
            <w:r>
              <w:rPr>
                <w:rFonts w:ascii="Arial" w:cs="Arial" w:eastAsia="Arial" w:hAnsi="Arial"/>
                <w:sz w:val="18"/>
                <w:szCs w:val="18"/>
                <w:color w:val="auto"/>
              </w:rPr>
              <w:t>Document.</w:t>
            </w:r>
          </w:p>
        </w:tc>
      </w:tr>
      <w:tr>
        <w:trPr>
          <w:trHeight w:val="242"/>
        </w:trPr>
        <w:tc>
          <w:tcPr>
            <w:tcW w:w="16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.DEF</w:t>
            </w:r>
          </w:p>
        </w:tc>
        <w:tc>
          <w:tcPr>
            <w:tcW w:w="418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17"/>
        </w:trPr>
        <w:tc>
          <w:tcPr>
            <w:tcW w:w="1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80" w:type="dxa"/>
            <w:vAlign w:val="bottom"/>
            <w:gridSpan w:val="13"/>
          </w:tcPr>
          <w:p>
            <w:pPr>
              <w:spacing w:after="0"/>
              <w:rPr>
                <w:sz w:val="20"/>
                <w:szCs w:val="20"/>
                <w:color w:val="auto"/>
              </w:rPr>
            </w:pPr>
            <w:r>
              <w:rPr>
                <w:rFonts w:ascii="Arial" w:cs="Arial" w:eastAsia="Arial" w:hAnsi="Arial"/>
                <w:sz w:val="18"/>
                <w:szCs w:val="18"/>
                <w:color w:val="auto"/>
              </w:rPr>
              <w:t>Document.</w:t>
            </w:r>
          </w:p>
        </w:tc>
      </w:tr>
      <w:tr>
        <w:trPr>
          <w:trHeight w:val="242"/>
        </w:trPr>
        <w:tc>
          <w:tcPr>
            <w:tcW w:w="16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.LAB</w:t>
            </w:r>
          </w:p>
        </w:tc>
        <w:tc>
          <w:tcPr>
            <w:tcW w:w="418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w:t>
            </w:r>
          </w:p>
        </w:tc>
      </w:tr>
      <w:tr>
        <w:trPr>
          <w:trHeight w:val="217"/>
        </w:trPr>
        <w:tc>
          <w:tcPr>
            <w:tcW w:w="1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80" w:type="dxa"/>
            <w:vAlign w:val="bottom"/>
            <w:gridSpan w:val="13"/>
          </w:tcPr>
          <w:p>
            <w:pPr>
              <w:spacing w:after="0"/>
              <w:rPr>
                <w:sz w:val="20"/>
                <w:szCs w:val="20"/>
                <w:color w:val="auto"/>
              </w:rPr>
            </w:pPr>
            <w:r>
              <w:rPr>
                <w:rFonts w:ascii="Arial" w:cs="Arial" w:eastAsia="Arial" w:hAnsi="Arial"/>
                <w:sz w:val="18"/>
                <w:szCs w:val="18"/>
                <w:color w:val="auto"/>
              </w:rPr>
              <w:t>Document.</w:t>
            </w:r>
          </w:p>
        </w:tc>
      </w:tr>
      <w:tr>
        <w:trPr>
          <w:trHeight w:val="242"/>
        </w:trPr>
        <w:tc>
          <w:tcPr>
            <w:tcW w:w="16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.PRE</w:t>
            </w:r>
          </w:p>
        </w:tc>
        <w:tc>
          <w:tcPr>
            <w:tcW w:w="418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217"/>
        </w:trPr>
        <w:tc>
          <w:tcPr>
            <w:tcW w:w="1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80" w:type="dxa"/>
            <w:vAlign w:val="bottom"/>
            <w:gridSpan w:val="13"/>
          </w:tcPr>
          <w:p>
            <w:pPr>
              <w:spacing w:after="0"/>
              <w:rPr>
                <w:sz w:val="20"/>
                <w:szCs w:val="20"/>
                <w:color w:val="auto"/>
              </w:rPr>
            </w:pPr>
            <w:r>
              <w:rPr>
                <w:rFonts w:ascii="Arial" w:cs="Arial" w:eastAsia="Arial" w:hAnsi="Arial"/>
                <w:sz w:val="18"/>
                <w:szCs w:val="18"/>
                <w:color w:val="auto"/>
              </w:rPr>
              <w:t>Document.</w:t>
            </w:r>
          </w:p>
        </w:tc>
      </w:tr>
      <w:tr>
        <w:trPr>
          <w:trHeight w:val="661"/>
        </w:trPr>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380" w:type="dxa"/>
            <w:vAlign w:val="bottom"/>
            <w:gridSpan w:val="5"/>
          </w:tcPr>
          <w:p>
            <w:pPr>
              <w:ind w:left="312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Reference is made to Exhibit 10(iii)A(94) of the registrant's Form 10-K as filed with the Commission on October 29, 2019, which is incorporated herein by reference.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400"/>
        <w:spacing w:after="0" w:line="261" w:lineRule="auto"/>
        <w:rPr>
          <w:sz w:val="20"/>
          <w:szCs w:val="20"/>
          <w:color w:val="auto"/>
        </w:rPr>
      </w:pPr>
      <w:r>
        <w:rPr>
          <w:rFonts w:ascii="Arial" w:cs="Arial" w:eastAsia="Arial" w:hAnsi="Arial"/>
          <w:sz w:val="17"/>
          <w:szCs w:val="17"/>
          <w:color w:val="auto"/>
        </w:rPr>
        <w:t>The instance document does not appear in the Interactive Data File because its XBRL tags are embedded within the Inline XBRL document.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ectPr>
          <w:pgSz w:w="11900" w:h="16838" w:orient="portrait"/>
          <w:cols w:equalWidth="0" w:num="2">
            <w:col w:w="6580" w:space="420"/>
            <w:col w:w="4180"/>
          </w:cols>
          <w:pgMar w:left="320" w:top="260" w:right="39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139"/>
          </w:cols>
          <w:pgMar w:left="320" w:top="260" w:right="1440"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5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ACUITY BRANDS, INC.</w:t>
      </w:r>
    </w:p>
    <w:p>
      <w:pPr>
        <w:spacing w:after="0" w:line="171" w:lineRule="exact"/>
        <w:rPr>
          <w:sz w:val="20"/>
          <w:szCs w:val="20"/>
          <w:color w:val="auto"/>
        </w:rPr>
      </w:pPr>
    </w:p>
    <w:p>
      <w:pPr>
        <w:ind w:left="340"/>
        <w:spacing w:after="0"/>
        <w:tabs>
          <w:tab w:leader="none" w:pos="4400" w:val="left"/>
          <w:tab w:leader="none" w:pos="7300" w:val="left"/>
        </w:tabs>
        <w:rPr>
          <w:sz w:val="20"/>
          <w:szCs w:val="20"/>
          <w:color w:val="auto"/>
        </w:rPr>
      </w:pPr>
      <w:r>
        <w:rPr>
          <w:rFonts w:ascii="Arial" w:cs="Arial" w:eastAsia="Arial" w:hAnsi="Arial"/>
          <w:sz w:val="18"/>
          <w:szCs w:val="18"/>
          <w:color w:val="auto"/>
        </w:rPr>
        <w:t>Date: October 23,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23495</wp:posOffset>
            </wp:positionV>
            <wp:extent cx="39776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57">
                      <a:extLst>
                        <a:ext uri="{28A0092B-C50C-407E-A947-70E740481C1C}"/>
                      </a:extLst>
                    </a:blip>
                    <a:srcRect/>
                    <a:stretch>
                      <a:fillRect/>
                    </a:stretch>
                  </pic:blipFill>
                  <pic:spPr bwMode="auto">
                    <a:xfrm>
                      <a:off x="0" y="0"/>
                      <a:ext cx="3977640" cy="8890"/>
                    </a:xfrm>
                    <a:prstGeom prst="rect">
                      <a:avLst/>
                    </a:prstGeom>
                    <a:noFill/>
                  </pic:spPr>
                </pic:pic>
              </a:graphicData>
            </a:graphic>
          </wp:anchor>
        </w:drawing>
      </w:r>
    </w:p>
    <w:p>
      <w:pPr>
        <w:spacing w:after="0" w:line="35" w:lineRule="exact"/>
        <w:rPr>
          <w:sz w:val="20"/>
          <w:szCs w:val="20"/>
          <w:color w:val="auto"/>
        </w:rPr>
      </w:pPr>
    </w:p>
    <w:p>
      <w:pPr>
        <w:jc w:val="center"/>
        <w:ind w:left="4900"/>
        <w:spacing w:after="0"/>
        <w:rPr>
          <w:sz w:val="20"/>
          <w:szCs w:val="20"/>
          <w:color w:val="auto"/>
        </w:rPr>
      </w:pPr>
      <w:r>
        <w:rPr>
          <w:rFonts w:ascii="Arial" w:cs="Arial" w:eastAsia="Arial" w:hAnsi="Arial"/>
          <w:sz w:val="18"/>
          <w:szCs w:val="18"/>
          <w:b w:val="1"/>
          <w:bCs w:val="1"/>
          <w:color w:val="auto"/>
        </w:rPr>
        <w:t>Neil M. Ashe</w:t>
      </w:r>
    </w:p>
    <w:p>
      <w:pPr>
        <w:spacing w:after="0" w:line="18" w:lineRule="exact"/>
        <w:rPr>
          <w:sz w:val="20"/>
          <w:szCs w:val="20"/>
          <w:color w:val="auto"/>
        </w:rPr>
      </w:pPr>
    </w:p>
    <w:p>
      <w:pPr>
        <w:jc w:val="center"/>
        <w:ind w:left="49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36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4"/>
              </w:rPr>
              <w:t>/s/</w:t>
            </w:r>
          </w:p>
        </w:tc>
        <w:tc>
          <w:tcPr>
            <w:tcW w:w="26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NEIL M. ASHE</w:t>
            </w:r>
          </w:p>
        </w:tc>
        <w:tc>
          <w:tcPr>
            <w:tcW w:w="58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23, 2020</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40" w:type="dxa"/>
            <w:vAlign w:val="bottom"/>
            <w:gridSpan w:val="3"/>
          </w:tcPr>
          <w:p>
            <w:pPr>
              <w:jc w:val="center"/>
              <w:ind w:right="1540"/>
              <w:spacing w:after="0"/>
              <w:rPr>
                <w:sz w:val="20"/>
                <w:szCs w:val="20"/>
                <w:color w:val="auto"/>
              </w:rPr>
            </w:pPr>
            <w:r>
              <w:rPr>
                <w:rFonts w:ascii="Arial" w:cs="Arial" w:eastAsia="Arial" w:hAnsi="Arial"/>
                <w:sz w:val="18"/>
                <w:szCs w:val="18"/>
                <w:b w:val="1"/>
                <w:bCs w:val="1"/>
                <w:color w:val="auto"/>
                <w:w w:val="98"/>
              </w:rPr>
              <w:t>Neil M. Ashe</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900" w:type="dxa"/>
            <w:vAlign w:val="bottom"/>
          </w:tcPr>
          <w:p>
            <w:pPr>
              <w:spacing w:after="0"/>
              <w:rPr>
                <w:sz w:val="24"/>
                <w:szCs w:val="24"/>
                <w:color w:val="auto"/>
              </w:rPr>
            </w:pPr>
          </w:p>
        </w:tc>
        <w:tc>
          <w:tcPr>
            <w:tcW w:w="3300" w:type="dxa"/>
            <w:vAlign w:val="bottom"/>
            <w:gridSpan w:val="4"/>
          </w:tcPr>
          <w:p>
            <w:pPr>
              <w:jc w:val="center"/>
              <w:ind w:right="880"/>
              <w:spacing w:after="0"/>
              <w:rPr>
                <w:sz w:val="20"/>
                <w:szCs w:val="20"/>
                <w:color w:val="auto"/>
              </w:rPr>
            </w:pPr>
            <w:r>
              <w:rPr>
                <w:rFonts w:ascii="Arial" w:cs="Arial" w:eastAsia="Arial" w:hAnsi="Arial"/>
                <w:sz w:val="18"/>
                <w:szCs w:val="18"/>
                <w:color w:val="auto"/>
              </w:rPr>
              <w:t>/s/ KAREN J. HOLCOM</w:t>
            </w:r>
          </w:p>
        </w:tc>
        <w:tc>
          <w:tcPr>
            <w:tcW w:w="58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23, 2020</w:t>
            </w:r>
          </w:p>
        </w:tc>
        <w:tc>
          <w:tcPr>
            <w:tcW w:w="0" w:type="dxa"/>
            <w:vAlign w:val="bottom"/>
          </w:tcPr>
          <w:p>
            <w:pPr>
              <w:spacing w:after="0"/>
              <w:rPr>
                <w:sz w:val="1"/>
                <w:szCs w:val="1"/>
                <w:color w:val="auto"/>
              </w:rPr>
            </w:pPr>
          </w:p>
        </w:tc>
      </w:tr>
      <w:tr>
        <w:trPr>
          <w:trHeight w:val="68"/>
        </w:trPr>
        <w:tc>
          <w:tcPr>
            <w:tcW w:w="9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580" w:type="dxa"/>
            <w:vAlign w:val="bottom"/>
            <w:vMerge w:val="restart"/>
          </w:tcPr>
          <w:p>
            <w:pPr>
              <w:spacing w:after="0"/>
              <w:rPr>
                <w:sz w:val="5"/>
                <w:szCs w:val="5"/>
                <w:color w:val="auto"/>
              </w:rPr>
            </w:pPr>
          </w:p>
        </w:tc>
        <w:tc>
          <w:tcPr>
            <w:tcW w:w="4280" w:type="dxa"/>
            <w:vAlign w:val="bottom"/>
            <w:gridSpan w:val="2"/>
            <w:vMerge w:val="restart"/>
          </w:tcPr>
          <w:p>
            <w:pPr>
              <w:spacing w:after="0" w:line="189" w:lineRule="exact"/>
              <w:rPr>
                <w:sz w:val="20"/>
                <w:szCs w:val="20"/>
                <w:color w:val="auto"/>
              </w:rPr>
            </w:pPr>
            <w:r>
              <w:rPr>
                <w:rFonts w:ascii="Arial" w:cs="Arial" w:eastAsia="Arial" w:hAnsi="Arial"/>
                <w:sz w:val="18"/>
                <w:szCs w:val="18"/>
                <w:color w:val="auto"/>
              </w:rPr>
              <w:t>Officer (Principal Financial and Accounting</w:t>
            </w: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900" w:type="dxa"/>
            <w:vAlign w:val="bottom"/>
          </w:tcPr>
          <w:p>
            <w:pPr>
              <w:spacing w:after="0"/>
              <w:rPr>
                <w:sz w:val="8"/>
                <w:szCs w:val="8"/>
                <w:color w:val="auto"/>
              </w:rPr>
            </w:pPr>
          </w:p>
        </w:tc>
        <w:tc>
          <w:tcPr>
            <w:tcW w:w="3300" w:type="dxa"/>
            <w:vAlign w:val="bottom"/>
            <w:gridSpan w:val="4"/>
            <w:vMerge w:val="restart"/>
          </w:tcPr>
          <w:p>
            <w:pPr>
              <w:jc w:val="center"/>
              <w:ind w:right="880"/>
              <w:spacing w:after="0"/>
              <w:rPr>
                <w:sz w:val="20"/>
                <w:szCs w:val="20"/>
                <w:color w:val="auto"/>
              </w:rPr>
            </w:pPr>
            <w:r>
              <w:rPr>
                <w:rFonts w:ascii="Arial" w:cs="Arial" w:eastAsia="Arial" w:hAnsi="Arial"/>
                <w:sz w:val="18"/>
                <w:szCs w:val="18"/>
                <w:b w:val="1"/>
                <w:bCs w:val="1"/>
                <w:color w:val="auto"/>
                <w:w w:val="99"/>
              </w:rPr>
              <w:t>Karen J. Holcom</w:t>
            </w:r>
          </w:p>
        </w:tc>
        <w:tc>
          <w:tcPr>
            <w:tcW w:w="580" w:type="dxa"/>
            <w:vAlign w:val="bottom"/>
            <w:vMerge w:val="continue"/>
          </w:tcPr>
          <w:p>
            <w:pPr>
              <w:spacing w:after="0"/>
              <w:rPr>
                <w:sz w:val="8"/>
                <w:szCs w:val="8"/>
                <w:color w:val="auto"/>
              </w:rPr>
            </w:pPr>
          </w:p>
        </w:tc>
        <w:tc>
          <w:tcPr>
            <w:tcW w:w="42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900" w:type="dxa"/>
            <w:vAlign w:val="bottom"/>
          </w:tcPr>
          <w:p>
            <w:pPr>
              <w:spacing w:after="0"/>
              <w:rPr>
                <w:sz w:val="11"/>
                <w:szCs w:val="11"/>
                <w:color w:val="auto"/>
              </w:rPr>
            </w:pPr>
          </w:p>
        </w:tc>
        <w:tc>
          <w:tcPr>
            <w:tcW w:w="3300" w:type="dxa"/>
            <w:vAlign w:val="bottom"/>
            <w:gridSpan w:val="4"/>
            <w:vMerge w:val="continue"/>
          </w:tcPr>
          <w:p>
            <w:pPr>
              <w:spacing w:after="0"/>
              <w:rPr>
                <w:sz w:val="11"/>
                <w:szCs w:val="11"/>
                <w:color w:val="auto"/>
              </w:rPr>
            </w:pPr>
          </w:p>
        </w:tc>
        <w:tc>
          <w:tcPr>
            <w:tcW w:w="580" w:type="dxa"/>
            <w:vAlign w:val="bottom"/>
          </w:tcPr>
          <w:p>
            <w:pPr>
              <w:spacing w:after="0"/>
              <w:rPr>
                <w:sz w:val="11"/>
                <w:szCs w:val="11"/>
                <w:color w:val="auto"/>
              </w:rPr>
            </w:pPr>
          </w:p>
        </w:tc>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Officer)</w:t>
            </w: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0"/>
        </w:trPr>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84"/>
              </w:rPr>
              <w:t>*</w:t>
            </w:r>
          </w:p>
        </w:tc>
        <w:tc>
          <w:tcPr>
            <w:tcW w:w="17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23, 2020</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300" w:type="dxa"/>
            <w:vAlign w:val="bottom"/>
            <w:gridSpan w:val="4"/>
          </w:tcPr>
          <w:p>
            <w:pPr>
              <w:jc w:val="center"/>
              <w:ind w:right="880"/>
              <w:spacing w:after="0"/>
              <w:rPr>
                <w:sz w:val="20"/>
                <w:szCs w:val="20"/>
                <w:color w:val="auto"/>
              </w:rPr>
            </w:pPr>
            <w:r>
              <w:rPr>
                <w:rFonts w:ascii="Arial" w:cs="Arial" w:eastAsia="Arial" w:hAnsi="Arial"/>
                <w:sz w:val="18"/>
                <w:szCs w:val="18"/>
                <w:b w:val="1"/>
                <w:bCs w:val="1"/>
                <w:color w:val="auto"/>
                <w:w w:val="99"/>
              </w:rPr>
              <w:t>W. Patrick Battle</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84"/>
              </w:rPr>
              <w:t>*</w:t>
            </w:r>
          </w:p>
        </w:tc>
        <w:tc>
          <w:tcPr>
            <w:tcW w:w="17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23, 2020</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300" w:type="dxa"/>
            <w:vAlign w:val="bottom"/>
            <w:gridSpan w:val="4"/>
          </w:tcPr>
          <w:p>
            <w:pPr>
              <w:jc w:val="center"/>
              <w:ind w:right="900"/>
              <w:spacing w:after="0"/>
              <w:rPr>
                <w:sz w:val="20"/>
                <w:szCs w:val="20"/>
                <w:color w:val="auto"/>
              </w:rPr>
            </w:pPr>
            <w:r>
              <w:rPr>
                <w:rFonts w:ascii="Arial" w:cs="Arial" w:eastAsia="Arial" w:hAnsi="Arial"/>
                <w:sz w:val="18"/>
                <w:szCs w:val="18"/>
                <w:b w:val="1"/>
                <w:bCs w:val="1"/>
                <w:color w:val="auto"/>
                <w:w w:val="99"/>
              </w:rPr>
              <w:t>Peter C. Browning</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2"/>
        </w:trPr>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84"/>
              </w:rPr>
              <w:t>*</w:t>
            </w:r>
          </w:p>
        </w:tc>
        <w:tc>
          <w:tcPr>
            <w:tcW w:w="17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23, 2020</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300" w:type="dxa"/>
            <w:vAlign w:val="bottom"/>
            <w:gridSpan w:val="4"/>
          </w:tcPr>
          <w:p>
            <w:pPr>
              <w:jc w:val="center"/>
              <w:ind w:right="880"/>
              <w:spacing w:after="0"/>
              <w:rPr>
                <w:sz w:val="20"/>
                <w:szCs w:val="20"/>
                <w:color w:val="auto"/>
              </w:rPr>
            </w:pPr>
            <w:r>
              <w:rPr>
                <w:rFonts w:ascii="Arial" w:cs="Arial" w:eastAsia="Arial" w:hAnsi="Arial"/>
                <w:sz w:val="18"/>
                <w:szCs w:val="18"/>
                <w:b w:val="1"/>
                <w:bCs w:val="1"/>
                <w:color w:val="auto"/>
                <w:w w:val="98"/>
              </w:rPr>
              <w:t>G. Douglas Dillard, Jr.</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2"/>
        </w:trPr>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84"/>
              </w:rPr>
              <w:t>*</w:t>
            </w:r>
          </w:p>
        </w:tc>
        <w:tc>
          <w:tcPr>
            <w:tcW w:w="17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23, 2020</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300" w:type="dxa"/>
            <w:vAlign w:val="bottom"/>
            <w:gridSpan w:val="4"/>
          </w:tcPr>
          <w:p>
            <w:pPr>
              <w:jc w:val="center"/>
              <w:ind w:right="880"/>
              <w:spacing w:after="0"/>
              <w:rPr>
                <w:sz w:val="20"/>
                <w:szCs w:val="20"/>
                <w:color w:val="auto"/>
              </w:rPr>
            </w:pPr>
            <w:r>
              <w:rPr>
                <w:rFonts w:ascii="Arial" w:cs="Arial" w:eastAsia="Arial" w:hAnsi="Arial"/>
                <w:sz w:val="18"/>
                <w:szCs w:val="18"/>
                <w:b w:val="1"/>
                <w:bCs w:val="1"/>
                <w:color w:val="auto"/>
                <w:w w:val="99"/>
              </w:rPr>
              <w:t>James H. Hance, Jr.</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84"/>
              </w:rPr>
              <w:t>*</w:t>
            </w:r>
          </w:p>
        </w:tc>
        <w:tc>
          <w:tcPr>
            <w:tcW w:w="17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23, 2020</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300" w:type="dxa"/>
            <w:vAlign w:val="bottom"/>
            <w:gridSpan w:val="4"/>
          </w:tcPr>
          <w:p>
            <w:pPr>
              <w:jc w:val="center"/>
              <w:ind w:right="900"/>
              <w:spacing w:after="0"/>
              <w:rPr>
                <w:sz w:val="20"/>
                <w:szCs w:val="20"/>
                <w:color w:val="auto"/>
              </w:rPr>
            </w:pPr>
            <w:r>
              <w:rPr>
                <w:rFonts w:ascii="Arial" w:cs="Arial" w:eastAsia="Arial" w:hAnsi="Arial"/>
                <w:sz w:val="18"/>
                <w:szCs w:val="18"/>
                <w:b w:val="1"/>
                <w:bCs w:val="1"/>
                <w:color w:val="auto"/>
                <w:w w:val="99"/>
              </w:rPr>
              <w:t>Maya Leibman</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84"/>
              </w:rPr>
              <w:t>*</w:t>
            </w:r>
          </w:p>
        </w:tc>
        <w:tc>
          <w:tcPr>
            <w:tcW w:w="17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23, 2020</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300" w:type="dxa"/>
            <w:vAlign w:val="bottom"/>
            <w:gridSpan w:val="4"/>
          </w:tcPr>
          <w:p>
            <w:pPr>
              <w:jc w:val="center"/>
              <w:ind w:right="880"/>
              <w:spacing w:after="0"/>
              <w:rPr>
                <w:sz w:val="20"/>
                <w:szCs w:val="20"/>
                <w:color w:val="auto"/>
              </w:rPr>
            </w:pPr>
            <w:r>
              <w:rPr>
                <w:rFonts w:ascii="Arial" w:cs="Arial" w:eastAsia="Arial" w:hAnsi="Arial"/>
                <w:sz w:val="18"/>
                <w:szCs w:val="18"/>
                <w:b w:val="1"/>
                <w:bCs w:val="1"/>
                <w:color w:val="auto"/>
                <w:w w:val="99"/>
              </w:rPr>
              <w:t>Robert F. McCullough</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84"/>
              </w:rPr>
              <w:t>*</w:t>
            </w:r>
          </w:p>
        </w:tc>
        <w:tc>
          <w:tcPr>
            <w:tcW w:w="17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Director/ Executive Chairman</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23, 2020</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300" w:type="dxa"/>
            <w:vAlign w:val="bottom"/>
            <w:gridSpan w:val="4"/>
          </w:tcPr>
          <w:p>
            <w:pPr>
              <w:jc w:val="center"/>
              <w:ind w:right="880"/>
              <w:spacing w:after="0"/>
              <w:rPr>
                <w:sz w:val="20"/>
                <w:szCs w:val="20"/>
                <w:color w:val="auto"/>
              </w:rPr>
            </w:pPr>
            <w:r>
              <w:rPr>
                <w:rFonts w:ascii="Arial" w:cs="Arial" w:eastAsia="Arial" w:hAnsi="Arial"/>
                <w:sz w:val="18"/>
                <w:szCs w:val="18"/>
                <w:b w:val="1"/>
                <w:bCs w:val="1"/>
                <w:color w:val="auto"/>
                <w:w w:val="98"/>
              </w:rPr>
              <w:t>Vernon J. Nagel</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84"/>
              </w:rPr>
              <w:t>*</w:t>
            </w:r>
          </w:p>
        </w:tc>
        <w:tc>
          <w:tcPr>
            <w:tcW w:w="17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23, 2020</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300" w:type="dxa"/>
            <w:vAlign w:val="bottom"/>
            <w:gridSpan w:val="4"/>
          </w:tcPr>
          <w:p>
            <w:pPr>
              <w:jc w:val="center"/>
              <w:ind w:right="880"/>
              <w:spacing w:after="0"/>
              <w:rPr>
                <w:sz w:val="20"/>
                <w:szCs w:val="20"/>
                <w:color w:val="auto"/>
              </w:rPr>
            </w:pPr>
            <w:r>
              <w:rPr>
                <w:rFonts w:ascii="Arial" w:cs="Arial" w:eastAsia="Arial" w:hAnsi="Arial"/>
                <w:sz w:val="18"/>
                <w:szCs w:val="18"/>
                <w:b w:val="1"/>
                <w:bCs w:val="1"/>
                <w:color w:val="auto"/>
              </w:rPr>
              <w:t>Laura G. O'Shaughnessy</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84"/>
              </w:rPr>
              <w:t>*</w:t>
            </w:r>
          </w:p>
        </w:tc>
        <w:tc>
          <w:tcPr>
            <w:tcW w:w="17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23, 2020</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300" w:type="dxa"/>
            <w:vAlign w:val="bottom"/>
            <w:gridSpan w:val="4"/>
          </w:tcPr>
          <w:p>
            <w:pPr>
              <w:jc w:val="center"/>
              <w:ind w:right="880"/>
              <w:spacing w:after="0"/>
              <w:rPr>
                <w:sz w:val="20"/>
                <w:szCs w:val="20"/>
                <w:color w:val="auto"/>
              </w:rPr>
            </w:pPr>
            <w:r>
              <w:rPr>
                <w:rFonts w:ascii="Arial" w:cs="Arial" w:eastAsia="Arial" w:hAnsi="Arial"/>
                <w:sz w:val="18"/>
                <w:szCs w:val="18"/>
                <w:b w:val="1"/>
                <w:bCs w:val="1"/>
                <w:color w:val="auto"/>
                <w:w w:val="99"/>
              </w:rPr>
              <w:t>Dominic J. Pileggi</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84"/>
              </w:rPr>
              <w:t>*</w:t>
            </w:r>
          </w:p>
        </w:tc>
        <w:tc>
          <w:tcPr>
            <w:tcW w:w="17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23, 2020</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300" w:type="dxa"/>
            <w:vAlign w:val="bottom"/>
            <w:gridSpan w:val="4"/>
          </w:tcPr>
          <w:p>
            <w:pPr>
              <w:jc w:val="center"/>
              <w:ind w:right="880"/>
              <w:spacing w:after="0"/>
              <w:rPr>
                <w:sz w:val="20"/>
                <w:szCs w:val="20"/>
                <w:color w:val="auto"/>
              </w:rPr>
            </w:pPr>
            <w:r>
              <w:rPr>
                <w:rFonts w:ascii="Arial" w:cs="Arial" w:eastAsia="Arial" w:hAnsi="Arial"/>
                <w:sz w:val="18"/>
                <w:szCs w:val="18"/>
                <w:b w:val="1"/>
                <w:bCs w:val="1"/>
                <w:color w:val="auto"/>
                <w:w w:val="99"/>
              </w:rPr>
              <w:t>Ray M. Robinson</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4"/>
        </w:trPr>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center"/>
              <w:ind w:left="130"/>
              <w:spacing w:after="0"/>
              <w:rPr>
                <w:sz w:val="20"/>
                <w:szCs w:val="20"/>
                <w:color w:val="auto"/>
              </w:rPr>
            </w:pPr>
            <w:r>
              <w:rPr>
                <w:rFonts w:ascii="Arial" w:cs="Arial" w:eastAsia="Arial" w:hAnsi="Arial"/>
                <w:sz w:val="18"/>
                <w:szCs w:val="18"/>
                <w:color w:val="auto"/>
                <w:w w:val="84"/>
              </w:rPr>
              <w:t>*</w:t>
            </w:r>
          </w:p>
        </w:tc>
        <w:tc>
          <w:tcPr>
            <w:tcW w:w="17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23, 2020</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300" w:type="dxa"/>
            <w:vAlign w:val="bottom"/>
            <w:gridSpan w:val="4"/>
          </w:tcPr>
          <w:p>
            <w:pPr>
              <w:jc w:val="center"/>
              <w:ind w:right="880"/>
              <w:spacing w:after="0"/>
              <w:rPr>
                <w:sz w:val="20"/>
                <w:szCs w:val="20"/>
                <w:color w:val="auto"/>
              </w:rPr>
            </w:pPr>
            <w:r>
              <w:rPr>
                <w:rFonts w:ascii="Arial" w:cs="Arial" w:eastAsia="Arial" w:hAnsi="Arial"/>
                <w:sz w:val="18"/>
                <w:szCs w:val="18"/>
                <w:b w:val="1"/>
                <w:bCs w:val="1"/>
                <w:color w:val="auto"/>
              </w:rPr>
              <w:t>Mary A. Winston</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1560" w:type="dxa"/>
            <w:vAlign w:val="bottom"/>
            <w:gridSpan w:val="2"/>
          </w:tcPr>
          <w:p>
            <w:pPr>
              <w:ind w:left="280"/>
              <w:spacing w:after="0"/>
              <w:rPr>
                <w:sz w:val="20"/>
                <w:szCs w:val="20"/>
                <w:color w:val="auto"/>
              </w:rPr>
            </w:pPr>
            <w:r>
              <w:rPr>
                <w:rFonts w:ascii="Arial" w:cs="Arial" w:eastAsia="Arial" w:hAnsi="Arial"/>
                <w:sz w:val="18"/>
                <w:szCs w:val="18"/>
                <w:color w:val="auto"/>
              </w:rPr>
              <w:t>*BY:</w:t>
            </w:r>
          </w:p>
        </w:tc>
        <w:tc>
          <w:tcPr>
            <w:tcW w:w="2640" w:type="dxa"/>
            <w:vAlign w:val="bottom"/>
            <w:gridSpan w:val="3"/>
          </w:tcPr>
          <w:p>
            <w:pPr>
              <w:jc w:val="center"/>
              <w:ind w:right="660"/>
              <w:spacing w:after="0"/>
              <w:rPr>
                <w:sz w:val="20"/>
                <w:szCs w:val="20"/>
                <w:color w:val="auto"/>
              </w:rPr>
            </w:pPr>
            <w:r>
              <w:rPr>
                <w:rFonts w:ascii="Arial" w:cs="Arial" w:eastAsia="Arial" w:hAnsi="Arial"/>
                <w:sz w:val="18"/>
                <w:szCs w:val="18"/>
                <w:color w:val="auto"/>
              </w:rPr>
              <w:t>/s/ KAREN J. HOLCOM</w:t>
            </w:r>
          </w:p>
        </w:tc>
        <w:tc>
          <w:tcPr>
            <w:tcW w:w="58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23, 2020</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420" w:type="dxa"/>
            <w:vAlign w:val="bottom"/>
            <w:tcBorders>
              <w:top w:val="single" w:sz="8" w:color="auto"/>
            </w:tcBorders>
            <w:gridSpan w:val="2"/>
          </w:tcPr>
          <w:p>
            <w:pPr>
              <w:jc w:val="center"/>
              <w:ind w:right="880"/>
              <w:spacing w:after="0"/>
              <w:rPr>
                <w:sz w:val="20"/>
                <w:szCs w:val="20"/>
                <w:color w:val="auto"/>
              </w:rPr>
            </w:pPr>
            <w:r>
              <w:rPr>
                <w:rFonts w:ascii="Arial" w:cs="Arial" w:eastAsia="Arial" w:hAnsi="Arial"/>
                <w:sz w:val="18"/>
                <w:szCs w:val="18"/>
                <w:b w:val="1"/>
                <w:bCs w:val="1"/>
                <w:color w:val="auto"/>
                <w:w w:val="99"/>
              </w:rPr>
              <w:t>Karen J. Holcom</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60" w:right="3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240"/>
          </w:cols>
          <w:pgMar w:left="320" w:top="260" w:right="3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Acuity Brands,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Valuation and Qualifying Accounts</w:t>
      </w:r>
    </w:p>
    <w:p>
      <w:pPr>
        <w:spacing w:after="0" w:line="3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 Years Ended August 31, 2020, 2019, and 2018</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Additions and Reductions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0"/>
        </w:trPr>
        <w:tc>
          <w:tcPr>
            <w:tcW w:w="4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Balance at</w:t>
            </w:r>
          </w:p>
        </w:tc>
        <w:tc>
          <w:tcPr>
            <w:tcW w:w="25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Charged to</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8"/>
        </w:trPr>
        <w:tc>
          <w:tcPr>
            <w:tcW w:w="4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Beginning of</w:t>
            </w: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Costs and</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Other</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17"/>
              <w:spacing w:after="0"/>
              <w:rPr>
                <w:sz w:val="20"/>
                <w:szCs w:val="20"/>
                <w:color w:val="auto"/>
              </w:rPr>
            </w:pPr>
            <w:r>
              <w:rPr>
                <w:rFonts w:ascii="Arial" w:cs="Arial" w:eastAsia="Arial" w:hAnsi="Arial"/>
                <w:sz w:val="14"/>
                <w:szCs w:val="14"/>
                <w:b w:val="1"/>
                <w:bCs w:val="1"/>
                <w:color w:val="auto"/>
              </w:rPr>
              <w:t>Balance at</w:t>
            </w:r>
          </w:p>
        </w:tc>
      </w:tr>
      <w:tr>
        <w:trPr>
          <w:trHeight w:val="196"/>
        </w:trPr>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Year</w:t>
            </w: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Expenses</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Accounts</w:t>
            </w: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Deductions</w:t>
            </w:r>
          </w:p>
        </w:tc>
        <w:tc>
          <w:tcPr>
            <w:tcW w:w="160" w:type="dxa"/>
            <w:vAlign w:val="bottom"/>
          </w:tcPr>
          <w:p>
            <w:pPr>
              <w:spacing w:after="0"/>
              <w:rPr>
                <w:sz w:val="17"/>
                <w:szCs w:val="17"/>
                <w:color w:val="auto"/>
              </w:rPr>
            </w:pPr>
          </w:p>
        </w:tc>
        <w:tc>
          <w:tcPr>
            <w:tcW w:w="960" w:type="dxa"/>
            <w:vAlign w:val="bottom"/>
          </w:tcPr>
          <w:p>
            <w:pPr>
              <w:jc w:val="right"/>
              <w:ind w:right="77"/>
              <w:spacing w:after="0"/>
              <w:rPr>
                <w:sz w:val="20"/>
                <w:szCs w:val="20"/>
                <w:color w:val="auto"/>
              </w:rPr>
            </w:pPr>
            <w:r>
              <w:rPr>
                <w:rFonts w:ascii="Arial" w:cs="Arial" w:eastAsia="Arial" w:hAnsi="Arial"/>
                <w:sz w:val="14"/>
                <w:szCs w:val="14"/>
                <w:b w:val="1"/>
                <w:bCs w:val="1"/>
                <w:color w:val="auto"/>
              </w:rPr>
              <w:t>End of Year</w:t>
            </w:r>
          </w:p>
        </w:tc>
      </w:tr>
      <w:tr>
        <w:trPr>
          <w:trHeight w:val="269"/>
        </w:trPr>
        <w:tc>
          <w:tcPr>
            <w:tcW w:w="4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Inventory reserves:</w:t>
            </w: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r>
      <w:tr>
        <w:trPr>
          <w:trHeight w:val="263"/>
        </w:trPr>
        <w:tc>
          <w:tcPr>
            <w:tcW w:w="4900" w:type="dxa"/>
            <w:vAlign w:val="bottom"/>
          </w:tcPr>
          <w:p>
            <w:pPr>
              <w:ind w:left="40"/>
              <w:spacing w:after="0"/>
              <w:rPr>
                <w:sz w:val="20"/>
                <w:szCs w:val="20"/>
                <w:color w:val="auto"/>
              </w:rPr>
            </w:pPr>
            <w:r>
              <w:rPr>
                <w:rFonts w:ascii="Arial" w:cs="Arial" w:eastAsia="Arial" w:hAnsi="Arial"/>
                <w:sz w:val="18"/>
                <w:szCs w:val="18"/>
                <w:color w:val="auto"/>
              </w:rPr>
              <w:t>Year Ended August 31, 2020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2"/>
                <w:szCs w:val="22"/>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49.3</w:t>
            </w:r>
          </w:p>
        </w:tc>
      </w:tr>
      <w:tr>
        <w:trPr>
          <w:trHeight w:val="277"/>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Ended August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22.3</w:t>
            </w:r>
          </w:p>
        </w:tc>
      </w:tr>
      <w:tr>
        <w:trPr>
          <w:trHeight w:val="257"/>
        </w:trPr>
        <w:tc>
          <w:tcPr>
            <w:tcW w:w="4900" w:type="dxa"/>
            <w:vAlign w:val="bottom"/>
          </w:tcPr>
          <w:p>
            <w:pPr>
              <w:ind w:left="40"/>
              <w:spacing w:after="0"/>
              <w:rPr>
                <w:sz w:val="20"/>
                <w:szCs w:val="20"/>
                <w:color w:val="auto"/>
              </w:rPr>
            </w:pPr>
            <w:r>
              <w:rPr>
                <w:rFonts w:ascii="Arial" w:cs="Arial" w:eastAsia="Arial" w:hAnsi="Arial"/>
                <w:sz w:val="18"/>
                <w:szCs w:val="18"/>
                <w:color w:val="auto"/>
              </w:rPr>
              <w:t>Year Ended August 31, 2018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36.8</w:t>
            </w:r>
          </w:p>
        </w:tc>
      </w:tr>
      <w:tr>
        <w:trPr>
          <w:trHeight w:val="662"/>
        </w:trPr>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58"/>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100"/>
          </w:cols>
          <w:pgMar w:left="320" w:top="260" w:right="47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October 23, 2020, Acuity Brands, Inc. (“we,” “our,” “us,” “Acuity,” the “Company,” or other such similar references) has one class of securities registered under Section 12 of the Securities Exchange Act of 1934 (the “Act”): our common stock.</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summary of certain terms of our common stock describes material provisions of, but does not purport to be complete and is subject to, and qualified in its entirety by, our Restated Certificate of Incorporation (as amended, the “Certificate of Incorporation”), our Amended and Restated Bylaws (the “Bylaws”), the forms of which are included as exhibits to the Annual Report on Form 10-K of which this Exhibit 4(d) is also included, as well as the relevant portions of the Delaware General Corporation Law (“DGCL”).</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our Articles of Incorporation, the total number of shares of all classes of stock that we have the authority to issue is 550,000,000, of which 500,000,000 are shares of common stock, par value $.01 per share, and 50,000,000 are shares of preferred stock, par value $.01 per share. Our outstanding shares are fully paid and non-assessable. Holders of shares of our common stock do not have subscription, redemption, or conversion rights. There are no sinking fund provisions applicable to our common stock.</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holders of our common stock are entitled to one vote for each share on all matters voted on by stockholders, and the holders of such shares will possess all voting power, except as otherwise required by law or provided in any resolution adopted by our Board of Directors (the “Board”) with respect to any series of preferred stock of Acuity. There are no cumulative voting rights. Accordingly, the holders of a majority of the common stock voting for the election of directors in an uncontested election can elect all of the directors, if they choose to do so, subject to any rights of the holders of preferred stock to elect directors.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Subject to any preferential or other rights of any outstanding series of preferred stock of Acuity that may be designated by the Board, the holders of the common stock are entitled to receive ratably any dividends as may be declared from time to time by the Board from funds available.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Subject to any preferential or other rights of any outstanding series of preferred stock of Acuity that may be designated by the Board, upon liquidation, holders of our common stock are entitled to receive pro rata all assets of Acuity available for distribution to such holders.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Preemptive Rights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 holder of any stock of Acuity of any class have any preemptive right to subscribe to any securities of Acuity of any kind or class.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Acuity is Computershare Trust Company N.A.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is authorized without further stockholder approval (except as may be required by applicable law or New York Stock Exchange regulations) to provide for the issuance of shares of preferred stock, in one or more series, and to fix for each such series such voting powers, designations, preferences and relative, participating, optional and other special rights, and such qualifications, limitations or restrictions, as are stated in the resolution adopted by the Board providing for the issuance of such series and as are permitted by the DGCL. The terms and rights of any such series may include:</w:t>
      </w:r>
    </w:p>
    <w:p>
      <w:pPr>
        <w:sectPr>
          <w:pgSz w:w="11900" w:h="16838" w:orient="portrait"/>
          <w:cols w:equalWidth="0" w:num="1">
            <w:col w:w="11240"/>
          </w:cols>
          <w:pgMar w:left="320" w:top="238" w:right="339" w:bottom="1440" w:gutter="0" w:footer="0" w:header="0"/>
        </w:sectPr>
      </w:pPr>
    </w:p>
    <w:bookmarkStart w:id="96" w:name="page97"/>
    <w:bookmarkEnd w:id="96"/>
    <w:p>
      <w:pPr>
        <w:ind w:left="10260"/>
        <w:spacing w:after="0"/>
        <w:rPr>
          <w:sz w:val="20"/>
          <w:szCs w:val="20"/>
          <w:color w:val="auto"/>
        </w:rPr>
      </w:pPr>
      <w:r>
        <w:rPr>
          <w:rFonts w:ascii="Arial" w:cs="Arial" w:eastAsia="Arial" w:hAnsi="Arial"/>
          <w:sz w:val="17"/>
          <w:szCs w:val="17"/>
          <w:b w:val="1"/>
          <w:bCs w:val="1"/>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660" w:hanging="247"/>
        <w:spacing w:after="0" w:line="26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shares of the series, which number the Board may thereafter, except where otherwise provided in the applicable certificate of designation, increase or decrease, but not below the number of shares thereof then outstanding;</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dividend rights;</w:t>
      </w:r>
    </w:p>
    <w:p>
      <w:pPr>
        <w:spacing w:after="0" w:line="130"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liquidation preferences;</w:t>
      </w:r>
    </w:p>
    <w:p>
      <w:pPr>
        <w:spacing w:after="0" w:line="130"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redemption rights;</w:t>
      </w:r>
    </w:p>
    <w:p>
      <w:pPr>
        <w:spacing w:after="0" w:line="130"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sinking fund terms;</w:t>
      </w:r>
    </w:p>
    <w:p>
      <w:pPr>
        <w:spacing w:after="0" w:line="130"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conversion rights;</w:t>
      </w:r>
    </w:p>
    <w:p>
      <w:pPr>
        <w:spacing w:after="0" w:line="130"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voting rights; and</w:t>
      </w:r>
    </w:p>
    <w:p>
      <w:pPr>
        <w:spacing w:after="0" w:line="130"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relative rights, preferences and limitations of such series.</w:t>
      </w:r>
    </w:p>
    <w:p>
      <w:pPr>
        <w:spacing w:after="0" w:line="1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Should the Board elect to exercise this authority, the rights and privileges of holders of shares of the Company’s common stock could be made subject to the rights and privileges of any such series of preferred stock. Presently, Acuity has no plans to issue any preferred stock.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Acuity’s Certificate of Incorporation, Bylaws and Delaware Law</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Certificate of Incorporation, Bylaws, and the DGCL contain certain provisions that could delay or make more difficult an acquisition of control of Acuity not approved by the Board, whether by means of a tender offer, open market purchases, a proxy contest, or otherwise. These provisions, which are summarized below, could have the effect of discouraging third parties from making proposals involving an acquisition or change of control of Acuity, although such a proposal, if made, might be considered desirable by a majority of Acuity’s stockholders.</w:t>
      </w:r>
    </w:p>
    <w:p>
      <w:pPr>
        <w:spacing w:after="0" w:line="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Election and Removal of Directors</w:t>
      </w:r>
      <w:r>
        <w:rPr>
          <w:rFonts w:ascii="Arial" w:cs="Arial" w:eastAsia="Arial" w:hAnsi="Arial"/>
          <w:sz w:val="18"/>
          <w:szCs w:val="18"/>
          <w:color w:val="auto"/>
        </w:rPr>
        <w:t>. Our Certificate of Incorporation provides that directors may be removed only for cause and then only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affirmative vote of the holders of 80% or more of the shares then entitled to vote at an election of directors. Furthermore, any vacancy on the Board, however occurring, including a vacancy resulting from an increase in the size of the Board (other than vacancies and newly created directorships which the holders of any class or classes of stock are expressly entitled by the Certificate of Incorporation to fill), may only be filled by the affirmative vote of a majority of our directors then in office, even if less than a quorum, or by the sole remaining director (and not by stockholders). This system of electing and removing directors generally makes it more difficult for stockholders to replace a majority of our directors.</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Stockholder Action, Advance Notification of Stockholder Nominations, and Proposals</w:t>
      </w:r>
      <w:r>
        <w:rPr>
          <w:rFonts w:ascii="Arial" w:cs="Arial" w:eastAsia="Arial" w:hAnsi="Arial"/>
          <w:sz w:val="18"/>
          <w:szCs w:val="18"/>
          <w:color w:val="auto"/>
        </w:rPr>
        <w:t>. Our Certificate of Incorporation provides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 action may be taken only at an annual or special meeting of stockholders and that stockholders may not act by written consent. Our Certificate of Incorporation and Bylaws provide that special meetings of stockholders may be called only by resolution adopted by the whole Board. Stockholders are not permitted to call a special meeting or to require the Board to call a special meeting of stockholders.</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Bylaws establish advance notice procedures for stockholder proposals to be brought before any annual or special meeting of stockholders and for nominations by stockholders of candidates for election as directors at an annual meeting or a special meeting at which directors are to be elected. Subject to any other applicable requirements,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of the preceding year’s annual meeting of stockholders. The notice must contain certain information specified in our Bylaws.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These provisions could have the effect of delaying until the next stockholder meeting any stockholder actions, even if they are favored by the holders of a majority of our outstanding voting securities.</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Authorized but Unissued Capital Stock</w:t>
      </w:r>
      <w:r>
        <w:rPr>
          <w:rFonts w:ascii="Arial" w:cs="Arial" w:eastAsia="Arial" w:hAnsi="Arial"/>
          <w:sz w:val="18"/>
          <w:szCs w:val="18"/>
          <w:color w:val="auto"/>
        </w:rPr>
        <w:t>. The authorized but unissued shares of our common stock and preferred stock will be available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issuance without any further vote or action by our stockholders. These additional shares may be utilized for a variety of corporate purposes, including future public offerings to raise additional capital, corporate acquisitions, and employee benefit plans. The existence of authorized but unissued shares of our common</w:t>
      </w:r>
    </w:p>
    <w:p>
      <w:pPr>
        <w:sectPr>
          <w:pgSz w:w="11900" w:h="16838" w:orient="portrait"/>
          <w:cols w:equalWidth="0" w:num="1">
            <w:col w:w="11240"/>
          </w:cols>
          <w:pgMar w:left="320" w:top="238"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stock and our preferred stock could render more difficult or discourage an attempt to obtain control over us by means of a proxy contest, tender offer, merger, or otherwise. For example, if in the due exercise of its fiduciary obligations, the Board were to determine that a takeover proposal is not in the best interests of us or our stockholders, the Board could cause shares of preferred stock to be issued without stockholder approval in one or more private offerings or other transactions that might dilute the voting or other rights of the proposed acquirer or insurgent stockholder or stockholder group.</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Amendment to Certificate of Incorporation and Bylaws</w:t>
      </w:r>
      <w:r>
        <w:rPr>
          <w:rFonts w:ascii="Arial" w:cs="Arial" w:eastAsia="Arial" w:hAnsi="Arial"/>
          <w:sz w:val="18"/>
          <w:szCs w:val="18"/>
          <w:color w:val="auto"/>
        </w:rPr>
        <w:t>. The DGCL provides generally that the affirmative vote of a majority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stock entitled to vote on amendments to a corporation’s certificate of incorporation or bylaws is required to approve such amendment, unless a corporation’s certificate of incorporation or bylaws, as the case may be, requires a greater percentage. Our Bylaws may be amended or repealed by a majority vote of the Board or, in addition to any other vote otherwise required by law, the holders of at least 80% of the voting power of all of the then outstanding shares of the capital stock entitled to vote generally in the election of directors, voting together as a single class.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the approval by holders of at least 80% of the voting power of all of the then outstanding shares of the capital stock entitled to vote on such matter, voting together as a single class, is required to amend or repeal or to adopt any provision inconsistent with Article V, Article VII, Article VIII, Article X or Article XI of our Certificate of Incorporation. These provisions may have the effect of deferring, delaying, or discouraging the removal of any anti-takeover defenses provided for in our Certificate of Incorporation and our Bylaws.</w:t>
      </w:r>
    </w:p>
    <w:p>
      <w:pPr>
        <w:spacing w:after="0" w:line="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No Cumulative Voting</w:t>
      </w:r>
      <w:r>
        <w:rPr>
          <w:rFonts w:ascii="Arial" w:cs="Arial" w:eastAsia="Arial" w:hAnsi="Arial"/>
          <w:sz w:val="18"/>
          <w:szCs w:val="18"/>
          <w:color w:val="auto"/>
        </w:rPr>
        <w:t>. The DGCL provides that stockholders are not entitled to the right to cumulate votes in the election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unless our certificate of incorporation provides otherwise.</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Delaware Takeover Statute</w:t>
      </w:r>
      <w:r>
        <w:rPr>
          <w:rFonts w:ascii="Arial" w:cs="Arial" w:eastAsia="Arial" w:hAnsi="Arial"/>
          <w:sz w:val="18"/>
          <w:szCs w:val="18"/>
          <w:color w:val="auto"/>
        </w:rPr>
        <w:t>. We are subject to the provisions of Section 203 of the DGCL and have adopted additional provisions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Certificate of Incorporation for the approval, adoption, or authorization of business combinations.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Section 203 defines a business combination to include:</w:t>
      </w:r>
    </w:p>
    <w:p>
      <w:pPr>
        <w:spacing w:after="0" w:line="200" w:lineRule="exact"/>
        <w:rPr>
          <w:sz w:val="20"/>
          <w:szCs w:val="20"/>
          <w:color w:val="auto"/>
        </w:rPr>
      </w:pPr>
    </w:p>
    <w:p>
      <w:pPr>
        <w:spacing w:after="0" w:line="268" w:lineRule="exact"/>
        <w:rPr>
          <w:sz w:val="20"/>
          <w:szCs w:val="20"/>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660" w:right="20" w:hanging="247"/>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sale, transfer, lease, pledge, exchange, mortgage or other disposition involving the interested stockholder of 10% or more of the assets of the corporation;</w:t>
      </w:r>
    </w:p>
    <w:p>
      <w:pPr>
        <w:spacing w:after="0" w:line="103" w:lineRule="exact"/>
        <w:rPr>
          <w:rFonts w:ascii="Arial" w:cs="Arial" w:eastAsia="Arial" w:hAnsi="Arial"/>
          <w:sz w:val="18"/>
          <w:szCs w:val="18"/>
          <w:color w:val="auto"/>
        </w:rPr>
      </w:pPr>
    </w:p>
    <w:p>
      <w:pPr>
        <w:ind w:left="660" w:hanging="247"/>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103" w:lineRule="exact"/>
        <w:rPr>
          <w:rFonts w:ascii="Arial" w:cs="Arial" w:eastAsia="Arial" w:hAnsi="Arial"/>
          <w:sz w:val="18"/>
          <w:szCs w:val="18"/>
          <w:color w:val="auto"/>
        </w:rPr>
      </w:pPr>
    </w:p>
    <w:p>
      <w:pPr>
        <w:ind w:left="660" w:hanging="247"/>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or</w:t>
      </w:r>
    </w:p>
    <w:p>
      <w:pPr>
        <w:spacing w:after="0" w:line="103" w:lineRule="exact"/>
        <w:rPr>
          <w:rFonts w:ascii="Arial" w:cs="Arial" w:eastAsia="Arial" w:hAnsi="Arial"/>
          <w:sz w:val="18"/>
          <w:szCs w:val="18"/>
          <w:color w:val="auto"/>
        </w:rPr>
      </w:pPr>
    </w:p>
    <w:p>
      <w:pPr>
        <w:ind w:left="660" w:hanging="247"/>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our Certificate of Incorporation, a “business combination” with an “interested person” requires the affirmative vote or consent of the holders of a majority of the shares of stock entitled to vote in elections of directors, which are not beneficially owned, directly or indirectly, by such interested person. This voting requirement will not be applicable if certain conditions described in our Bylaws are met with respect to a particular business combination.</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Certificate of Incorporation defines a “business combination” as (a) any merger or consolidation of Acuity or any of its subsidiaries with or into any interested person (regardless of the identity of the surviving corporation); (b) any sale, lease, or other disposition of all or any substantial part of the assets of Acuity or any of its subsidiaries to any interested person for cash or securities or both; or (c) any issuance or delivery of securities of Acuity or any of its subsidiaries (which the beneficial owner shall have the right to vote, or to vote upon exercise, conversion, or by contract) to an interested person in consideration for or in exchange of any securities or other property (including cash).</w:t>
      </w:r>
    </w:p>
    <w:p>
      <w:pPr>
        <w:sectPr>
          <w:pgSz w:w="11900" w:h="16838" w:orient="portrait"/>
          <w:cols w:equalWidth="0" w:num="1">
            <w:col w:w="11240"/>
          </w:cols>
          <w:pgMar w:left="320" w:top="238"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 “interested person” is defined in our Certificate of Incorporation as any person who beneficially owns, directly or indirectly, 5% or more of the shares of stock of Acuity entitled to vote in elections of directors at the relevant record date.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Bylaws limit the liability of our directors to the fullest extent permitted by applicable law and provide that we will indemnify them to the fullest extent permitted by such law. We have also entered into indemnification agreements with our current directors and executive officers and expect to enter into a similar agreement with any new director or executive officer.</w:t>
      </w:r>
    </w:p>
    <w:p>
      <w:pPr>
        <w:sectPr>
          <w:pgSz w:w="11900" w:h="16838" w:orient="portrait"/>
          <w:cols w:equalWidth="0" w:num="1">
            <w:col w:w="11240"/>
          </w:cols>
          <w:pgMar w:left="320" w:top="238"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10(iii)A(81)</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AGREEMENT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THIS CHANGE IN CONTROL AGREEMENT “(Agreement”) is made as of this 28th day of March, 2018, by and between Acuity Brands, Inc. (the “Company”) and </w:t>
      </w:r>
      <w:r>
        <w:rPr>
          <w:rFonts w:ascii="Arial" w:cs="Arial" w:eastAsia="Arial" w:hAnsi="Arial"/>
          <w:sz w:val="22"/>
          <w:szCs w:val="22"/>
          <w:b w:val="1"/>
          <w:bCs w:val="1"/>
          <w:color w:val="auto"/>
        </w:rPr>
        <w:t>Barry R. Goldman</w:t>
      </w:r>
      <w:r>
        <w:rPr>
          <w:rFonts w:ascii="Arial" w:cs="Arial" w:eastAsia="Arial" w:hAnsi="Arial"/>
          <w:sz w:val="22"/>
          <w:szCs w:val="22"/>
          <w:color w:val="auto"/>
        </w:rPr>
        <w:t xml:space="preserve"> (the “Executive”).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Executive is a key management employee of the Company; and</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Board of Directors of the Company (the “Board”) recognizes that the possibility of a Change in Control (as hereinafter defined) exists and can result in significant distractions of its key management personnel because of the uncertainties inherent in such a situation; and</w:t>
      </w:r>
    </w:p>
    <w:p>
      <w:pPr>
        <w:spacing w:after="0" w:line="18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WHEREAS, the Board has determined that it is essential and in the best interest of the Company and its stockholders to retain the services of the Executive in the event of a Change in Control and to ensure Executive’s continued dedication and efforts in such event without undue concern for Executive’s personal financial and employment security; and</w:t>
      </w:r>
    </w:p>
    <w:p>
      <w:pPr>
        <w:spacing w:after="0" w:line="1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WHEREAS, in order to continue to induce the Executive to provide services to the Company (including its subsidiary corporations), particularly in the event of a Change in Control, the Company desires to enter into this Agreement with the Executive to provide the Executive with certain benefits in the event Executive’s employment is terminated as a result of, or in connection with, a Change in Control and to provide the Executive with certain other benefits whether or not the Executive’s employment is terminated; and</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WHEREAS, this Agreement is not intended to provide for the deferral of compensation within the meaning of Section 409A of the Code, but rather, is intended to satisfy the short-term deferral exemption under Treasury Regulation (“Treas. Reg.”) §1.409A-1(b)(4) in tandem with the separation pay exemption under Treas. Reg. §1.409A-1(b)(9); and</w:t>
      </w:r>
    </w:p>
    <w:p>
      <w:pPr>
        <w:spacing w:after="0" w:line="1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respective agreements of the parties contained herein, it is agreed as follows:</w:t>
      </w:r>
    </w:p>
    <w:p>
      <w:pPr>
        <w:spacing w:after="0" w:line="296"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w:t>
      </w:r>
    </w:p>
    <w:p>
      <w:pPr>
        <w:spacing w:after="0" w:line="9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7"/>
          <w:szCs w:val="17"/>
          <w:color w:val="auto"/>
        </w:rPr>
        <w:t xml:space="preserve">1.1 </w:t>
      </w:r>
      <w:r>
        <w:rPr>
          <w:rFonts w:ascii="Arial" w:cs="Arial" w:eastAsia="Arial" w:hAnsi="Arial"/>
          <w:sz w:val="20"/>
          <w:szCs w:val="20"/>
          <w:color w:val="auto"/>
        </w:rPr>
        <w:t>This Agreement shall commence on the date hereof and shall continue unless or until terminated as provided</w:t>
      </w:r>
      <w:r>
        <w:rPr>
          <w:rFonts w:ascii="Arial" w:cs="Arial" w:eastAsia="Arial" w:hAnsi="Arial"/>
          <w:sz w:val="17"/>
          <w:szCs w:val="17"/>
          <w:color w:val="auto"/>
        </w:rPr>
        <w:t xml:space="preserve"> </w:t>
      </w:r>
      <w:r>
        <w:rPr>
          <w:rFonts w:ascii="Arial" w:cs="Arial" w:eastAsia="Arial" w:hAnsi="Arial"/>
          <w:sz w:val="20"/>
          <w:szCs w:val="20"/>
          <w:color w:val="auto"/>
        </w:rPr>
        <w:t>herein. This Agreement shall not be considered an employment agreement and in no way guarantees Executive the right to continue in the employment of the Company or its affiliates. Executive’s employment is considered employment at will, subject to Executive’s right to receive payments and benefits upon certain terminations of employment as provided below.</w:t>
      </w:r>
    </w:p>
    <w:p>
      <w:pPr>
        <w:spacing w:after="0" w:line="6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7"/>
          <w:szCs w:val="17"/>
          <w:color w:val="auto"/>
        </w:rPr>
        <w:t xml:space="preserve">1.2 </w:t>
      </w:r>
      <w:r>
        <w:rPr>
          <w:rFonts w:ascii="Arial" w:cs="Arial" w:eastAsia="Arial" w:hAnsi="Arial"/>
          <w:sz w:val="20"/>
          <w:szCs w:val="20"/>
          <w:color w:val="auto"/>
        </w:rPr>
        <w:t>Each place in this Agreement where a reference to the “Company” appears that relates to the Executive’s</w:t>
      </w:r>
      <w:r>
        <w:rPr>
          <w:rFonts w:ascii="Arial" w:cs="Arial" w:eastAsia="Arial" w:hAnsi="Arial"/>
          <w:sz w:val="17"/>
          <w:szCs w:val="17"/>
          <w:color w:val="auto"/>
        </w:rPr>
        <w:t xml:space="preserve"> </w:t>
      </w:r>
      <w:r>
        <w:rPr>
          <w:rFonts w:ascii="Arial" w:cs="Arial" w:eastAsia="Arial" w:hAnsi="Arial"/>
          <w:sz w:val="20"/>
          <w:szCs w:val="20"/>
          <w:color w:val="auto"/>
        </w:rPr>
        <w:t>employment, restrictive covenants, termination of employment, or performing services, including the definitions of “Cause” and “Good Reason,” such reference shall mean and include any subsidiary of the Company which is the primary service recipient of the Executive’s services. Further, in each place where this Agreement refers to a benefit plan or program, payment of compensation, compensation arrangement or other similar plan or program maintained by the Company, such reference shall include any plan, program or arrangement maintained or established by a subsidiary of the Company. Notwithstanding the foregoing, the references in the definition of “Change in Control,” and similar references to changes in ownership and control of the Company shall mean and refer only to Acuity Brands, Inc., a Delaware corporation.</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238"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10(iii)A(81)</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00" w:hanging="792"/>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9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7"/>
          <w:szCs w:val="17"/>
          <w:color w:val="auto"/>
        </w:rPr>
        <w:t xml:space="preserve">2.1 </w:t>
      </w:r>
      <w:r>
        <w:rPr>
          <w:rFonts w:ascii="Arial" w:cs="Arial" w:eastAsia="Arial" w:hAnsi="Arial"/>
          <w:sz w:val="20"/>
          <w:szCs w:val="20"/>
          <w:u w:val="single" w:color="auto"/>
          <w:color w:val="auto"/>
        </w:rPr>
        <w:t>Cause</w:t>
      </w:r>
      <w:r>
        <w:rPr>
          <w:rFonts w:ascii="Arial" w:cs="Arial" w:eastAsia="Arial" w:hAnsi="Arial"/>
          <w:sz w:val="20"/>
          <w:szCs w:val="20"/>
          <w:color w:val="auto"/>
        </w:rPr>
        <w:t>. For purposes of this Agreement, “Cause” shall mean a reasonable determination by the Company that</w:t>
      </w:r>
      <w:r>
        <w:rPr>
          <w:rFonts w:ascii="Arial" w:cs="Arial" w:eastAsia="Arial" w:hAnsi="Arial"/>
          <w:sz w:val="17"/>
          <w:szCs w:val="17"/>
          <w:color w:val="auto"/>
        </w:rPr>
        <w:t xml:space="preserve"> </w:t>
      </w:r>
      <w:r>
        <w:rPr>
          <w:rFonts w:ascii="Arial" w:cs="Arial" w:eastAsia="Arial" w:hAnsi="Arial"/>
          <w:sz w:val="20"/>
          <w:szCs w:val="20"/>
          <w:color w:val="auto"/>
        </w:rPr>
        <w:t xml:space="preserve">the Executive (a) intentionally and continually failed to substantially perform Executive’s duties with the Company (other than a failure resulting from the Executive’s incapacity due to physical or mental illness) which failure continued for a period of at least thirty (30) days after a written notice of demand for substantial performance has been delivered to the Executive specifying the manner in which the Executive has failed to substantially perform, or (b) intentionally engaged in conduct which is demonstrably and materially injurious to the Company, monetarily or otherwise or was convicted of a misdemeanor or felony involving moral turpitude;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Executive shall not be considered to be terminated for Cause unless the Board has duly adopted a resolution finding that, in the good faith opinion of the Board, the Executive has engaged in the conduct set forth in clauses (a) or (b) and Executive has been provided written notice of the adoption of such resolution. No act, nor failure to act, on the Executive’s part, shall be considered “intentional” unless he has acted, or failed to act, with a lack of good faith and without a reasonable belief that Executive’s action or failure to act was in the best interest of the Company. Notwithstanding anything contained in this Agreement to the contrary, no failure to perform by the Executive after a Notice of Termination is given by the Executive shall constitute Cause for purposes of this Agreement.</w:t>
      </w:r>
    </w:p>
    <w:p>
      <w:pPr>
        <w:spacing w:after="0" w:line="58"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9"/>
          <w:szCs w:val="19"/>
          <w:u w:val="single" w:color="auto"/>
          <w:color w:val="auto"/>
        </w:rPr>
        <w:t>Change in Control</w:t>
      </w:r>
      <w:r>
        <w:rPr>
          <w:rFonts w:ascii="Arial" w:cs="Arial" w:eastAsia="Arial" w:hAnsi="Arial"/>
          <w:sz w:val="19"/>
          <w:szCs w:val="19"/>
          <w:color w:val="auto"/>
        </w:rPr>
        <w:t>. For purposes of this Agreement, a “Change in Control” shall mean any of the following</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events:</w:t>
      </w:r>
    </w:p>
    <w:p>
      <w:pPr>
        <w:spacing w:after="0" w:line="67" w:lineRule="exact"/>
        <w:rPr>
          <w:sz w:val="20"/>
          <w:szCs w:val="20"/>
          <w:color w:val="auto"/>
        </w:rPr>
      </w:pPr>
    </w:p>
    <w:p>
      <w:pPr>
        <w:jc w:val="both"/>
        <w:ind w:left="60" w:firstLine="1298"/>
        <w:spacing w:after="0" w:line="262" w:lineRule="auto"/>
        <w:tabs>
          <w:tab w:leader="none" w:pos="2100" w:val="left"/>
        </w:tabs>
        <w:numPr>
          <w:ilvl w:val="0"/>
          <w:numId w:val="28"/>
        </w:numPr>
        <w:rPr>
          <w:rFonts w:ascii="Arial" w:cs="Arial" w:eastAsia="Arial" w:hAnsi="Arial"/>
          <w:sz w:val="16"/>
          <w:szCs w:val="16"/>
          <w:color w:val="auto"/>
        </w:rPr>
      </w:pPr>
      <w:r>
        <w:rPr>
          <w:rFonts w:ascii="Arial" w:cs="Arial" w:eastAsia="Arial" w:hAnsi="Arial"/>
          <w:sz w:val="19"/>
          <w:szCs w:val="19"/>
          <w:color w:val="auto"/>
        </w:rPr>
        <w:t>The acquisition (other than from the Company in an acquisition that is approved by the Incumbent Board) by any “Person” (as the term person is used for purposes of Sections 13(d) or 14(d) of the Securities Exchange Act of 1934, as amended (the “1934 Act”) of beneficial ownership (within the meaning of Rule 13d-3 promulgated under the 1934 Act) of thirty percent (30%) or more of the combined voting power of the Company’s then outstanding voting securities; or</w:t>
      </w:r>
    </w:p>
    <w:p>
      <w:pPr>
        <w:spacing w:after="0" w:line="44" w:lineRule="exact"/>
        <w:rPr>
          <w:rFonts w:ascii="Arial" w:cs="Arial" w:eastAsia="Arial" w:hAnsi="Arial"/>
          <w:sz w:val="16"/>
          <w:szCs w:val="16"/>
          <w:color w:val="auto"/>
        </w:rPr>
      </w:pPr>
    </w:p>
    <w:p>
      <w:pPr>
        <w:jc w:val="both"/>
        <w:ind w:left="60" w:firstLine="1298"/>
        <w:spacing w:after="0" w:line="218" w:lineRule="auto"/>
        <w:tabs>
          <w:tab w:leader="none" w:pos="2100" w:val="left"/>
        </w:tabs>
        <w:numPr>
          <w:ilvl w:val="0"/>
          <w:numId w:val="28"/>
        </w:numPr>
        <w:rPr>
          <w:rFonts w:ascii="Arial" w:cs="Arial" w:eastAsia="Arial" w:hAnsi="Arial"/>
          <w:sz w:val="18"/>
          <w:szCs w:val="18"/>
          <w:color w:val="auto"/>
        </w:rPr>
      </w:pPr>
      <w:r>
        <w:rPr>
          <w:rFonts w:ascii="Arial" w:cs="Arial" w:eastAsia="Arial" w:hAnsi="Arial"/>
          <w:sz w:val="22"/>
          <w:szCs w:val="22"/>
          <w:color w:val="auto"/>
        </w:rPr>
        <w:t xml:space="preserve">The individuals who, as of the date of this Agreement, are members of the Board (the “Incumbent Board”), cease for any reason to constitute at least fifty percent (50%) of the Board;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the election, or nomination for election by the Company’s stockholders, of any new director was approved by a vote of at least two-thirds of the Incumbent Board, such new director shall, for purposes of this Agreement, be considered as a member of the Incumbent Board; or</w:t>
      </w:r>
    </w:p>
    <w:p>
      <w:pPr>
        <w:spacing w:after="0" w:line="66" w:lineRule="exact"/>
        <w:rPr>
          <w:rFonts w:ascii="Arial" w:cs="Arial" w:eastAsia="Arial" w:hAnsi="Arial"/>
          <w:sz w:val="18"/>
          <w:szCs w:val="18"/>
          <w:color w:val="auto"/>
        </w:rPr>
      </w:pPr>
    </w:p>
    <w:p>
      <w:pPr>
        <w:jc w:val="both"/>
        <w:ind w:left="60" w:firstLine="1298"/>
        <w:spacing w:after="0" w:line="256" w:lineRule="auto"/>
        <w:tabs>
          <w:tab w:leader="none" w:pos="2090" w:val="left"/>
        </w:tabs>
        <w:numPr>
          <w:ilvl w:val="0"/>
          <w:numId w:val="28"/>
        </w:numPr>
        <w:rPr>
          <w:rFonts w:ascii="Arial" w:cs="Arial" w:eastAsia="Arial" w:hAnsi="Arial"/>
          <w:sz w:val="16"/>
          <w:szCs w:val="16"/>
          <w:color w:val="auto"/>
        </w:rPr>
      </w:pPr>
      <w:r>
        <w:rPr>
          <w:rFonts w:ascii="Arial" w:cs="Arial" w:eastAsia="Arial" w:hAnsi="Arial"/>
          <w:sz w:val="19"/>
          <w:szCs w:val="19"/>
          <w:color w:val="auto"/>
        </w:rPr>
        <w:t>Consummation of a merger or consolidation involving the Company if the stockholders of the Company, immediately before such merger or consolidation do not, as a result of such merger or consolidation, own, directly or indirectly, more than sixty percent (60%) of the combined voting power of the then outstanding voting securities of the corporation resulting from such merger or consolidation in substantially the same proportion as their ownership of the combined voting power of the voting securities of the Company outstanding immediately before such merger or consolidation;</w:t>
      </w:r>
    </w:p>
    <w:p>
      <w:pPr>
        <w:spacing w:after="0" w:line="49" w:lineRule="exact"/>
        <w:rPr>
          <w:rFonts w:ascii="Arial" w:cs="Arial" w:eastAsia="Arial" w:hAnsi="Arial"/>
          <w:sz w:val="16"/>
          <w:szCs w:val="16"/>
          <w:color w:val="auto"/>
        </w:rPr>
      </w:pPr>
    </w:p>
    <w:p>
      <w:pPr>
        <w:ind w:left="60" w:firstLine="1298"/>
        <w:spacing w:after="0" w:line="239" w:lineRule="auto"/>
        <w:tabs>
          <w:tab w:leader="none" w:pos="2100" w:val="left"/>
        </w:tabs>
        <w:numPr>
          <w:ilvl w:val="0"/>
          <w:numId w:val="28"/>
        </w:numPr>
        <w:rPr>
          <w:rFonts w:ascii="Arial" w:cs="Arial" w:eastAsia="Arial" w:hAnsi="Arial"/>
          <w:sz w:val="18"/>
          <w:szCs w:val="18"/>
          <w:color w:val="auto"/>
        </w:rPr>
      </w:pPr>
      <w:r>
        <w:rPr>
          <w:rFonts w:ascii="Arial" w:cs="Arial" w:eastAsia="Arial" w:hAnsi="Arial"/>
          <w:sz w:val="22"/>
          <w:szCs w:val="22"/>
          <w:color w:val="auto"/>
        </w:rPr>
        <w:t>Consummation of a complete liquidation or dissolution of the Company or of the sale or other disposition of all or substantially all of the assets of the Company; or</w:t>
      </w:r>
    </w:p>
    <w:p>
      <w:pPr>
        <w:spacing w:after="0" w:line="63" w:lineRule="exact"/>
        <w:rPr>
          <w:rFonts w:ascii="Arial" w:cs="Arial" w:eastAsia="Arial" w:hAnsi="Arial"/>
          <w:sz w:val="18"/>
          <w:szCs w:val="18"/>
          <w:color w:val="auto"/>
        </w:rPr>
      </w:pPr>
    </w:p>
    <w:p>
      <w:pPr>
        <w:jc w:val="both"/>
        <w:ind w:left="60" w:firstLine="1298"/>
        <w:spacing w:after="0" w:line="223" w:lineRule="auto"/>
        <w:tabs>
          <w:tab w:leader="none" w:pos="2100" w:val="left"/>
        </w:tabs>
        <w:numPr>
          <w:ilvl w:val="0"/>
          <w:numId w:val="28"/>
        </w:numPr>
        <w:rPr>
          <w:rFonts w:ascii="Arial" w:cs="Arial" w:eastAsia="Arial" w:hAnsi="Arial"/>
          <w:sz w:val="18"/>
          <w:szCs w:val="18"/>
          <w:color w:val="auto"/>
        </w:rPr>
      </w:pPr>
      <w:r>
        <w:rPr>
          <w:rFonts w:ascii="Arial" w:cs="Arial" w:eastAsia="Arial" w:hAnsi="Arial"/>
          <w:sz w:val="22"/>
          <w:szCs w:val="22"/>
          <w:color w:val="auto"/>
        </w:rPr>
        <w:t>The stockholders of the Company approve the sale of all or substantially all of the assets of the Company or any merger, consolidation, issuance of securities or purchase of assets, the result of which would be the occurrence of any event described in clause (c) or (d) above.</w:t>
      </w:r>
    </w:p>
    <w:p>
      <w:pPr>
        <w:spacing w:after="0" w:line="1" w:lineRule="exact"/>
        <w:rPr>
          <w:rFonts w:ascii="Arial" w:cs="Arial" w:eastAsia="Arial" w:hAnsi="Arial"/>
          <w:sz w:val="18"/>
          <w:szCs w:val="18"/>
          <w:color w:val="auto"/>
        </w:rPr>
      </w:pPr>
    </w:p>
    <w:p>
      <w:pPr>
        <w:jc w:val="both"/>
        <w:spacing w:after="0" w:line="244" w:lineRule="auto"/>
        <w:rPr>
          <w:rFonts w:ascii="Arial" w:cs="Arial" w:eastAsia="Arial" w:hAnsi="Arial"/>
          <w:sz w:val="18"/>
          <w:szCs w:val="18"/>
          <w:color w:val="auto"/>
        </w:rPr>
      </w:pPr>
      <w:r>
        <w:rPr>
          <w:rFonts w:ascii="Arial" w:cs="Arial" w:eastAsia="Arial" w:hAnsi="Arial"/>
          <w:sz w:val="22"/>
          <w:szCs w:val="22"/>
          <w:color w:val="auto"/>
        </w:rPr>
        <w:t>Notwithstanding the foregoing, a Change in Control shall not be deemed to occur pursuant to Section 2.2(a), solely because thirty percent (30%) or more of the combined voting power of the Company’s then outstanding securities is acquired by (i) a trustee or other fiduciary holding securities under one or more employee benefit plans maintained by the Company or any of its subsidiaries or (ii) any corporation which, immediately prior to such acquisition, is owned directly or indirectly by the stockholders of the Company in the same proportion</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38" w:right="339" w:bottom="1440" w:gutter="0" w:footer="0" w:header="0"/>
        </w:sectPr>
      </w:pPr>
    </w:p>
    <w:bookmarkStart w:id="101" w:name="page102"/>
    <w:bookmarkEnd w:id="101"/>
    <w:p>
      <w:pPr>
        <w:ind w:left="9680"/>
        <w:spacing w:after="0"/>
        <w:rPr>
          <w:sz w:val="20"/>
          <w:szCs w:val="20"/>
          <w:color w:val="auto"/>
        </w:rPr>
      </w:pPr>
      <w:r>
        <w:rPr>
          <w:rFonts w:ascii="Arial" w:cs="Arial" w:eastAsia="Arial" w:hAnsi="Arial"/>
          <w:sz w:val="17"/>
          <w:szCs w:val="17"/>
          <w:b w:val="1"/>
          <w:bCs w:val="1"/>
          <w:color w:val="auto"/>
        </w:rPr>
        <w:t>Exhibit 10(iii)A(81)</w:t>
      </w:r>
    </w:p>
    <w:p>
      <w:pPr>
        <w:spacing w:after="0" w:line="200" w:lineRule="exact"/>
        <w:rPr>
          <w:sz w:val="20"/>
          <w:szCs w:val="20"/>
          <w:color w:val="auto"/>
        </w:rPr>
      </w:pPr>
    </w:p>
    <w:p>
      <w:pPr>
        <w:spacing w:after="0" w:line="389"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as their ownership of stock in the Company immediately prior to such acquisition (hereinafter referred to as “Related Persons”).</w:t>
      </w:r>
    </w:p>
    <w:p>
      <w:pPr>
        <w:spacing w:after="0" w:line="349"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9"/>
          <w:szCs w:val="19"/>
          <w:u w:val="single" w:color="auto"/>
          <w:color w:val="auto"/>
        </w:rPr>
        <w:t xml:space="preserve">Code. </w:t>
      </w:r>
      <w:r>
        <w:rPr>
          <w:rFonts w:ascii="Arial" w:cs="Arial" w:eastAsia="Arial" w:hAnsi="Arial"/>
          <w:sz w:val="19"/>
          <w:szCs w:val="19"/>
          <w:color w:val="auto"/>
        </w:rPr>
        <w:t>For purposes of this Agreement, “Code” means the Internal Revenue Code of 1986, as amended.</w:t>
      </w:r>
    </w:p>
    <w:p>
      <w:pPr>
        <w:spacing w:after="0" w:line="13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9"/>
          <w:szCs w:val="19"/>
          <w:u w:val="single" w:color="auto"/>
          <w:color w:val="auto"/>
        </w:rPr>
        <w:t>Company’s Business</w:t>
      </w:r>
      <w:r>
        <w:rPr>
          <w:rFonts w:ascii="Arial" w:cs="Arial" w:eastAsia="Arial" w:hAnsi="Arial"/>
          <w:sz w:val="19"/>
          <w:szCs w:val="19"/>
          <w:color w:val="auto"/>
        </w:rPr>
        <w:t>. For purposes of this Agreement, “Company’s Business” means the design, manufacture,</w:t>
      </w:r>
      <w:r>
        <w:rPr>
          <w:rFonts w:ascii="Arial" w:cs="Arial" w:eastAsia="Arial" w:hAnsi="Arial"/>
          <w:sz w:val="16"/>
          <w:szCs w:val="16"/>
          <w:color w:val="auto"/>
        </w:rPr>
        <w:t xml:space="preserve"> </w:t>
      </w:r>
      <w:r>
        <w:rPr>
          <w:rFonts w:ascii="Arial" w:cs="Arial" w:eastAsia="Arial" w:hAnsi="Arial"/>
          <w:sz w:val="19"/>
          <w:szCs w:val="19"/>
          <w:color w:val="auto"/>
        </w:rPr>
        <w:t>installation, servicing, and/or sale of one or more of the following and any related products and/or services: lighting fixtures and systems; lighting control components and systems (including but not limited to dimmers, switches, relays, programmable lighting controllers, sensors, timers, and range extenders for lighting and energy management and other purposes); building management and/or control systems; commercial building lighting controls; intelligent building automation and energy management technologies, products, software and solutions with respect to HVAC systems and HVAC controls and sensors; motorized shading and blind controls; building security and access control and monitoring for fire and life safety; emergency lighting fixtures and systems (including but not limited to exit signs, emergency light units, inverters, back-up power battery packs, and combinations thereof); battery powered and/or photovoltaic lighting fixtures; electric lighting track units; hardware for mounting and hanging electrical lighting fixtures; aluminum, steel and fiberglass fixture poles for electric lighting; light fixture lenses; sound and electromagnetic wave receivers and transmitters; flexible and modular wiring systems and components (namely, flexible branch circuits, attachment plugs, receptacles, connectors and fittings); LED drivers and other power supplies; daylighting systems including but not limited to prismatic skylighting and related controls; organic LED products and technology; medical and patient care lighting devices and system; indoor positioning products and technology; sensor based information networks; distributed software services; and any wired or wireless communications and monitoring hardware or software related to any of the above.</w:t>
      </w:r>
    </w:p>
    <w:p>
      <w:pPr>
        <w:spacing w:after="0" w:line="70"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For purposes of this Agreement, “Confidential Information” means:</w:t>
      </w:r>
    </w:p>
    <w:p>
      <w:pPr>
        <w:spacing w:after="0" w:line="133" w:lineRule="exact"/>
        <w:rPr>
          <w:sz w:val="20"/>
          <w:szCs w:val="20"/>
          <w:color w:val="auto"/>
        </w:rPr>
      </w:pPr>
    </w:p>
    <w:p>
      <w:pPr>
        <w:jc w:val="both"/>
        <w:ind w:left="60" w:firstLine="1298"/>
        <w:spacing w:after="0" w:line="239" w:lineRule="auto"/>
        <w:tabs>
          <w:tab w:leader="none" w:pos="2100" w:val="left"/>
        </w:tabs>
        <w:numPr>
          <w:ilvl w:val="1"/>
          <w:numId w:val="29"/>
        </w:numPr>
        <w:rPr>
          <w:rFonts w:ascii="Arial" w:cs="Arial" w:eastAsia="Arial" w:hAnsi="Arial"/>
          <w:sz w:val="16"/>
          <w:szCs w:val="16"/>
          <w:color w:val="auto"/>
        </w:rPr>
      </w:pPr>
      <w:r>
        <w:rPr>
          <w:rFonts w:ascii="Arial" w:cs="Arial" w:eastAsia="Arial" w:hAnsi="Arial"/>
          <w:sz w:val="19"/>
          <w:szCs w:val="19"/>
          <w:color w:val="auto"/>
        </w:rPr>
        <w:t>Data and information relating to the Company’s Business; disclosed to Executive or of which Executive became aware of as a consequence of Executive's relationship with the Company; having value to the employer; not generally known to the competitors for the employer; and which includes trade secrets, methods of operation, names of customers, price lists, financial information and projections, route books, personnel data, and similar information For purposes of this Agreement, subject to the foregoing, and according to terminology commonly used by the Company, the Company’s Confidential Information shall include, but not be limited to, information pertaining to: (1) business opportunities; (2) data and compilations of data relating to the Company’s Business; (3) compilations of information about, and communications and agreements with, customers and potential customers of the Company; (4) computer software, hardware, network and internet technology utilized, modified or enhanced by the Company or by Executive in furtherance of Executive’s duties with the Company; (5) compilations of data concerning Company products, services, customers, and end users including but not limited to compilations concerning projected sales, new project timelines, inventory reports, sales, and cost and expense reports; (6) compilations of information about the Company’s employees and independent contracting consultants; (7) the Company’s financial information, including, without limitation, amounts charged to customers and amounts charged to the Company by its vendors, suppliers, and service providers; (8) proposals submitted to the Company’s customers, potential customers, wholesalers, distributors, vendors, suppliers and service providers; (9) the Company’s marketing strategies and compilations of marketing data; (10) compilations of data or information concerning, and communications and agreements with, vendors, suppliers and licensors to the Company and other sources of technology, products, services or components used in the Company’s Business; (11) any information concerning services requested and services performed on behalf of customers of the Company, including planned products or services; and</w:t>
      </w:r>
    </w:p>
    <w:p>
      <w:pPr>
        <w:spacing w:after="0" w:line="3" w:lineRule="exact"/>
        <w:rPr>
          <w:rFonts w:ascii="Arial" w:cs="Arial" w:eastAsia="Arial" w:hAnsi="Arial"/>
          <w:sz w:val="16"/>
          <w:szCs w:val="16"/>
          <w:color w:val="auto"/>
        </w:rPr>
      </w:pPr>
    </w:p>
    <w:p>
      <w:pPr>
        <w:ind w:left="60" w:firstLine="2"/>
        <w:spacing w:after="0" w:line="224" w:lineRule="auto"/>
        <w:tabs>
          <w:tab w:leader="none" w:pos="478"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Company’s research and development records and data. Confidential Information also includes any summary, extract or analysis of such information</w:t>
      </w:r>
    </w:p>
    <w:p>
      <w:pPr>
        <w:spacing w:after="0" w:line="313"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238" w:right="339" w:bottom="1440" w:gutter="0" w:footer="0" w:header="0"/>
        </w:sectPr>
      </w:pPr>
    </w:p>
    <w:bookmarkStart w:id="102" w:name="page103"/>
    <w:bookmarkEnd w:id="102"/>
    <w:p>
      <w:pPr>
        <w:ind w:left="9680"/>
        <w:spacing w:after="0"/>
        <w:rPr>
          <w:sz w:val="20"/>
          <w:szCs w:val="20"/>
          <w:color w:val="auto"/>
        </w:rPr>
      </w:pPr>
      <w:r>
        <w:rPr>
          <w:rFonts w:ascii="Arial" w:cs="Arial" w:eastAsia="Arial" w:hAnsi="Arial"/>
          <w:sz w:val="17"/>
          <w:szCs w:val="17"/>
          <w:b w:val="1"/>
          <w:bCs w:val="1"/>
          <w:color w:val="auto"/>
        </w:rPr>
        <w:t>Exhibit 10(iii)A(81)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line="232" w:lineRule="auto"/>
        <w:rPr>
          <w:sz w:val="20"/>
          <w:szCs w:val="20"/>
          <w:color w:val="auto"/>
        </w:rPr>
      </w:pPr>
      <w:r>
        <w:rPr>
          <w:rFonts w:ascii="Arial" w:cs="Arial" w:eastAsia="Arial" w:hAnsi="Arial"/>
          <w:sz w:val="22"/>
          <w:szCs w:val="22"/>
          <w:color w:val="auto"/>
        </w:rPr>
        <w:t>together with information that has been received or disclosed to the Company by any third party as to which the Company has an obligation to treat as confidential.</w:t>
      </w:r>
    </w:p>
    <w:p>
      <w:pPr>
        <w:spacing w:after="0" w:line="64" w:lineRule="exact"/>
        <w:rPr>
          <w:sz w:val="20"/>
          <w:szCs w:val="20"/>
          <w:color w:val="auto"/>
        </w:rPr>
      </w:pPr>
    </w:p>
    <w:p>
      <w:pPr>
        <w:ind w:left="2100" w:hanging="742"/>
        <w:spacing w:after="0"/>
        <w:tabs>
          <w:tab w:leader="none" w:pos="2100" w:val="left"/>
        </w:tabs>
        <w:numPr>
          <w:ilvl w:val="0"/>
          <w:numId w:val="31"/>
        </w:numPr>
        <w:rPr>
          <w:rFonts w:ascii="Arial" w:cs="Arial" w:eastAsia="Arial" w:hAnsi="Arial"/>
          <w:sz w:val="18"/>
          <w:szCs w:val="18"/>
          <w:color w:val="auto"/>
        </w:rPr>
      </w:pPr>
      <w:r>
        <w:rPr>
          <w:rFonts w:ascii="Arial" w:cs="Arial" w:eastAsia="Arial" w:hAnsi="Arial"/>
          <w:sz w:val="22"/>
          <w:szCs w:val="22"/>
          <w:color w:val="auto"/>
        </w:rPr>
        <w:t>Confidential Information shall not include:</w:t>
      </w:r>
    </w:p>
    <w:p>
      <w:pPr>
        <w:spacing w:after="0" w:line="90"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21"/>
          <w:szCs w:val="21"/>
          <w:color w:val="auto"/>
        </w:rPr>
        <w:t>Information generally available to the public other than as a result of improper disclosure by</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Executive;</w:t>
      </w:r>
    </w:p>
    <w:p>
      <w:pPr>
        <w:spacing w:after="0" w:line="67" w:lineRule="exact"/>
        <w:rPr>
          <w:sz w:val="20"/>
          <w:szCs w:val="20"/>
          <w:color w:val="auto"/>
        </w:rPr>
      </w:pPr>
    </w:p>
    <w:p>
      <w:pPr>
        <w:ind w:firstLine="1952"/>
        <w:spacing w:after="0" w:line="311" w:lineRule="auto"/>
        <w:tabs>
          <w:tab w:leader="none" w:pos="2722" w:val="left"/>
        </w:tabs>
        <w:numPr>
          <w:ilvl w:val="0"/>
          <w:numId w:val="32"/>
        </w:numPr>
        <w:rPr>
          <w:rFonts w:ascii="Arial" w:cs="Arial" w:eastAsia="Arial" w:hAnsi="Arial"/>
          <w:sz w:val="16"/>
          <w:szCs w:val="16"/>
          <w:color w:val="auto"/>
        </w:rPr>
      </w:pPr>
      <w:r>
        <w:rPr>
          <w:rFonts w:ascii="Arial" w:cs="Arial" w:eastAsia="Arial" w:hAnsi="Arial"/>
          <w:sz w:val="19"/>
          <w:szCs w:val="19"/>
          <w:color w:val="auto"/>
        </w:rPr>
        <w:t>Information that becomes available to Executive from a source other than the Company (provided Executive has no knowledge that such information was obtained from a source in breach of a duty to the Company);</w:t>
      </w:r>
    </w:p>
    <w:p>
      <w:pPr>
        <w:ind w:left="2760" w:hanging="808"/>
        <w:spacing w:after="0"/>
        <w:tabs>
          <w:tab w:leader="none" w:pos="2760" w:val="left"/>
        </w:tabs>
        <w:numPr>
          <w:ilvl w:val="0"/>
          <w:numId w:val="32"/>
        </w:numPr>
        <w:rPr>
          <w:rFonts w:ascii="Arial" w:cs="Arial" w:eastAsia="Arial" w:hAnsi="Arial"/>
          <w:sz w:val="16"/>
          <w:szCs w:val="16"/>
          <w:color w:val="auto"/>
        </w:rPr>
      </w:pPr>
      <w:r>
        <w:rPr>
          <w:rFonts w:ascii="Arial" w:cs="Arial" w:eastAsia="Arial" w:hAnsi="Arial"/>
          <w:sz w:val="19"/>
          <w:szCs w:val="19"/>
          <w:color w:val="auto"/>
        </w:rPr>
        <w:t>Information disclosed pursuant to law, regulations or pursuant to a subpoena, court order or legal</w:t>
      </w:r>
    </w:p>
    <w:p>
      <w:pPr>
        <w:spacing w:after="0" w:line="2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process; and/or</w:t>
      </w:r>
    </w:p>
    <w:p>
      <w:pPr>
        <w:spacing w:after="0" w:line="66" w:lineRule="exact"/>
        <w:rPr>
          <w:rFonts w:ascii="Arial" w:cs="Arial" w:eastAsia="Arial" w:hAnsi="Arial"/>
          <w:sz w:val="16"/>
          <w:szCs w:val="16"/>
          <w:color w:val="auto"/>
        </w:rPr>
      </w:pPr>
    </w:p>
    <w:p>
      <w:pPr>
        <w:ind w:left="2760" w:hanging="808"/>
        <w:spacing w:after="0"/>
        <w:tabs>
          <w:tab w:leader="none" w:pos="2760" w:val="left"/>
        </w:tabs>
        <w:numPr>
          <w:ilvl w:val="0"/>
          <w:numId w:val="32"/>
        </w:numPr>
        <w:rPr>
          <w:rFonts w:ascii="Arial" w:cs="Arial" w:eastAsia="Arial" w:hAnsi="Arial"/>
          <w:sz w:val="18"/>
          <w:szCs w:val="18"/>
          <w:color w:val="auto"/>
        </w:rPr>
      </w:pPr>
      <w:r>
        <w:rPr>
          <w:rFonts w:ascii="Arial" w:cs="Arial" w:eastAsia="Arial" w:hAnsi="Arial"/>
          <w:sz w:val="22"/>
          <w:szCs w:val="22"/>
          <w:color w:val="auto"/>
        </w:rPr>
        <w:t>Information obtained in filings with the Securities and Exchange Commission.</w:t>
      </w:r>
    </w:p>
    <w:p>
      <w:pPr>
        <w:spacing w:after="0" w:line="98"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 xml:space="preserve">2.6 </w:t>
      </w:r>
      <w:r>
        <w:rPr>
          <w:rFonts w:ascii="Arial" w:cs="Arial" w:eastAsia="Arial" w:hAnsi="Arial"/>
          <w:sz w:val="21"/>
          <w:szCs w:val="21"/>
          <w:u w:val="single" w:color="auto"/>
          <w:color w:val="auto"/>
        </w:rPr>
        <w:t>Covered Period</w:t>
      </w:r>
      <w:r>
        <w:rPr>
          <w:rFonts w:ascii="Arial" w:cs="Arial" w:eastAsia="Arial" w:hAnsi="Arial"/>
          <w:sz w:val="21"/>
          <w:szCs w:val="21"/>
          <w:color w:val="auto"/>
        </w:rPr>
        <w:t>. For purposes of this Agreement, “Covered Period” means the period of time beginning on the</w:t>
      </w:r>
      <w:r>
        <w:rPr>
          <w:rFonts w:ascii="Arial" w:cs="Arial" w:eastAsia="Arial" w:hAnsi="Arial"/>
          <w:sz w:val="18"/>
          <w:szCs w:val="18"/>
          <w:color w:val="auto"/>
        </w:rPr>
        <w:t xml:space="preserve"> </w:t>
      </w:r>
      <w:r>
        <w:rPr>
          <w:rFonts w:ascii="Arial" w:cs="Arial" w:eastAsia="Arial" w:hAnsi="Arial"/>
          <w:sz w:val="21"/>
          <w:szCs w:val="21"/>
          <w:color w:val="auto"/>
        </w:rPr>
        <w:t>first occurrence of a Change in Control and lasting through the twenty-four month anniversary of the occurrence of the Change in Control. The Covered Period shall also include the six-month period before the occurrence of the Change in Control if a Qualifying Termination occurs during such period at the request of a Third Party in anticipation of the Change in Control and the Change in Control occurs.</w:t>
      </w:r>
    </w:p>
    <w:p>
      <w:pPr>
        <w:spacing w:after="0" w:line="68"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 xml:space="preserve">2.7 </w:t>
      </w:r>
      <w:r>
        <w:rPr>
          <w:rFonts w:ascii="Arial" w:cs="Arial" w:eastAsia="Arial" w:hAnsi="Arial"/>
          <w:sz w:val="20"/>
          <w:szCs w:val="20"/>
          <w:u w:val="single" w:color="auto"/>
          <w:color w:val="auto"/>
        </w:rPr>
        <w:t>Customers.</w:t>
      </w:r>
      <w:r>
        <w:rPr>
          <w:rFonts w:ascii="Arial" w:cs="Arial" w:eastAsia="Arial" w:hAnsi="Arial"/>
          <w:sz w:val="17"/>
          <w:szCs w:val="17"/>
          <w:color w:val="auto"/>
        </w:rPr>
        <w:t xml:space="preserve"> </w:t>
      </w:r>
      <w:r>
        <w:rPr>
          <w:rFonts w:ascii="Arial" w:cs="Arial" w:eastAsia="Arial" w:hAnsi="Arial"/>
          <w:sz w:val="20"/>
          <w:szCs w:val="20"/>
          <w:color w:val="auto"/>
        </w:rPr>
        <w:t>For purposes of this Agreement, “Customers” means those entities and/or individuals who are</w:t>
      </w:r>
      <w:r>
        <w:rPr>
          <w:rFonts w:ascii="Arial" w:cs="Arial" w:eastAsia="Arial" w:hAnsi="Arial"/>
          <w:sz w:val="17"/>
          <w:szCs w:val="17"/>
          <w:color w:val="auto"/>
        </w:rPr>
        <w:t xml:space="preserve"> </w:t>
      </w:r>
      <w:r>
        <w:rPr>
          <w:rFonts w:ascii="Arial" w:cs="Arial" w:eastAsia="Arial" w:hAnsi="Arial"/>
          <w:sz w:val="20"/>
          <w:szCs w:val="20"/>
          <w:color w:val="auto"/>
        </w:rPr>
        <w:t>customers of the Company and/or its affiliates with respect to which, within the two-year period preceding Executive’s Termination Date: (i) Executive had Material Contact on behalf of the Company; (ii) Executive acquired, directly or indirectly, Confidential Information or Trade Secrets as a result of Executive’s employment with the Company; and/or (iii) Executive exercised oversight or responsibility of subordinates who engaged in Material Contact on behalf of the Company</w:t>
      </w:r>
    </w:p>
    <w:p>
      <w:pPr>
        <w:spacing w:after="0" w:line="6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2.8 </w:t>
      </w:r>
      <w:r>
        <w:rPr>
          <w:rFonts w:ascii="Arial" w:cs="Arial" w:eastAsia="Arial" w:hAnsi="Arial"/>
          <w:sz w:val="21"/>
          <w:szCs w:val="21"/>
          <w:u w:val="single" w:color="auto"/>
          <w:color w:val="auto"/>
        </w:rPr>
        <w:t>Disability</w:t>
      </w:r>
      <w:r>
        <w:rPr>
          <w:rFonts w:ascii="Arial" w:cs="Arial" w:eastAsia="Arial" w:hAnsi="Arial"/>
          <w:sz w:val="21"/>
          <w:szCs w:val="21"/>
          <w:color w:val="auto"/>
        </w:rPr>
        <w:t>. For purposes of this Agreement, “Disability” shall have the meaning ascribed to such term in the</w:t>
      </w:r>
      <w:r>
        <w:rPr>
          <w:rFonts w:ascii="Arial" w:cs="Arial" w:eastAsia="Arial" w:hAnsi="Arial"/>
          <w:sz w:val="18"/>
          <w:szCs w:val="18"/>
          <w:color w:val="auto"/>
        </w:rPr>
        <w:t xml:space="preserve"> </w:t>
      </w:r>
      <w:r>
        <w:rPr>
          <w:rFonts w:ascii="Arial" w:cs="Arial" w:eastAsia="Arial" w:hAnsi="Arial"/>
          <w:sz w:val="21"/>
          <w:szCs w:val="21"/>
          <w:color w:val="auto"/>
        </w:rPr>
        <w:t>Company’s long-term disability plan or policy covering the Executive, or in the absence of such plan or policy, a meaning consistent with Code Section 22(e)(3).</w:t>
      </w:r>
    </w:p>
    <w:p>
      <w:pPr>
        <w:spacing w:after="0" w:line="6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color w:val="auto"/>
        </w:rPr>
        <w:t xml:space="preserve">2.9 </w:t>
      </w:r>
      <w:r>
        <w:rPr>
          <w:rFonts w:ascii="Arial" w:cs="Arial" w:eastAsia="Arial" w:hAnsi="Arial"/>
          <w:sz w:val="21"/>
          <w:szCs w:val="21"/>
          <w:u w:val="single" w:color="auto"/>
          <w:color w:val="auto"/>
        </w:rPr>
        <w:t>Good Reason</w:t>
      </w:r>
      <w:r>
        <w:rPr>
          <w:rFonts w:ascii="Arial" w:cs="Arial" w:eastAsia="Arial" w:hAnsi="Arial"/>
          <w:sz w:val="21"/>
          <w:szCs w:val="21"/>
          <w:color w:val="auto"/>
        </w:rPr>
        <w:t>. For purposes of this Agreement, “Good Reason” shall mean the Executive terminated his/her</w:t>
      </w:r>
      <w:r>
        <w:rPr>
          <w:rFonts w:ascii="Arial" w:cs="Arial" w:eastAsia="Arial" w:hAnsi="Arial"/>
          <w:sz w:val="18"/>
          <w:szCs w:val="18"/>
          <w:color w:val="auto"/>
        </w:rPr>
        <w:t xml:space="preserve"> </w:t>
      </w:r>
      <w:r>
        <w:rPr>
          <w:rFonts w:ascii="Arial" w:cs="Arial" w:eastAsia="Arial" w:hAnsi="Arial"/>
          <w:sz w:val="21"/>
          <w:szCs w:val="21"/>
          <w:color w:val="auto"/>
        </w:rPr>
        <w:t>employment with the Company and its subsidiaries because, during the Covered Period, one or more of the following conditions arose and the Executive notified the Company of such condition within ninety (90) days of its occurrence and the Company did not remedy such condition within thirty (30) days:</w:t>
      </w:r>
    </w:p>
    <w:p>
      <w:pPr>
        <w:spacing w:after="0" w:line="65" w:lineRule="exact"/>
        <w:rPr>
          <w:sz w:val="20"/>
          <w:szCs w:val="20"/>
          <w:color w:val="auto"/>
        </w:rPr>
      </w:pPr>
    </w:p>
    <w:p>
      <w:pPr>
        <w:jc w:val="both"/>
        <w:ind w:left="60" w:firstLine="1298"/>
        <w:spacing w:after="0" w:line="227" w:lineRule="auto"/>
        <w:tabs>
          <w:tab w:leader="none" w:pos="2100" w:val="left"/>
        </w:tabs>
        <w:numPr>
          <w:ilvl w:val="0"/>
          <w:numId w:val="33"/>
        </w:numPr>
        <w:rPr>
          <w:rFonts w:ascii="Arial" w:cs="Arial" w:eastAsia="Arial" w:hAnsi="Arial"/>
          <w:sz w:val="18"/>
          <w:szCs w:val="18"/>
          <w:color w:val="auto"/>
        </w:rPr>
      </w:pPr>
      <w:r>
        <w:rPr>
          <w:rFonts w:ascii="Arial" w:cs="Arial" w:eastAsia="Arial" w:hAnsi="Arial"/>
          <w:sz w:val="22"/>
          <w:szCs w:val="22"/>
          <w:color w:val="auto"/>
        </w:rPr>
        <w:t>a material diminution in the Executive’s authority, duties, or responsibilities (including reporting responsibilities) which, in the Executive’s reasonable judgment, represents an adverse change from Executive’s status, title, position or responsibilities as in effect immediately prior thereto;</w:t>
      </w:r>
    </w:p>
    <w:p>
      <w:pPr>
        <w:spacing w:after="0" w:line="65" w:lineRule="exact"/>
        <w:rPr>
          <w:rFonts w:ascii="Arial" w:cs="Arial" w:eastAsia="Arial" w:hAnsi="Arial"/>
          <w:sz w:val="18"/>
          <w:szCs w:val="18"/>
          <w:color w:val="auto"/>
        </w:rPr>
      </w:pPr>
    </w:p>
    <w:p>
      <w:pPr>
        <w:jc w:val="both"/>
        <w:ind w:left="60" w:firstLine="1298"/>
        <w:spacing w:after="0" w:line="238" w:lineRule="auto"/>
        <w:tabs>
          <w:tab w:leader="none" w:pos="2100" w:val="left"/>
        </w:tabs>
        <w:numPr>
          <w:ilvl w:val="0"/>
          <w:numId w:val="33"/>
        </w:numPr>
        <w:rPr>
          <w:rFonts w:ascii="Arial" w:cs="Arial" w:eastAsia="Arial" w:hAnsi="Arial"/>
          <w:sz w:val="17"/>
          <w:szCs w:val="17"/>
          <w:color w:val="auto"/>
        </w:rPr>
      </w:pPr>
      <w:r>
        <w:rPr>
          <w:rFonts w:ascii="Arial" w:cs="Arial" w:eastAsia="Arial" w:hAnsi="Arial"/>
          <w:sz w:val="21"/>
          <w:szCs w:val="21"/>
          <w:color w:val="auto"/>
        </w:rPr>
        <w:t>the Company’s requiring Executive to be based more than 50 miles from the primary workplace where Executive is based immediately prior to the Change in Control, except for reasonably required travel on the Company’s business which is not greater than such travel requirements prior to the Change in Control;</w:t>
      </w:r>
    </w:p>
    <w:p>
      <w:pPr>
        <w:spacing w:after="0" w:line="64" w:lineRule="exact"/>
        <w:rPr>
          <w:rFonts w:ascii="Arial" w:cs="Arial" w:eastAsia="Arial" w:hAnsi="Arial"/>
          <w:sz w:val="17"/>
          <w:szCs w:val="17"/>
          <w:color w:val="auto"/>
        </w:rPr>
      </w:pPr>
    </w:p>
    <w:p>
      <w:pPr>
        <w:ind w:left="60" w:firstLine="1298"/>
        <w:spacing w:after="0" w:line="239" w:lineRule="auto"/>
        <w:tabs>
          <w:tab w:leader="none" w:pos="2090" w:val="left"/>
        </w:tabs>
        <w:numPr>
          <w:ilvl w:val="0"/>
          <w:numId w:val="33"/>
        </w:numPr>
        <w:rPr>
          <w:rFonts w:ascii="Arial" w:cs="Arial" w:eastAsia="Arial" w:hAnsi="Arial"/>
          <w:sz w:val="18"/>
          <w:szCs w:val="18"/>
          <w:color w:val="auto"/>
        </w:rPr>
      </w:pPr>
      <w:r>
        <w:rPr>
          <w:rFonts w:ascii="Arial" w:cs="Arial" w:eastAsia="Arial" w:hAnsi="Arial"/>
          <w:sz w:val="22"/>
          <w:szCs w:val="22"/>
          <w:color w:val="auto"/>
        </w:rPr>
        <w:t>more than a ten percent (10%) reduction, which the parties agree is a material reduction, in Executive’s base salary below the level in effect immediately prior to the Change in Control; or</w:t>
      </w:r>
    </w:p>
    <w:p>
      <w:pPr>
        <w:spacing w:after="0" w:line="63" w:lineRule="exact"/>
        <w:rPr>
          <w:rFonts w:ascii="Arial" w:cs="Arial" w:eastAsia="Arial" w:hAnsi="Arial"/>
          <w:sz w:val="18"/>
          <w:szCs w:val="18"/>
          <w:color w:val="auto"/>
        </w:rPr>
      </w:pPr>
    </w:p>
    <w:p>
      <w:pPr>
        <w:ind w:left="2100" w:hanging="742"/>
        <w:spacing w:after="0"/>
        <w:tabs>
          <w:tab w:leader="none" w:pos="2100" w:val="left"/>
        </w:tabs>
        <w:numPr>
          <w:ilvl w:val="0"/>
          <w:numId w:val="33"/>
        </w:numPr>
        <w:rPr>
          <w:rFonts w:ascii="Arial" w:cs="Arial" w:eastAsia="Arial" w:hAnsi="Arial"/>
          <w:sz w:val="18"/>
          <w:szCs w:val="18"/>
          <w:color w:val="auto"/>
        </w:rPr>
      </w:pPr>
      <w:r>
        <w:rPr>
          <w:rFonts w:ascii="Arial" w:cs="Arial" w:eastAsia="Arial" w:hAnsi="Arial"/>
          <w:sz w:val="22"/>
          <w:szCs w:val="22"/>
          <w:color w:val="auto"/>
        </w:rPr>
        <w:t>any material breach by the Company of any provision of this Agreement.</w:t>
      </w:r>
    </w:p>
    <w:p>
      <w:pPr>
        <w:spacing w:after="0" w:line="21" w:lineRule="exact"/>
        <w:rPr>
          <w:sz w:val="20"/>
          <w:szCs w:val="20"/>
          <w:color w:val="auto"/>
        </w:rPr>
      </w:pPr>
    </w:p>
    <w:p>
      <w:pPr>
        <w:jc w:val="both"/>
        <w:ind w:left="60"/>
        <w:spacing w:after="0" w:line="245" w:lineRule="auto"/>
        <w:rPr>
          <w:sz w:val="20"/>
          <w:szCs w:val="20"/>
          <w:color w:val="auto"/>
        </w:rPr>
      </w:pPr>
      <w:r>
        <w:rPr>
          <w:rFonts w:ascii="Arial" w:cs="Arial" w:eastAsia="Arial" w:hAnsi="Arial"/>
          <w:sz w:val="22"/>
          <w:szCs w:val="22"/>
          <w:color w:val="auto"/>
        </w:rPr>
        <w:t>Any event or condition described in Section 2.9 which occurs during the Covered Period and which the Executive reasonably demonstrates was at the request of a third party who has indicated an intention or taken steps reasonably calculated to effect a Change in Control (a “Third Party”), shall constitute Good Reason</w:t>
      </w:r>
    </w:p>
    <w:p>
      <w:pPr>
        <w:spacing w:after="0" w:line="200" w:lineRule="exact"/>
        <w:rPr>
          <w:sz w:val="20"/>
          <w:szCs w:val="20"/>
          <w:color w:val="auto"/>
        </w:rPr>
      </w:pPr>
    </w:p>
    <w:p>
      <w:pPr>
        <w:spacing w:after="0" w:line="337"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238"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10(iii)A(81)</w:t>
      </w:r>
    </w:p>
    <w:p>
      <w:pPr>
        <w:spacing w:after="0" w:line="200" w:lineRule="exact"/>
        <w:rPr>
          <w:sz w:val="20"/>
          <w:szCs w:val="20"/>
          <w:color w:val="auto"/>
        </w:rPr>
      </w:pPr>
    </w:p>
    <w:p>
      <w:pPr>
        <w:spacing w:after="0" w:line="377" w:lineRule="exact"/>
        <w:rPr>
          <w:sz w:val="20"/>
          <w:szCs w:val="20"/>
          <w:color w:val="auto"/>
        </w:rPr>
      </w:pPr>
    </w:p>
    <w:p>
      <w:pPr>
        <w:jc w:val="both"/>
        <w:ind w:left="60"/>
        <w:spacing w:after="0" w:line="263" w:lineRule="auto"/>
        <w:rPr>
          <w:sz w:val="20"/>
          <w:szCs w:val="20"/>
          <w:color w:val="auto"/>
        </w:rPr>
      </w:pPr>
      <w:r>
        <w:rPr>
          <w:rFonts w:ascii="Arial" w:cs="Arial" w:eastAsia="Arial" w:hAnsi="Arial"/>
          <w:sz w:val="22"/>
          <w:szCs w:val="22"/>
          <w:color w:val="auto"/>
        </w:rPr>
        <w:t>for purposes of this Agreement. The Executive’s right to terminate Executive’s employment pursuant to this Section 2.9 shall not be affected by Executive’s incapacity due to physical or mental illness.</w:t>
      </w:r>
    </w:p>
    <w:p>
      <w:pPr>
        <w:spacing w:after="0" w:line="26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20"/>
          <w:szCs w:val="20"/>
          <w:u w:val="single" w:color="auto"/>
          <w:color w:val="auto"/>
        </w:rPr>
        <w:t>Inventions.</w:t>
      </w:r>
      <w:r>
        <w:rPr>
          <w:rFonts w:ascii="Arial" w:cs="Arial" w:eastAsia="Arial" w:hAnsi="Arial"/>
          <w:sz w:val="17"/>
          <w:szCs w:val="17"/>
          <w:color w:val="auto"/>
        </w:rPr>
        <w:t xml:space="preserve"> </w:t>
      </w:r>
      <w:r>
        <w:rPr>
          <w:rFonts w:ascii="Arial" w:cs="Arial" w:eastAsia="Arial" w:hAnsi="Arial"/>
          <w:sz w:val="20"/>
          <w:szCs w:val="20"/>
          <w:color w:val="auto"/>
        </w:rPr>
        <w:t>For purposes of this Agreement, “Inventions” means contributions, discoveries, improvements and</w:t>
      </w:r>
      <w:r>
        <w:rPr>
          <w:rFonts w:ascii="Arial" w:cs="Arial" w:eastAsia="Arial" w:hAnsi="Arial"/>
          <w:sz w:val="17"/>
          <w:szCs w:val="17"/>
          <w:color w:val="auto"/>
        </w:rPr>
        <w:t xml:space="preserve"> </w:t>
      </w:r>
      <w:r>
        <w:rPr>
          <w:rFonts w:ascii="Arial" w:cs="Arial" w:eastAsia="Arial" w:hAnsi="Arial"/>
          <w:sz w:val="20"/>
          <w:szCs w:val="20"/>
          <w:color w:val="auto"/>
        </w:rPr>
        <w:t>ideas and works of authorship, whether or not patentable or copyrightable, and: (i) which relate directly to the business of the Company, or (ii) which result from any work performed by Executive or by Executive’s fellow employees for the Company, or</w:t>
      </w:r>
    </w:p>
    <w:p>
      <w:pPr>
        <w:spacing w:after="0" w:line="1" w:lineRule="exact"/>
        <w:rPr>
          <w:sz w:val="20"/>
          <w:szCs w:val="20"/>
          <w:color w:val="auto"/>
        </w:rPr>
      </w:pPr>
    </w:p>
    <w:p>
      <w:pPr>
        <w:ind w:firstLine="8"/>
        <w:spacing w:after="0" w:line="224" w:lineRule="auto"/>
        <w:tabs>
          <w:tab w:leader="none" w:pos="382" w:val="left"/>
        </w:tabs>
        <w:numPr>
          <w:ilvl w:val="0"/>
          <w:numId w:val="34"/>
        </w:numPr>
        <w:rPr>
          <w:rFonts w:ascii="Arial" w:cs="Arial" w:eastAsia="Arial" w:hAnsi="Arial"/>
          <w:sz w:val="22"/>
          <w:szCs w:val="22"/>
          <w:color w:val="auto"/>
        </w:rPr>
      </w:pPr>
      <w:r>
        <w:rPr>
          <w:rFonts w:ascii="Arial" w:cs="Arial" w:eastAsia="Arial" w:hAnsi="Arial"/>
          <w:sz w:val="22"/>
          <w:szCs w:val="22"/>
          <w:color w:val="auto"/>
        </w:rPr>
        <w:t>for which equipment, supplies, facilities, Confidential Information or Trade Secrets of the Company or its affiliates are used, or (iv) which is developed on the Company’s time.</w:t>
      </w:r>
    </w:p>
    <w:p>
      <w:pPr>
        <w:spacing w:after="0" w:line="63"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21"/>
          <w:szCs w:val="21"/>
          <w:u w:val="single" w:color="auto"/>
          <w:color w:val="auto"/>
        </w:rPr>
        <w:t>Material Contact.</w:t>
      </w:r>
      <w:r>
        <w:rPr>
          <w:rFonts w:ascii="Arial" w:cs="Arial" w:eastAsia="Arial" w:hAnsi="Arial"/>
          <w:sz w:val="18"/>
          <w:szCs w:val="18"/>
          <w:color w:val="auto"/>
        </w:rPr>
        <w:t xml:space="preserve"> </w:t>
      </w:r>
      <w:r>
        <w:rPr>
          <w:rFonts w:ascii="Arial" w:cs="Arial" w:eastAsia="Arial" w:hAnsi="Arial"/>
          <w:sz w:val="21"/>
          <w:szCs w:val="21"/>
          <w:color w:val="auto"/>
        </w:rPr>
        <w:t>For purposes of this Agreement, “Material Contact” shall have the meaning set forth in</w:t>
      </w:r>
      <w:r>
        <w:rPr>
          <w:rFonts w:ascii="Arial" w:cs="Arial" w:eastAsia="Arial" w:hAnsi="Arial"/>
          <w:sz w:val="18"/>
          <w:szCs w:val="18"/>
          <w:color w:val="auto"/>
        </w:rPr>
        <w:t xml:space="preserve"> </w:t>
      </w:r>
      <w:r>
        <w:rPr>
          <w:rFonts w:ascii="Arial" w:cs="Arial" w:eastAsia="Arial" w:hAnsi="Arial"/>
          <w:sz w:val="21"/>
          <w:szCs w:val="21"/>
          <w:color w:val="auto"/>
        </w:rPr>
        <w:t>O.C.G.A. § 13-8-51(10), which includes contact between an employee and each customer or potential customer: with whom or which the Executive dealt on behalf of the Company; whose dealings with the Company were coordinated or supervised by the Executive; about whom the Executive obtained Confidential Information in the ordinary course of business as a result of Executive’s association with the Company; or who receives products or services authorized by the Company, the sale or provision of which results of resulted in compensation, commissions, or earnings for the Executive within two years prior to the Executive’s Termination Date.</w:t>
      </w:r>
    </w:p>
    <w:p>
      <w:pPr>
        <w:spacing w:after="0" w:line="6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21"/>
          <w:szCs w:val="21"/>
          <w:u w:val="single" w:color="auto"/>
          <w:color w:val="auto"/>
        </w:rPr>
        <w:t>Sales Agent.</w:t>
      </w:r>
      <w:r>
        <w:rPr>
          <w:rFonts w:ascii="Arial" w:cs="Arial" w:eastAsia="Arial" w:hAnsi="Arial"/>
          <w:sz w:val="18"/>
          <w:szCs w:val="18"/>
          <w:color w:val="auto"/>
        </w:rPr>
        <w:t xml:space="preserve"> </w:t>
      </w:r>
      <w:r>
        <w:rPr>
          <w:rFonts w:ascii="Arial" w:cs="Arial" w:eastAsia="Arial" w:hAnsi="Arial"/>
          <w:sz w:val="21"/>
          <w:szCs w:val="21"/>
          <w:color w:val="auto"/>
        </w:rPr>
        <w:t>For purposes of this Agreement, “Sales Agent” is any third-party agency, and/or its</w:t>
      </w:r>
      <w:r>
        <w:rPr>
          <w:rFonts w:ascii="Arial" w:cs="Arial" w:eastAsia="Arial" w:hAnsi="Arial"/>
          <w:sz w:val="18"/>
          <w:szCs w:val="18"/>
          <w:color w:val="auto"/>
        </w:rPr>
        <w:t xml:space="preserve"> </w:t>
      </w:r>
      <w:r>
        <w:rPr>
          <w:rFonts w:ascii="Arial" w:cs="Arial" w:eastAsia="Arial" w:hAnsi="Arial"/>
          <w:sz w:val="21"/>
          <w:szCs w:val="21"/>
          <w:color w:val="auto"/>
        </w:rPr>
        <w:t>representatives, with which or whom the Company has contracted for the purpose of facilitating the sale of the Company’s products.</w:t>
      </w:r>
    </w:p>
    <w:p>
      <w:pPr>
        <w:spacing w:after="0" w:line="6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21"/>
          <w:szCs w:val="21"/>
          <w:u w:val="single" w:color="auto"/>
          <w:color w:val="auto"/>
        </w:rPr>
        <w:t>Termination Date.</w:t>
      </w:r>
      <w:r>
        <w:rPr>
          <w:rFonts w:ascii="Arial" w:cs="Arial" w:eastAsia="Arial" w:hAnsi="Arial"/>
          <w:sz w:val="18"/>
          <w:szCs w:val="18"/>
          <w:color w:val="auto"/>
        </w:rPr>
        <w:t xml:space="preserve"> </w:t>
      </w:r>
      <w:r>
        <w:rPr>
          <w:rFonts w:ascii="Arial" w:cs="Arial" w:eastAsia="Arial" w:hAnsi="Arial"/>
          <w:sz w:val="21"/>
          <w:szCs w:val="21"/>
          <w:color w:val="auto"/>
        </w:rPr>
        <w:t>For purposes of this Agreement, “Termination Date” shall mean the date the Executive</w:t>
      </w:r>
      <w:r>
        <w:rPr>
          <w:rFonts w:ascii="Arial" w:cs="Arial" w:eastAsia="Arial" w:hAnsi="Arial"/>
          <w:sz w:val="18"/>
          <w:szCs w:val="18"/>
          <w:color w:val="auto"/>
        </w:rPr>
        <w:t xml:space="preserve"> </w:t>
      </w:r>
      <w:r>
        <w:rPr>
          <w:rFonts w:ascii="Arial" w:cs="Arial" w:eastAsia="Arial" w:hAnsi="Arial"/>
          <w:sz w:val="21"/>
          <w:szCs w:val="21"/>
          <w:color w:val="auto"/>
        </w:rPr>
        <w:t>ceases employment with the Company and its subsidiaries and has incurred a “Separation from Service” as such is defined under Treas. Reg. § 1.409A-1(h) which means the termination of the Executive's employment with the Company for reasons other than death or Disability. Whether a Separation from Service takes place is determined based on the facts and circumstances surrounding the termination of the Executive's employment and whether the Company and the Executive intended for the Executive to provide significant services for the Company following such termination. A change in the Executive's employment status will not be considered a Separation from Service if:</w:t>
      </w:r>
    </w:p>
    <w:p>
      <w:pPr>
        <w:spacing w:after="0" w:line="69" w:lineRule="exact"/>
        <w:rPr>
          <w:sz w:val="20"/>
          <w:szCs w:val="20"/>
          <w:color w:val="auto"/>
        </w:rPr>
      </w:pPr>
    </w:p>
    <w:p>
      <w:pPr>
        <w:jc w:val="both"/>
        <w:ind w:firstLine="1304"/>
        <w:spacing w:after="0" w:line="218" w:lineRule="auto"/>
        <w:tabs>
          <w:tab w:leader="none" w:pos="2094" w:val="left"/>
        </w:tabs>
        <w:numPr>
          <w:ilvl w:val="0"/>
          <w:numId w:val="35"/>
        </w:numPr>
        <w:rPr>
          <w:rFonts w:ascii="Arial" w:cs="Arial" w:eastAsia="Arial" w:hAnsi="Arial"/>
          <w:sz w:val="18"/>
          <w:szCs w:val="18"/>
          <w:color w:val="auto"/>
        </w:rPr>
      </w:pPr>
      <w:r>
        <w:rPr>
          <w:rFonts w:ascii="Arial" w:cs="Arial" w:eastAsia="Arial" w:hAnsi="Arial"/>
          <w:sz w:val="22"/>
          <w:szCs w:val="22"/>
          <w:color w:val="auto"/>
        </w:rPr>
        <w:t>the Executive continues to provide services as an employee of the Company at an annual rate that is twenty percent (20%) or more of the services rendered, on average, during the immediately preceding three full calendar years of employment (or, if employed less than three years, such lesser period) and the annual remuneration for such services is twenty percent (20%) or more of the average annual remuneration earned during the final three full calendar years of employment (or, if less, such lesser period), or</w:t>
      </w:r>
    </w:p>
    <w:p>
      <w:pPr>
        <w:spacing w:after="0" w:line="66" w:lineRule="exact"/>
        <w:rPr>
          <w:rFonts w:ascii="Arial" w:cs="Arial" w:eastAsia="Arial" w:hAnsi="Arial"/>
          <w:sz w:val="18"/>
          <w:szCs w:val="18"/>
          <w:color w:val="auto"/>
        </w:rPr>
      </w:pPr>
    </w:p>
    <w:p>
      <w:pPr>
        <w:jc w:val="both"/>
        <w:ind w:firstLine="1304"/>
        <w:spacing w:after="0" w:line="226" w:lineRule="auto"/>
        <w:tabs>
          <w:tab w:leader="none" w:pos="2094" w:val="left"/>
        </w:tabs>
        <w:numPr>
          <w:ilvl w:val="0"/>
          <w:numId w:val="35"/>
        </w:numPr>
        <w:rPr>
          <w:rFonts w:ascii="Arial" w:cs="Arial" w:eastAsia="Arial" w:hAnsi="Arial"/>
          <w:sz w:val="17"/>
          <w:szCs w:val="17"/>
          <w:color w:val="auto"/>
        </w:rPr>
      </w:pPr>
      <w:r>
        <w:rPr>
          <w:rFonts w:ascii="Arial" w:cs="Arial" w:eastAsia="Arial" w:hAnsi="Arial"/>
          <w:sz w:val="21"/>
          <w:szCs w:val="21"/>
          <w:color w:val="auto"/>
        </w:rPr>
        <w:t>the Executive continues to provide services to the Company in a capacity other than as an employee of the Company at an annual rate that is fifty percent (50%) or more of the services rendered, on average, during the immediately preceding three full calendar years of employment (or if employed less than three years, such lesser period) and the annual remuneration for such services is fifty percent (50%) or more of the average annual remuneration earned during the final three full calendar years of employment (or if less, such lesser period).</w:t>
      </w:r>
    </w:p>
    <w:p>
      <w:pPr>
        <w:spacing w:after="0" w:line="1" w:lineRule="exact"/>
        <w:rPr>
          <w:rFonts w:ascii="Arial" w:cs="Arial" w:eastAsia="Arial" w:hAnsi="Arial"/>
          <w:sz w:val="17"/>
          <w:szCs w:val="17"/>
          <w:color w:val="auto"/>
        </w:rPr>
      </w:pPr>
    </w:p>
    <w:p>
      <w:pPr>
        <w:spacing w:after="0" w:line="246" w:lineRule="auto"/>
        <w:rPr>
          <w:rFonts w:ascii="Arial" w:cs="Arial" w:eastAsia="Arial" w:hAnsi="Arial"/>
          <w:sz w:val="17"/>
          <w:szCs w:val="17"/>
          <w:color w:val="auto"/>
        </w:rPr>
      </w:pPr>
      <w:r>
        <w:rPr>
          <w:rFonts w:ascii="Arial" w:cs="Arial" w:eastAsia="Arial" w:hAnsi="Arial"/>
          <w:sz w:val="22"/>
          <w:szCs w:val="22"/>
          <w:color w:val="auto"/>
        </w:rPr>
        <w:t>For purposes of determining whether a termination of employment has occurred, a reference to the Company shall also be deemed a reference to any affiliate thereof within the contemplation of Code Sections 414(b) and 414(c).</w:t>
      </w:r>
    </w:p>
    <w:p>
      <w:pPr>
        <w:spacing w:after="0" w:line="28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21"/>
          <w:szCs w:val="21"/>
          <w:u w:val="single" w:color="auto"/>
          <w:color w:val="auto"/>
        </w:rPr>
        <w:t>Territory.</w:t>
      </w:r>
      <w:r>
        <w:rPr>
          <w:rFonts w:ascii="Arial" w:cs="Arial" w:eastAsia="Arial" w:hAnsi="Arial"/>
          <w:sz w:val="18"/>
          <w:szCs w:val="18"/>
          <w:color w:val="auto"/>
        </w:rPr>
        <w:t xml:space="preserve"> </w:t>
      </w:r>
      <w:r>
        <w:rPr>
          <w:rFonts w:ascii="Arial" w:cs="Arial" w:eastAsia="Arial" w:hAnsi="Arial"/>
          <w:sz w:val="21"/>
          <w:szCs w:val="21"/>
          <w:color w:val="auto"/>
        </w:rPr>
        <w:t>For purposes of this Agreement, “Territory” means the United States. Executive acknowledges that</w:t>
      </w:r>
      <w:r>
        <w:rPr>
          <w:rFonts w:ascii="Arial" w:cs="Arial" w:eastAsia="Arial" w:hAnsi="Arial"/>
          <w:sz w:val="18"/>
          <w:szCs w:val="18"/>
          <w:color w:val="auto"/>
        </w:rPr>
        <w:t xml:space="preserve"> </w:t>
      </w:r>
      <w:r>
        <w:rPr>
          <w:rFonts w:ascii="Arial" w:cs="Arial" w:eastAsia="Arial" w:hAnsi="Arial"/>
          <w:sz w:val="21"/>
          <w:szCs w:val="21"/>
          <w:color w:val="auto"/>
        </w:rPr>
        <w:t>the Company is licensed to do business and in fact does business in all fifty states in the United States. Executive further acknowledges that the services he has performed and may continue to</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38" w:right="339" w:bottom="1440" w:gutter="0" w:footer="0" w:header="0"/>
        </w:sectPr>
      </w:pPr>
    </w:p>
    <w:bookmarkStart w:id="104" w:name="page105"/>
    <w:bookmarkEnd w:id="104"/>
    <w:p>
      <w:pPr>
        <w:ind w:left="9680"/>
        <w:spacing w:after="0"/>
        <w:rPr>
          <w:sz w:val="20"/>
          <w:szCs w:val="20"/>
          <w:color w:val="auto"/>
        </w:rPr>
      </w:pPr>
      <w:r>
        <w:rPr>
          <w:rFonts w:ascii="Arial" w:cs="Arial" w:eastAsia="Arial" w:hAnsi="Arial"/>
          <w:sz w:val="17"/>
          <w:szCs w:val="17"/>
          <w:b w:val="1"/>
          <w:bCs w:val="1"/>
          <w:color w:val="auto"/>
        </w:rPr>
        <w:t>Exhibit 10(iii)A(81)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perform on behalf of the Company or its affiliates, including Executive Services, are at a senior managerial level and are not limited in their territorial scope to any particular city, state, or region, but instead affect the Company's activity within the entire United States. Specifically, Executive provides Executive Services on the Company's behalf, travels throughout the United States to attend Company meetings, visit Company factories and distribution centers, meet with Company agents and distributors, and attend trade shows. Accordingly, Executive agrees that these restrictions are reasonable and necessary to protect the Confidential Information, trade secrets, business relationships, and goodwill of the Company.</w:t>
      </w:r>
    </w:p>
    <w:p>
      <w:pPr>
        <w:spacing w:after="0" w:line="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21"/>
          <w:szCs w:val="21"/>
          <w:u w:val="single" w:color="auto"/>
          <w:color w:val="auto"/>
        </w:rPr>
        <w:t>Trade Secrets.</w:t>
      </w:r>
      <w:r>
        <w:rPr>
          <w:rFonts w:ascii="Arial" w:cs="Arial" w:eastAsia="Arial" w:hAnsi="Arial"/>
          <w:sz w:val="18"/>
          <w:szCs w:val="18"/>
          <w:color w:val="auto"/>
        </w:rPr>
        <w:t xml:space="preserve"> </w:t>
      </w:r>
      <w:r>
        <w:rPr>
          <w:rFonts w:ascii="Arial" w:cs="Arial" w:eastAsia="Arial" w:hAnsi="Arial"/>
          <w:sz w:val="21"/>
          <w:szCs w:val="21"/>
          <w:color w:val="auto"/>
        </w:rPr>
        <w:t>For purposes of this Agreement, “</w:t>
      </w:r>
      <w:r>
        <w:rPr>
          <w:rFonts w:ascii="Arial" w:cs="Arial" w:eastAsia="Arial" w:hAnsi="Arial"/>
          <w:sz w:val="21"/>
          <w:szCs w:val="21"/>
          <w:u w:val="single" w:color="auto"/>
          <w:color w:val="auto"/>
        </w:rPr>
        <w:t>Trade Secrets</w:t>
      </w:r>
      <w:r>
        <w:rPr>
          <w:rFonts w:ascii="Arial" w:cs="Arial" w:eastAsia="Arial" w:hAnsi="Arial"/>
          <w:sz w:val="21"/>
          <w:szCs w:val="21"/>
          <w:color w:val="auto"/>
        </w:rPr>
        <w:t>” means Confidential Information constituting a</w:t>
      </w:r>
      <w:r>
        <w:rPr>
          <w:rFonts w:ascii="Arial" w:cs="Arial" w:eastAsia="Arial" w:hAnsi="Arial"/>
          <w:sz w:val="18"/>
          <w:szCs w:val="18"/>
          <w:color w:val="auto"/>
        </w:rPr>
        <w:t xml:space="preserve"> </w:t>
      </w:r>
      <w:r>
        <w:rPr>
          <w:rFonts w:ascii="Arial" w:cs="Arial" w:eastAsia="Arial" w:hAnsi="Arial"/>
          <w:sz w:val="21"/>
          <w:szCs w:val="21"/>
          <w:color w:val="auto"/>
        </w:rPr>
        <w:t xml:space="preserve">trade secret under Georgia Law, O.C.G.A. §§ 10-1-760, </w:t>
      </w:r>
      <w:r>
        <w:rPr>
          <w:rFonts w:ascii="Arial" w:cs="Arial" w:eastAsia="Arial" w:hAnsi="Arial"/>
          <w:sz w:val="21"/>
          <w:szCs w:val="21"/>
          <w:i w:val="1"/>
          <w:iCs w:val="1"/>
          <w:color w:val="auto"/>
        </w:rPr>
        <w:t>et seq</w:t>
      </w:r>
      <w:r>
        <w:rPr>
          <w:rFonts w:ascii="Arial" w:cs="Arial" w:eastAsia="Arial" w:hAnsi="Arial"/>
          <w:sz w:val="21"/>
          <w:szCs w:val="21"/>
          <w:color w:val="auto"/>
        </w:rPr>
        <w:t>.</w:t>
      </w:r>
    </w:p>
    <w:p>
      <w:pPr>
        <w:spacing w:after="0" w:line="4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21"/>
          <w:szCs w:val="21"/>
          <w:u w:val="single" w:color="auto"/>
          <w:color w:val="auto"/>
        </w:rPr>
        <w:t>1934 Act</w:t>
      </w:r>
      <w:r>
        <w:rPr>
          <w:rFonts w:ascii="Arial" w:cs="Arial" w:eastAsia="Arial" w:hAnsi="Arial"/>
          <w:sz w:val="21"/>
          <w:szCs w:val="21"/>
          <w:color w:val="auto"/>
        </w:rPr>
        <w:t>. For purposes of this Agreement, “1934 Act” means the Securities Exchange Act of 1934, as</w:t>
      </w:r>
      <w:r>
        <w:rPr>
          <w:rFonts w:ascii="Arial" w:cs="Arial" w:eastAsia="Arial" w:hAnsi="Arial"/>
          <w:sz w:val="18"/>
          <w:szCs w:val="18"/>
          <w:color w:val="auto"/>
        </w:rPr>
        <w:t xml:space="preserve"> </w:t>
      </w:r>
      <w:r>
        <w:rPr>
          <w:rFonts w:ascii="Arial" w:cs="Arial" w:eastAsia="Arial" w:hAnsi="Arial"/>
          <w:sz w:val="21"/>
          <w:szCs w:val="21"/>
          <w:color w:val="auto"/>
        </w:rPr>
        <w:t>amended.</w:t>
      </w:r>
    </w:p>
    <w:p>
      <w:pPr>
        <w:spacing w:after="0" w:line="44" w:lineRule="exact"/>
        <w:rPr>
          <w:sz w:val="20"/>
          <w:szCs w:val="20"/>
          <w:color w:val="auto"/>
        </w:rPr>
      </w:pPr>
    </w:p>
    <w:p>
      <w:pPr>
        <w:ind w:left="800" w:hanging="792"/>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9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color w:val="auto"/>
        </w:rPr>
        <w:t xml:space="preserve">3.1 </w:t>
      </w:r>
      <w:r>
        <w:rPr>
          <w:rFonts w:ascii="Arial" w:cs="Arial" w:eastAsia="Arial" w:hAnsi="Arial"/>
          <w:sz w:val="21"/>
          <w:szCs w:val="21"/>
          <w:color w:val="auto"/>
        </w:rPr>
        <w:t>If, during the term of this Agreement, the Executive’s employment with the Company shall be terminated</w:t>
      </w:r>
      <w:r>
        <w:rPr>
          <w:rFonts w:ascii="Arial" w:cs="Arial" w:eastAsia="Arial" w:hAnsi="Arial"/>
          <w:sz w:val="18"/>
          <w:szCs w:val="18"/>
          <w:color w:val="auto"/>
        </w:rPr>
        <w:t xml:space="preserve"> </w:t>
      </w:r>
      <w:r>
        <w:rPr>
          <w:rFonts w:ascii="Arial" w:cs="Arial" w:eastAsia="Arial" w:hAnsi="Arial"/>
          <w:sz w:val="21"/>
          <w:szCs w:val="21"/>
          <w:color w:val="auto"/>
        </w:rPr>
        <w:t>during the Covered Period, the Executive shall be entitled to the following compensation and benefits depending upon the circumstances of such termination (in addition to any compensation and benefits provided for under any of the Company’s employee benefit plans, policies and practices):</w:t>
      </w:r>
    </w:p>
    <w:p>
      <w:pPr>
        <w:spacing w:after="0" w:line="65" w:lineRule="exact"/>
        <w:rPr>
          <w:sz w:val="20"/>
          <w:szCs w:val="20"/>
          <w:color w:val="auto"/>
        </w:rPr>
      </w:pPr>
    </w:p>
    <w:p>
      <w:pPr>
        <w:jc w:val="both"/>
        <w:ind w:left="60" w:firstLine="1298"/>
        <w:spacing w:after="0" w:line="244" w:lineRule="auto"/>
        <w:tabs>
          <w:tab w:leader="none" w:pos="2100" w:val="left"/>
        </w:tabs>
        <w:numPr>
          <w:ilvl w:val="1"/>
          <w:numId w:val="37"/>
        </w:numPr>
        <w:rPr>
          <w:rFonts w:ascii="Arial" w:cs="Arial" w:eastAsia="Arial" w:hAnsi="Arial"/>
          <w:sz w:val="16"/>
          <w:szCs w:val="16"/>
          <w:color w:val="auto"/>
        </w:rPr>
      </w:pPr>
      <w:r>
        <w:rPr>
          <w:rFonts w:ascii="Arial" w:cs="Arial" w:eastAsia="Arial" w:hAnsi="Arial"/>
          <w:sz w:val="19"/>
          <w:szCs w:val="19"/>
          <w:color w:val="auto"/>
        </w:rPr>
        <w:t>If the Executive’s employment is terminated (1) by the Company for Cause, (2) due to Disability, (3) by reason of the Executive’s death, or (4) by the Executive other than for Good Reason, then the Company shall pay the Executive or his/her estate, as applicable, on the next regular payroll cycle following the Termination Date, all amounts earned or accrued through the Termination Date but not paid as of the Termination Date, including (i) base salary, (ii) reimbursement for reasonable and necessary expenses incurred by the Executive on behalf of the Company during the period ending on the Termination Date,</w:t>
      </w:r>
    </w:p>
    <w:p>
      <w:pPr>
        <w:jc w:val="both"/>
        <w:ind w:left="60" w:firstLine="2"/>
        <w:spacing w:after="0"/>
        <w:tabs>
          <w:tab w:leader="none" w:pos="461" w:val="left"/>
        </w:tabs>
        <w:numPr>
          <w:ilvl w:val="0"/>
          <w:numId w:val="38"/>
        </w:numPr>
        <w:rPr>
          <w:rFonts w:ascii="Arial" w:cs="Arial" w:eastAsia="Arial" w:hAnsi="Arial"/>
          <w:sz w:val="19"/>
          <w:szCs w:val="19"/>
          <w:color w:val="auto"/>
        </w:rPr>
      </w:pPr>
      <w:r>
        <w:rPr>
          <w:rFonts w:ascii="Arial" w:cs="Arial" w:eastAsia="Arial" w:hAnsi="Arial"/>
          <w:sz w:val="19"/>
          <w:szCs w:val="19"/>
          <w:color w:val="auto"/>
        </w:rPr>
        <w:t>vacation pay, and (iv) sick leave (collectively, “Accrued Compensation”). In addition to the foregoing, if the Executive’s employment is terminated by the Company for Disability or by reason of the Executive’s death, the Company shall pay to the Executive or his/her beneficiaries an amount equal to the “Pro Rata Bonus” (as hereinafter defined). The “Pro Rata Bonus” is an amount equal to the Bonus Amount (as hereinafter defined) multiplied by a fraction the numerator of which is the number of days in such fiscal year through the Termination Date and the denominator of which is 365. The term “Bonus Amount” shall mean the greater of (x) the most recent annual bonus paid or payable to the Executive, or, (y) the annual bonus payable at the 100% target level of performance for the fiscal year during which the Termination Date occurs, or, if greater, for the fiscal year during which a Change in Control occurred or (z) the average of the annual bonuses paid or payable during the three full fiscal years ended prior to the Termination Date or, if greater, the three full fiscal years ended prior to the Change in Control (or, in each case, such lesser period for which annual bonuses were paid or payable to the Executive). Executive’s entitlement to any other compensation or benefits shall be determined in accordance with the Company’s employee benefit plans and other applicable programs and practices then in effect. In the event Executive becomes entitled to the Pro Rata Bonus under this Section 3.1 and also to a bonus under the Company’s incentive plan in connection with a Change in Control, Executive shall be entitled to receive whichever bonus amount is greater and Executive shall not receive a duplicate bonus pursuant to such Sections.</w:t>
      </w:r>
    </w:p>
    <w:p>
      <w:pPr>
        <w:spacing w:after="0" w:line="284" w:lineRule="exact"/>
        <w:rPr>
          <w:rFonts w:ascii="Arial" w:cs="Arial" w:eastAsia="Arial" w:hAnsi="Arial"/>
          <w:sz w:val="19"/>
          <w:szCs w:val="19"/>
          <w:color w:val="auto"/>
        </w:rPr>
      </w:pPr>
    </w:p>
    <w:p>
      <w:pPr>
        <w:ind w:left="60" w:firstLine="1298"/>
        <w:spacing w:after="0" w:line="269" w:lineRule="auto"/>
        <w:tabs>
          <w:tab w:leader="none" w:pos="2100" w:val="left"/>
        </w:tabs>
        <w:numPr>
          <w:ilvl w:val="1"/>
          <w:numId w:val="38"/>
        </w:numPr>
        <w:rPr>
          <w:rFonts w:ascii="Arial" w:cs="Arial" w:eastAsia="Arial" w:hAnsi="Arial"/>
          <w:sz w:val="16"/>
          <w:szCs w:val="16"/>
          <w:color w:val="auto"/>
        </w:rPr>
      </w:pPr>
      <w:r>
        <w:rPr>
          <w:rFonts w:ascii="Arial" w:cs="Arial" w:eastAsia="Arial" w:hAnsi="Arial"/>
          <w:sz w:val="19"/>
          <w:szCs w:val="19"/>
          <w:color w:val="auto"/>
        </w:rPr>
        <w:t>If during the Covered Period, the Executive’s employment with the Company is terminated (1) by the Company other than for Cause, or (2) by the Executive for Good Reason, the Executive shall be entitled to the following:</w:t>
      </w:r>
    </w:p>
    <w:p>
      <w:pPr>
        <w:ind w:left="2400" w:hanging="448"/>
        <w:spacing w:after="0"/>
        <w:tabs>
          <w:tab w:leader="none" w:pos="2400" w:val="left"/>
        </w:tabs>
        <w:numPr>
          <w:ilvl w:val="2"/>
          <w:numId w:val="38"/>
        </w:numPr>
        <w:rPr>
          <w:rFonts w:ascii="Arial" w:cs="Arial" w:eastAsia="Arial" w:hAnsi="Arial"/>
          <w:sz w:val="21"/>
          <w:szCs w:val="21"/>
          <w:color w:val="auto"/>
        </w:rPr>
      </w:pPr>
      <w:r>
        <w:rPr>
          <w:rFonts w:ascii="Arial" w:cs="Arial" w:eastAsia="Arial" w:hAnsi="Arial"/>
          <w:sz w:val="21"/>
          <w:szCs w:val="21"/>
          <w:color w:val="auto"/>
        </w:rPr>
        <w:t>the Company shall pay the Executive all Accrued Compensation as set forth in Section 3.1(a);</w:t>
      </w:r>
    </w:p>
    <w:p>
      <w:pPr>
        <w:spacing w:after="0" w:line="200" w:lineRule="exact"/>
        <w:rPr>
          <w:sz w:val="20"/>
          <w:szCs w:val="20"/>
          <w:color w:val="auto"/>
        </w:rPr>
      </w:pPr>
    </w:p>
    <w:p>
      <w:pPr>
        <w:spacing w:after="0" w:line="371"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238"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10(iii)A(81)</w:t>
      </w:r>
    </w:p>
    <w:p>
      <w:pPr>
        <w:spacing w:after="0" w:line="200" w:lineRule="exact"/>
        <w:rPr>
          <w:sz w:val="20"/>
          <w:szCs w:val="20"/>
          <w:color w:val="auto"/>
        </w:rPr>
      </w:pPr>
    </w:p>
    <w:p>
      <w:pPr>
        <w:spacing w:after="0" w:line="377" w:lineRule="exact"/>
        <w:rPr>
          <w:sz w:val="20"/>
          <w:szCs w:val="20"/>
          <w:color w:val="auto"/>
        </w:rPr>
      </w:pPr>
    </w:p>
    <w:p>
      <w:pPr>
        <w:jc w:val="both"/>
        <w:ind w:firstLine="1952"/>
        <w:spacing w:after="0" w:line="307" w:lineRule="auto"/>
        <w:tabs>
          <w:tab w:leader="none" w:pos="2463"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Company shall pay the Executive as severance pay and in lieu of any further compensation for periods subsequent to the Termination Date, a single payment in an amount (the “Severance Amount”) in cash equal to one and one-half (1.5) times the sum of (A) the greater of the Executive’s base salary in effect on the Termination Date or at any time during the 90-day period prior to the Change in Control (“Base Salary”) and (B) the Bonus Amount;</w:t>
      </w:r>
    </w:p>
    <w:p>
      <w:pPr>
        <w:spacing w:after="0" w:line="137" w:lineRule="exact"/>
        <w:rPr>
          <w:rFonts w:ascii="Arial" w:cs="Arial" w:eastAsia="Arial" w:hAnsi="Arial"/>
          <w:sz w:val="19"/>
          <w:szCs w:val="19"/>
          <w:color w:val="auto"/>
        </w:rPr>
      </w:pPr>
    </w:p>
    <w:p>
      <w:pPr>
        <w:jc w:val="both"/>
        <w:ind w:firstLine="1952"/>
        <w:spacing w:after="0" w:line="297" w:lineRule="auto"/>
        <w:tabs>
          <w:tab w:leader="none" w:pos="2598" w:val="left"/>
        </w:tabs>
        <w:numPr>
          <w:ilvl w:val="1"/>
          <w:numId w:val="39"/>
        </w:numPr>
        <w:rPr>
          <w:rFonts w:ascii="Arial" w:cs="Arial" w:eastAsia="Arial" w:hAnsi="Arial"/>
          <w:sz w:val="19"/>
          <w:szCs w:val="19"/>
          <w:color w:val="auto"/>
        </w:rPr>
      </w:pPr>
      <w:r>
        <w:rPr>
          <w:rFonts w:ascii="Arial" w:cs="Arial" w:eastAsia="Arial" w:hAnsi="Arial"/>
          <w:sz w:val="19"/>
          <w:szCs w:val="19"/>
          <w:color w:val="auto"/>
        </w:rPr>
        <w:t>If Executive elects continuation coverage under the Company's group medical plan following termination of his/her employment, the Company will pay Executive an amount equal to the Company's subsidy toward the cost of medical coverage for similarly-situated active employees enrolled in the same coverage in which the Executive was enrolled at the time of the Termination Date (the "COBRA Subsidy"), as reduced by any applicable withholding. The Company shall pay the COBRA Subsidy until the earliest of (a) the date Executive qualifies under another employer-sponsored medical plan, (b) the Executive's 65th birthday, or (c) the expiration of COBRA continuation coverage.</w:t>
      </w:r>
    </w:p>
    <w:p>
      <w:pPr>
        <w:spacing w:after="0" w:line="146" w:lineRule="exact"/>
        <w:rPr>
          <w:rFonts w:ascii="Arial" w:cs="Arial" w:eastAsia="Arial" w:hAnsi="Arial"/>
          <w:sz w:val="19"/>
          <w:szCs w:val="19"/>
          <w:color w:val="auto"/>
        </w:rPr>
      </w:pPr>
    </w:p>
    <w:p>
      <w:pPr>
        <w:jc w:val="both"/>
        <w:ind w:firstLine="1952"/>
        <w:spacing w:after="0" w:line="252" w:lineRule="auto"/>
        <w:tabs>
          <w:tab w:leader="none" w:pos="2409" w:val="left"/>
        </w:tabs>
        <w:numPr>
          <w:ilvl w:val="1"/>
          <w:numId w:val="39"/>
        </w:numPr>
        <w:rPr>
          <w:rFonts w:ascii="Arial" w:cs="Arial" w:eastAsia="Arial" w:hAnsi="Arial"/>
          <w:sz w:val="21"/>
          <w:szCs w:val="21"/>
          <w:color w:val="auto"/>
        </w:rPr>
      </w:pPr>
      <w:r>
        <w:rPr>
          <w:rFonts w:ascii="Arial" w:cs="Arial" w:eastAsia="Arial" w:hAnsi="Arial"/>
          <w:sz w:val="21"/>
          <w:szCs w:val="21"/>
          <w:color w:val="auto"/>
        </w:rPr>
        <w:t>the Company shall pay in a single payment an amount in cash as if he had remained employed for an additional one and one-half (1.5) years (or until Executive’s 65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birthday, if earlier), which amount shall be equal to 1.5 times (A) the Executive's Base Salary; (B) the Executive's most recent Bonus Amount; and (C) the maximum amount of employee the Company contributions that could have been made on Executive’s behalf to the Acuity Brands, Inc. 401(k) Plan (assuming Executive participated in such plan at the maximum permissible contribution level) and the Acuity Brands, Inc. 2005 Supplemental Deferred Savings Plan (“SDSP”). For purposes of the SDSP, the Executive shall be credited with a contribution to the Supplemental Subaccount (but not the Matching Subaccount) and to the Make-Up Contribution Credit for such one and one-half (1.5) year period (to the extent Executive is eligible under the SDSP for each such contribution), provided that the requirements of the SDSP that the Executive have a Year of Service for each year and be employed on the last day of the year shall not apply to the eligibility to receive such contributions; and</w:t>
      </w:r>
    </w:p>
    <w:p>
      <w:pPr>
        <w:spacing w:after="0" w:line="186" w:lineRule="exact"/>
        <w:rPr>
          <w:rFonts w:ascii="Arial" w:cs="Arial" w:eastAsia="Arial" w:hAnsi="Arial"/>
          <w:sz w:val="21"/>
          <w:szCs w:val="21"/>
          <w:color w:val="auto"/>
        </w:rPr>
      </w:pPr>
    </w:p>
    <w:p>
      <w:pPr>
        <w:jc w:val="both"/>
        <w:ind w:firstLine="1952"/>
        <w:spacing w:after="0" w:line="300" w:lineRule="auto"/>
        <w:tabs>
          <w:tab w:leader="none" w:pos="2423"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restrictions on any outstanding incentive awards (including restricted stock, restricted stock units and granted Performance Shares) granted to the Executive under the Company’s 2012 Omnibus Equity Incentive Plan or under any other long-term incentive plans or arrangements shall lapse and such incentive awards shall become one hundred percent (100%) vested, all stock options and stock appreciation rights granted to the Executive shall become immediately exercisable and shall become 100% vested, and Performance Units granted to Executive shall become 100% vested.</w:t>
      </w:r>
    </w:p>
    <w:p>
      <w:pPr>
        <w:spacing w:after="0" w:line="240" w:lineRule="exact"/>
        <w:rPr>
          <w:rFonts w:ascii="Arial" w:cs="Arial" w:eastAsia="Arial" w:hAnsi="Arial"/>
          <w:sz w:val="19"/>
          <w:szCs w:val="19"/>
          <w:color w:val="auto"/>
        </w:rPr>
      </w:pPr>
    </w:p>
    <w:p>
      <w:pPr>
        <w:jc w:val="both"/>
        <w:ind w:left="60" w:right="20" w:firstLine="1298"/>
        <w:spacing w:after="0" w:line="227" w:lineRule="auto"/>
        <w:tabs>
          <w:tab w:leader="none" w:pos="2090" w:val="left"/>
        </w:tabs>
        <w:numPr>
          <w:ilvl w:val="0"/>
          <w:numId w:val="40"/>
        </w:numPr>
        <w:rPr>
          <w:rFonts w:ascii="Arial" w:cs="Arial" w:eastAsia="Arial" w:hAnsi="Arial"/>
          <w:sz w:val="18"/>
          <w:szCs w:val="18"/>
          <w:color w:val="auto"/>
        </w:rPr>
      </w:pPr>
      <w:r>
        <w:rPr>
          <w:rFonts w:ascii="Arial" w:cs="Arial" w:eastAsia="Arial" w:hAnsi="Arial"/>
          <w:sz w:val="22"/>
          <w:szCs w:val="22"/>
          <w:color w:val="auto"/>
        </w:rPr>
        <w:t>The amounts provided for in Sections 3.1(a) and 3.1(b)(1), (2) and (4), shall be paid within twenty (20) days after the Executive’s Termination Date (and in no event later than March 15</w:t>
      </w:r>
      <w:r>
        <w:rPr>
          <w:rFonts w:ascii="Arial" w:cs="Arial" w:eastAsia="Arial" w:hAnsi="Arial"/>
          <w:sz w:val="14"/>
          <w:szCs w:val="14"/>
          <w:color w:val="auto"/>
        </w:rPr>
        <w:t>th</w:t>
      </w:r>
      <w:r>
        <w:rPr>
          <w:rFonts w:ascii="Arial" w:cs="Arial" w:eastAsia="Arial" w:hAnsi="Arial"/>
          <w:sz w:val="22"/>
          <w:szCs w:val="22"/>
          <w:color w:val="auto"/>
        </w:rPr>
        <w:t xml:space="preserve"> of the year following the Termination Date) and all amounts shall be subject to applicable Federal, state and local tax withholding.</w:t>
      </w:r>
    </w:p>
    <w:p>
      <w:pPr>
        <w:spacing w:after="0" w:line="65" w:lineRule="exact"/>
        <w:rPr>
          <w:rFonts w:ascii="Arial" w:cs="Arial" w:eastAsia="Arial" w:hAnsi="Arial"/>
          <w:sz w:val="18"/>
          <w:szCs w:val="18"/>
          <w:color w:val="auto"/>
        </w:rPr>
      </w:pPr>
    </w:p>
    <w:p>
      <w:pPr>
        <w:jc w:val="both"/>
        <w:ind w:left="60" w:firstLine="1298"/>
        <w:spacing w:after="0" w:line="275" w:lineRule="auto"/>
        <w:tabs>
          <w:tab w:leader="none" w:pos="2100" w:val="left"/>
        </w:tabs>
        <w:numPr>
          <w:ilvl w:val="0"/>
          <w:numId w:val="40"/>
        </w:numPr>
        <w:rPr>
          <w:rFonts w:ascii="Arial" w:cs="Arial" w:eastAsia="Arial" w:hAnsi="Arial"/>
          <w:sz w:val="16"/>
          <w:szCs w:val="16"/>
          <w:color w:val="auto"/>
        </w:rPr>
      </w:pPr>
      <w:r>
        <w:rPr>
          <w:rFonts w:ascii="Arial" w:cs="Arial" w:eastAsia="Arial" w:hAnsi="Arial"/>
          <w:sz w:val="19"/>
          <w:szCs w:val="19"/>
          <w:color w:val="auto"/>
        </w:rPr>
        <w:t>The Executive shall not be required to mitigate the amount of any payment provided for in this Agreement by seeking other employment or otherwise and no such payment shall be offset or reduced by the amount of any compensation or benefits provided to the Executive in any subsequent employment except as provided in Section 3.1(b)(3).</w:t>
      </w:r>
    </w:p>
    <w:p>
      <w:pPr>
        <w:spacing w:after="0" w:line="32"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9"/>
          <w:szCs w:val="19"/>
          <w:u w:val="single" w:color="auto"/>
          <w:color w:val="auto"/>
        </w:rPr>
        <w:t>Code Section 280G</w:t>
      </w:r>
      <w:r>
        <w:rPr>
          <w:rFonts w:ascii="Arial" w:cs="Arial" w:eastAsia="Arial" w:hAnsi="Arial"/>
          <w:sz w:val="19"/>
          <w:szCs w:val="19"/>
          <w:color w:val="auto"/>
        </w:rPr>
        <w:t>.</w:t>
      </w:r>
    </w:p>
    <w:p>
      <w:pPr>
        <w:spacing w:after="0" w:line="133" w:lineRule="exact"/>
        <w:rPr>
          <w:sz w:val="20"/>
          <w:szCs w:val="20"/>
          <w:color w:val="auto"/>
        </w:rPr>
      </w:pPr>
    </w:p>
    <w:p>
      <w:pPr>
        <w:jc w:val="both"/>
        <w:ind w:left="60" w:firstLine="1298"/>
        <w:spacing w:after="0" w:line="218" w:lineRule="auto"/>
        <w:tabs>
          <w:tab w:leader="none" w:pos="2100" w:val="left"/>
        </w:tabs>
        <w:numPr>
          <w:ilvl w:val="0"/>
          <w:numId w:val="41"/>
        </w:numPr>
        <w:rPr>
          <w:rFonts w:ascii="Arial" w:cs="Arial" w:eastAsia="Arial" w:hAnsi="Arial"/>
          <w:sz w:val="18"/>
          <w:szCs w:val="18"/>
          <w:color w:val="auto"/>
        </w:rPr>
      </w:pPr>
      <w:r>
        <w:rPr>
          <w:rFonts w:ascii="Arial" w:cs="Arial" w:eastAsia="Arial" w:hAnsi="Arial"/>
          <w:sz w:val="22"/>
          <w:szCs w:val="22"/>
          <w:color w:val="auto"/>
        </w:rPr>
        <w:t>Notwithstanding any other provision of this Agreement or any other plan, arrangement or agreement to the contrary, if any of the payments or benefits provided or to be provided by the Company or its affiliates to the Executive or for the Executive's benefit pursuant to the terms of this Agreement or otherwise (“Covered Payments”) constitute parachute payments (“Parachute Payments”) within the meaning of Section 280G of the Code and would, but for this Section 3.2 be subject to the excise tax imposed under</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238"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10(iii)A(81)</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spacing w:after="0" w:line="246" w:lineRule="auto"/>
        <w:rPr>
          <w:sz w:val="20"/>
          <w:szCs w:val="20"/>
          <w:color w:val="auto"/>
        </w:rPr>
      </w:pPr>
      <w:r>
        <w:rPr>
          <w:rFonts w:ascii="Arial" w:cs="Arial" w:eastAsia="Arial" w:hAnsi="Arial"/>
          <w:sz w:val="19"/>
          <w:szCs w:val="19"/>
          <w:color w:val="auto"/>
        </w:rPr>
        <w:t>Section 4999 of the Code (or any successor provision thereto) or any similar tax imposed by state or local law or any interest or penalties with respect to such taxes (collectively, the "Excise Tax"), then prior to making the Covered Payments, a calculation shall be made comparing (i) the Net Benefit (as defined below) to the Executive of the Covered Payments after payment of the Excise Tax to (ii) the Net Benefit payable to the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"Reduced Amount"). "Net Benefit" shall mean the present value of the Covered Payments net of all federal, state, local, foreign income, employment and excise taxes.</w:t>
      </w:r>
    </w:p>
    <w:p>
      <w:pPr>
        <w:spacing w:after="0" w:line="58" w:lineRule="exact"/>
        <w:rPr>
          <w:sz w:val="20"/>
          <w:szCs w:val="20"/>
          <w:color w:val="auto"/>
        </w:rPr>
      </w:pPr>
    </w:p>
    <w:p>
      <w:pPr>
        <w:jc w:val="both"/>
        <w:ind w:left="60" w:firstLine="1298"/>
        <w:spacing w:after="0" w:line="221" w:lineRule="auto"/>
        <w:tabs>
          <w:tab w:leader="none" w:pos="2100" w:val="left"/>
        </w:tabs>
        <w:numPr>
          <w:ilvl w:val="0"/>
          <w:numId w:val="42"/>
        </w:numPr>
        <w:rPr>
          <w:rFonts w:ascii="Arial" w:cs="Arial" w:eastAsia="Arial" w:hAnsi="Arial"/>
          <w:sz w:val="18"/>
          <w:szCs w:val="18"/>
          <w:color w:val="auto"/>
        </w:rPr>
      </w:pPr>
      <w:r>
        <w:rPr>
          <w:rFonts w:ascii="Arial" w:cs="Arial" w:eastAsia="Arial" w:hAnsi="Arial"/>
          <w:sz w:val="22"/>
          <w:szCs w:val="22"/>
          <w:color w:val="auto"/>
        </w:rPr>
        <w:t>The Covered Payments shall be reduced in a manner that maximizes the Executive's economic position. In applying this principle, the reduction shall be made in a manner consistent with the requirements of Section 409A of the Code, and where two economically equivalent amounts are subject to reduction but payable at different times, such amounts shall be reduced on a pro rata basis but not below zero.</w:t>
      </w:r>
    </w:p>
    <w:p>
      <w:pPr>
        <w:spacing w:after="0" w:line="67" w:lineRule="exact"/>
        <w:rPr>
          <w:rFonts w:ascii="Arial" w:cs="Arial" w:eastAsia="Arial" w:hAnsi="Arial"/>
          <w:sz w:val="18"/>
          <w:szCs w:val="18"/>
          <w:color w:val="auto"/>
        </w:rPr>
      </w:pPr>
    </w:p>
    <w:p>
      <w:pPr>
        <w:jc w:val="both"/>
        <w:ind w:left="60" w:firstLine="1298"/>
        <w:spacing w:after="0" w:line="221" w:lineRule="auto"/>
        <w:tabs>
          <w:tab w:leader="none" w:pos="2090" w:val="left"/>
        </w:tabs>
        <w:numPr>
          <w:ilvl w:val="0"/>
          <w:numId w:val="42"/>
        </w:numPr>
        <w:rPr>
          <w:rFonts w:ascii="Arial" w:cs="Arial" w:eastAsia="Arial" w:hAnsi="Arial"/>
          <w:sz w:val="18"/>
          <w:szCs w:val="18"/>
          <w:color w:val="auto"/>
        </w:rPr>
      </w:pPr>
      <w:r>
        <w:rPr>
          <w:rFonts w:ascii="Arial" w:cs="Arial" w:eastAsia="Arial" w:hAnsi="Arial"/>
          <w:sz w:val="22"/>
          <w:szCs w:val="22"/>
          <w:color w:val="auto"/>
        </w:rPr>
        <w:t>Any determination required under this Section 3.2, including whether any payments or benefits are parachute payments, shall be made by the Company in its sole discretion. The Executive shall provide the Company with such information and documents as the Company may reasonably request in order to make a determination under this Section 3.2. The Company's determination shall be final and binding on the Executive.</w:t>
      </w:r>
    </w:p>
    <w:p>
      <w:pPr>
        <w:spacing w:after="0" w:line="67" w:lineRule="exact"/>
        <w:rPr>
          <w:rFonts w:ascii="Arial" w:cs="Arial" w:eastAsia="Arial" w:hAnsi="Arial"/>
          <w:sz w:val="18"/>
          <w:szCs w:val="18"/>
          <w:color w:val="auto"/>
        </w:rPr>
      </w:pPr>
    </w:p>
    <w:p>
      <w:pPr>
        <w:jc w:val="both"/>
        <w:ind w:left="60" w:firstLine="1298"/>
        <w:spacing w:after="0" w:line="227" w:lineRule="auto"/>
        <w:tabs>
          <w:tab w:leader="none" w:pos="2100" w:val="left"/>
        </w:tabs>
        <w:numPr>
          <w:ilvl w:val="0"/>
          <w:numId w:val="42"/>
        </w:numPr>
        <w:rPr>
          <w:rFonts w:ascii="Arial" w:cs="Arial" w:eastAsia="Arial" w:hAnsi="Arial"/>
          <w:sz w:val="18"/>
          <w:szCs w:val="18"/>
          <w:color w:val="auto"/>
        </w:rPr>
      </w:pPr>
      <w:r>
        <w:rPr>
          <w:rFonts w:ascii="Arial" w:cs="Arial" w:eastAsia="Arial" w:hAnsi="Arial"/>
          <w:sz w:val="22"/>
          <w:szCs w:val="22"/>
          <w:color w:val="auto"/>
        </w:rPr>
        <w:t>It is possible that after the determinations and selections made pursuant to this Section 3.2 the Executive will receive Covered Payments that are in the aggregate more than the amount provided under this Section 3.2 (“Overpayment”) or less than the amount provided under this Section 3.2 (“Underpayment”).</w:t>
      </w:r>
    </w:p>
    <w:p>
      <w:pPr>
        <w:spacing w:after="0" w:line="65" w:lineRule="exact"/>
        <w:rPr>
          <w:rFonts w:ascii="Arial" w:cs="Arial" w:eastAsia="Arial" w:hAnsi="Arial"/>
          <w:sz w:val="18"/>
          <w:szCs w:val="18"/>
          <w:color w:val="auto"/>
        </w:rPr>
      </w:pPr>
    </w:p>
    <w:p>
      <w:pPr>
        <w:jc w:val="both"/>
        <w:ind w:firstLine="1952"/>
        <w:spacing w:after="0" w:line="262" w:lineRule="auto"/>
        <w:tabs>
          <w:tab w:leader="none" w:pos="2682" w:val="left"/>
        </w:tabs>
        <w:numPr>
          <w:ilvl w:val="1"/>
          <w:numId w:val="42"/>
        </w:numPr>
        <w:rPr>
          <w:rFonts w:ascii="Arial" w:cs="Arial" w:eastAsia="Arial" w:hAnsi="Arial"/>
          <w:sz w:val="16"/>
          <w:szCs w:val="16"/>
          <w:color w:val="auto"/>
        </w:rPr>
      </w:pPr>
      <w:r>
        <w:rPr>
          <w:rFonts w:ascii="Arial" w:cs="Arial" w:eastAsia="Arial" w:hAnsi="Arial"/>
          <w:sz w:val="19"/>
          <w:szCs w:val="19"/>
          <w:color w:val="auto"/>
        </w:rPr>
        <w:t>In the event that it is established pursuant to a final determination of a court or an Internal Revenue Service proceeding that has been finally and conclusively resolved that an Overpayment has been made, then the Executive shall pay any such Overpayment to the Company together with interest at the applicable federal rate (as defined in Section 7872(f)(2)(A) of the Code) from the date of the Executive's receipt of the Overpayment until the date of repayment.</w:t>
      </w:r>
    </w:p>
    <w:p>
      <w:pPr>
        <w:spacing w:after="0" w:line="44" w:lineRule="exact"/>
        <w:rPr>
          <w:rFonts w:ascii="Arial" w:cs="Arial" w:eastAsia="Arial" w:hAnsi="Arial"/>
          <w:sz w:val="16"/>
          <w:szCs w:val="16"/>
          <w:color w:val="auto"/>
        </w:rPr>
      </w:pPr>
    </w:p>
    <w:p>
      <w:pPr>
        <w:jc w:val="both"/>
        <w:ind w:firstLine="1952"/>
        <w:spacing w:after="0" w:line="221" w:lineRule="auto"/>
        <w:tabs>
          <w:tab w:leader="none" w:pos="2722" w:val="left"/>
        </w:tabs>
        <w:numPr>
          <w:ilvl w:val="1"/>
          <w:numId w:val="42"/>
        </w:numPr>
        <w:rPr>
          <w:rFonts w:ascii="Arial" w:cs="Arial" w:eastAsia="Arial" w:hAnsi="Arial"/>
          <w:sz w:val="18"/>
          <w:szCs w:val="18"/>
          <w:color w:val="auto"/>
        </w:rPr>
      </w:pPr>
      <w:r>
        <w:rPr>
          <w:rFonts w:ascii="Arial" w:cs="Arial" w:eastAsia="Arial" w:hAnsi="Arial"/>
          <w:sz w:val="22"/>
          <w:szCs w:val="22"/>
          <w:color w:val="auto"/>
        </w:rPr>
        <w:t>In the event that a court of competent jurisdiction determines that an Underpayment has occurred, any such Underpayment will be paid promptly by the Company to or for the benefit of the Executive together with interest at the applicable federal rate (as defined in Section 7872(f)(2)(A) of the Code) from the date the amount would have otherwise been paid to the Executive until the payment date.</w:t>
      </w:r>
    </w:p>
    <w:p>
      <w:pPr>
        <w:spacing w:after="0" w:line="6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color w:val="auto"/>
        </w:rPr>
        <w:t xml:space="preserve">3.3 </w:t>
      </w:r>
      <w:r>
        <w:rPr>
          <w:rFonts w:ascii="Arial" w:cs="Arial" w:eastAsia="Arial" w:hAnsi="Arial"/>
          <w:sz w:val="20"/>
          <w:szCs w:val="20"/>
          <w:color w:val="auto"/>
        </w:rPr>
        <w:t>If, as a result of Executive’s termination of employment, Executive becomes entitled to compensation and</w:t>
      </w:r>
      <w:r>
        <w:rPr>
          <w:rFonts w:ascii="Arial" w:cs="Arial" w:eastAsia="Arial" w:hAnsi="Arial"/>
          <w:sz w:val="17"/>
          <w:szCs w:val="17"/>
          <w:color w:val="auto"/>
        </w:rPr>
        <w:t xml:space="preserve"> </w:t>
      </w:r>
      <w:r>
        <w:rPr>
          <w:rFonts w:ascii="Arial" w:cs="Arial" w:eastAsia="Arial" w:hAnsi="Arial"/>
          <w:sz w:val="20"/>
          <w:szCs w:val="20"/>
          <w:color w:val="auto"/>
        </w:rPr>
        <w:t>benefits under this Agreement and under any Severance Agreement between Executive and the Company or under any severance plan provided by the Company, there shall be no duplication of benefits and Executive shall only be entitled to receive benefits under whichever agreement or plan provides Executive the greater aggregate amount. The Executive will be fully bound by all of the terms and conditions of the agreement under which he receives benefits. Except as provided in the preceding sentences, the severance pay and benefits provided for in Sections 3.1(a) and 3.1(b) shall be in lieu of any other severance pay to which the Executive may be entitled under any Company severance plan, program or arrangement for a termination of employment covered by such circumstances, except that if the severance pay of the type referenced in Section 3.1(b)(2) provided under such other plans, programs or arrangements is greater than the amount calculated under Section 3.1(b)(2), then that greater amount and not the amount under Section 3.1(b)(2) shall be paid.</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38" w:right="339" w:bottom="1440" w:gutter="0" w:footer="0" w:header="0"/>
        </w:sectPr>
      </w:pPr>
    </w:p>
    <w:bookmarkStart w:id="107" w:name="page108"/>
    <w:bookmarkEnd w:id="107"/>
    <w:p>
      <w:pPr>
        <w:ind w:left="9680"/>
        <w:spacing w:after="0"/>
        <w:rPr>
          <w:sz w:val="20"/>
          <w:szCs w:val="20"/>
          <w:color w:val="auto"/>
        </w:rPr>
      </w:pPr>
      <w:r>
        <w:rPr>
          <w:rFonts w:ascii="Arial" w:cs="Arial" w:eastAsia="Arial" w:hAnsi="Arial"/>
          <w:sz w:val="17"/>
          <w:szCs w:val="17"/>
          <w:b w:val="1"/>
          <w:bCs w:val="1"/>
          <w:color w:val="auto"/>
        </w:rPr>
        <w:t>Exhibit 10(iii)A(81)</w:t>
      </w:r>
    </w:p>
    <w:p>
      <w:pPr>
        <w:spacing w:after="0" w:line="200" w:lineRule="exact"/>
        <w:rPr>
          <w:sz w:val="20"/>
          <w:szCs w:val="20"/>
          <w:color w:val="auto"/>
        </w:rPr>
      </w:pPr>
    </w:p>
    <w:p>
      <w:pPr>
        <w:spacing w:after="0" w:line="389"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To the extent applicable, this Agreement is intended to provide for compensation which satisfies the short-term deferral exemption under Treas. Reg. §1.409A-1(b)(4) and/or the separation pay exemption under Treas. Reg. §1.409A-1(b)(9). To the extent any benefits hereunder may be deferred compensation within the meaning of Section 409A, the Company shall have authority to take action, or refrain from taking any action, with respect to the payments of such benefits under this Agreement that is reasonably necessary to comply with Section 409A. Specifically, the Company shall have the authority to delay the commencement of payments to “key employees” of the Company (as determined by the Company in accordance with procedures established by the Company that are consistent with Section 409A) to a date which is six months after the date of Executive’s Termination Date (and on such date the payments that would otherwise have been made during such six-month period shall be made) to the extent such delay is required under the provisions of Section 409A.</w:t>
      </w:r>
    </w:p>
    <w:p>
      <w:pPr>
        <w:spacing w:after="0" w:line="251"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 xml:space="preserve">3.4 </w:t>
      </w:r>
      <w:r>
        <w:rPr>
          <w:rFonts w:ascii="Arial" w:cs="Arial" w:eastAsia="Arial" w:hAnsi="Arial"/>
          <w:sz w:val="21"/>
          <w:szCs w:val="21"/>
          <w:u w:val="single" w:color="auto"/>
          <w:color w:val="auto"/>
        </w:rPr>
        <w:t>Notice of Termination</w:t>
      </w:r>
      <w:r>
        <w:rPr>
          <w:rFonts w:ascii="Arial" w:cs="Arial" w:eastAsia="Arial" w:hAnsi="Arial"/>
          <w:sz w:val="21"/>
          <w:szCs w:val="21"/>
          <w:color w:val="auto"/>
        </w:rPr>
        <w:t>. During the Covered Period, any purported termination by the Company or by the</w:t>
      </w:r>
      <w:r>
        <w:rPr>
          <w:rFonts w:ascii="Arial" w:cs="Arial" w:eastAsia="Arial" w:hAnsi="Arial"/>
          <w:sz w:val="18"/>
          <w:szCs w:val="18"/>
          <w:color w:val="auto"/>
        </w:rPr>
        <w:t xml:space="preserve"> </w:t>
      </w:r>
      <w:r>
        <w:rPr>
          <w:rFonts w:ascii="Arial" w:cs="Arial" w:eastAsia="Arial" w:hAnsi="Arial"/>
          <w:sz w:val="21"/>
          <w:szCs w:val="21"/>
          <w:color w:val="auto"/>
        </w:rPr>
        <w:t>Executive shall be communicated by written Notice of Termination to the other. For purposes of this Agreement, a “Notice of Termination” shall mean a notice which indicates the specific termination provision in this Agreement relied upon and shall set forth in reasonable detail the facts and circumstances claimed to provide a basis for termination of the Executive’s employment under the provision so indicated. For purposes of this Agreement, no such purported termination shall be effective without such Notice of Termination.</w:t>
      </w:r>
    </w:p>
    <w:p>
      <w:pPr>
        <w:spacing w:after="0" w:line="67"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9"/>
          <w:szCs w:val="19"/>
          <w:u w:val="single" w:color="auto"/>
          <w:color w:val="auto"/>
        </w:rPr>
        <w:t>Trade Secrets and Confidential Information, Non-Disparagement</w:t>
      </w:r>
      <w:r>
        <w:rPr>
          <w:rFonts w:ascii="Arial" w:cs="Arial" w:eastAsia="Arial" w:hAnsi="Arial"/>
          <w:sz w:val="19"/>
          <w:szCs w:val="19"/>
          <w:color w:val="auto"/>
        </w:rPr>
        <w:t>.</w:t>
      </w:r>
    </w:p>
    <w:p>
      <w:pPr>
        <w:spacing w:after="0" w:line="133" w:lineRule="exact"/>
        <w:rPr>
          <w:sz w:val="20"/>
          <w:szCs w:val="20"/>
          <w:color w:val="auto"/>
        </w:rPr>
      </w:pPr>
    </w:p>
    <w:p>
      <w:pPr>
        <w:jc w:val="both"/>
        <w:ind w:left="60" w:firstLine="1298"/>
        <w:spacing w:after="0" w:line="222" w:lineRule="auto"/>
        <w:tabs>
          <w:tab w:leader="none" w:pos="2100" w:val="left"/>
        </w:tabs>
        <w:numPr>
          <w:ilvl w:val="0"/>
          <w:numId w:val="43"/>
        </w:numPr>
        <w:rPr>
          <w:rFonts w:ascii="Arial" w:cs="Arial" w:eastAsia="Arial" w:hAnsi="Arial"/>
          <w:sz w:val="17"/>
          <w:szCs w:val="17"/>
          <w:color w:val="auto"/>
        </w:rPr>
      </w:pPr>
      <w:r>
        <w:rPr>
          <w:rFonts w:ascii="Arial" w:cs="Arial" w:eastAsia="Arial" w:hAnsi="Arial"/>
          <w:sz w:val="21"/>
          <w:szCs w:val="21"/>
          <w:color w:val="auto"/>
        </w:rPr>
        <w:t>Executive agrees that he/she shall protect the Company’s and its affiliates’ Trade Secrets and Confidential Information and shall not disclose to any person or entity, or otherwise use or disseminate, except in connection with the performance of his/her duties for the Company, any Trade Secrets or Confidential Information; provided, however, that Executive may make disclosures required by a valid order or subpoena issued by a court or administrative agency of competent jurisdiction, in which event Executive will promptly notify the Company or its affiliates of such order or subpoena to provide the Company or its affiliates an opportunity to protect their interests. Executive’s obligations under this Section 3.5 shall apply during his/her employment and after his/her Termination Date, shall continue through any severance period, and shall survive any expiration or termination of this Agreement, so long as the information or material remains Confidential Information or a Trade Secret, as applicable.</w:t>
      </w:r>
    </w:p>
    <w:p>
      <w:pPr>
        <w:spacing w:after="0" w:line="68" w:lineRule="exact"/>
        <w:rPr>
          <w:rFonts w:ascii="Arial" w:cs="Arial" w:eastAsia="Arial" w:hAnsi="Arial"/>
          <w:sz w:val="17"/>
          <w:szCs w:val="17"/>
          <w:color w:val="auto"/>
        </w:rPr>
      </w:pPr>
    </w:p>
    <w:p>
      <w:pPr>
        <w:jc w:val="both"/>
        <w:ind w:left="60" w:firstLine="1298"/>
        <w:spacing w:after="0" w:line="221" w:lineRule="auto"/>
        <w:tabs>
          <w:tab w:leader="none" w:pos="2100" w:val="left"/>
        </w:tabs>
        <w:numPr>
          <w:ilvl w:val="0"/>
          <w:numId w:val="43"/>
        </w:numPr>
        <w:rPr>
          <w:rFonts w:ascii="Arial" w:cs="Arial" w:eastAsia="Arial" w:hAnsi="Arial"/>
          <w:sz w:val="18"/>
          <w:szCs w:val="18"/>
          <w:color w:val="auto"/>
        </w:rPr>
      </w:pPr>
      <w:r>
        <w:rPr>
          <w:rFonts w:ascii="Arial" w:cs="Arial" w:eastAsia="Arial" w:hAnsi="Arial"/>
          <w:sz w:val="22"/>
          <w:szCs w:val="22"/>
          <w:color w:val="auto"/>
        </w:rPr>
        <w:t>Executive further confirms that during his/her employment with the Company, he/she has not and will not offer, disclose or use on Executive’s own behalf or on behalf of the Company, any information Executive received prior to employment by the Company which was supplied to Executive confidentially or which Executive should reasonably know to be confidential.</w:t>
      </w:r>
    </w:p>
    <w:p>
      <w:pPr>
        <w:spacing w:after="0" w:line="67" w:lineRule="exact"/>
        <w:rPr>
          <w:rFonts w:ascii="Arial" w:cs="Arial" w:eastAsia="Arial" w:hAnsi="Arial"/>
          <w:sz w:val="18"/>
          <w:szCs w:val="18"/>
          <w:color w:val="auto"/>
        </w:rPr>
      </w:pPr>
    </w:p>
    <w:p>
      <w:pPr>
        <w:jc w:val="both"/>
        <w:ind w:left="60" w:firstLine="1298"/>
        <w:spacing w:after="0" w:line="216" w:lineRule="auto"/>
        <w:tabs>
          <w:tab w:leader="none" w:pos="2090" w:val="left"/>
        </w:tabs>
        <w:numPr>
          <w:ilvl w:val="0"/>
          <w:numId w:val="43"/>
        </w:numPr>
        <w:rPr>
          <w:rFonts w:ascii="Arial" w:cs="Arial" w:eastAsia="Arial" w:hAnsi="Arial"/>
          <w:sz w:val="18"/>
          <w:szCs w:val="18"/>
          <w:color w:val="auto"/>
        </w:rPr>
      </w:pPr>
      <w:r>
        <w:rPr>
          <w:rFonts w:ascii="Arial" w:cs="Arial" w:eastAsia="Arial" w:hAnsi="Arial"/>
          <w:sz w:val="22"/>
          <w:szCs w:val="22"/>
          <w:color w:val="auto"/>
        </w:rPr>
        <w:t>Nothing in this Agreement prohibits Executive from reporting possible violations of federal law or regulation to any governmental agency or entity including but not limited to the Department of Justice, the Securities and Exchange Commission, Congress, or any Inspector General, or making other disclosures that are protected under the whistleblower provisions of federal law or regulation. Executive does not need the prior authorization of Company to make any such reports or disclosures, and Executive is not required to notify Company that Executive has made such reports or disclosures.</w:t>
      </w:r>
    </w:p>
    <w:p>
      <w:pPr>
        <w:spacing w:after="0" w:line="64" w:lineRule="exact"/>
        <w:rPr>
          <w:rFonts w:ascii="Arial" w:cs="Arial" w:eastAsia="Arial" w:hAnsi="Arial"/>
          <w:sz w:val="18"/>
          <w:szCs w:val="18"/>
          <w:color w:val="auto"/>
        </w:rPr>
      </w:pPr>
    </w:p>
    <w:p>
      <w:pPr>
        <w:jc w:val="both"/>
        <w:ind w:left="60" w:firstLine="1298"/>
        <w:spacing w:after="0" w:line="256" w:lineRule="auto"/>
        <w:tabs>
          <w:tab w:leader="none" w:pos="2100" w:val="left"/>
        </w:tabs>
        <w:numPr>
          <w:ilvl w:val="0"/>
          <w:numId w:val="43"/>
        </w:numPr>
        <w:rPr>
          <w:rFonts w:ascii="Arial" w:cs="Arial" w:eastAsia="Arial" w:hAnsi="Arial"/>
          <w:sz w:val="16"/>
          <w:szCs w:val="16"/>
          <w:color w:val="auto"/>
        </w:rPr>
      </w:pPr>
      <w:r>
        <w:rPr>
          <w:rFonts w:ascii="Arial" w:cs="Arial" w:eastAsia="Arial" w:hAnsi="Arial"/>
          <w:sz w:val="19"/>
          <w:szCs w:val="19"/>
          <w:color w:val="auto"/>
        </w:rPr>
        <w:t>Executive agrees that he/she will not make any disparaging statements or comments to any person or entity by any medium, whether oral or written, about Company, any of its affiliates or any of its respective officers, directors, employees, shareholders, agents, representatives or independent contractors. Nor shall Executive communicate to any person or entity by any medium, whether oral or written, any information harmful or adverse to Company, any of its affiliates or any of its respective officers, directors, employees, shareholders, agents, representatives or independent contractors. Nothing in this</w:t>
      </w:r>
    </w:p>
    <w:p>
      <w:pPr>
        <w:spacing w:after="0" w:line="300"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238" w:right="339" w:bottom="1440" w:gutter="0" w:footer="0" w:header="0"/>
        </w:sectPr>
      </w:pPr>
    </w:p>
    <w:bookmarkStart w:id="108" w:name="page109"/>
    <w:bookmarkEnd w:id="108"/>
    <w:p>
      <w:pPr>
        <w:ind w:left="9680"/>
        <w:spacing w:after="0"/>
        <w:rPr>
          <w:sz w:val="20"/>
          <w:szCs w:val="20"/>
          <w:color w:val="auto"/>
        </w:rPr>
      </w:pPr>
      <w:r>
        <w:rPr>
          <w:rFonts w:ascii="Arial" w:cs="Arial" w:eastAsia="Arial" w:hAnsi="Arial"/>
          <w:sz w:val="17"/>
          <w:szCs w:val="17"/>
          <w:b w:val="1"/>
          <w:bCs w:val="1"/>
          <w:color w:val="auto"/>
        </w:rPr>
        <w:t>Exhibit 10(iii)A(81)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Arial" w:cs="Arial" w:eastAsia="Arial" w:hAnsi="Arial"/>
          <w:sz w:val="22"/>
          <w:szCs w:val="22"/>
          <w:color w:val="auto"/>
        </w:rPr>
        <w:t>section shall prevent Executive from providing truthful testimony pursuant to a lawful subpoena or other court order</w:t>
      </w:r>
    </w:p>
    <w:p>
      <w:pPr>
        <w:spacing w:after="0" w:line="85" w:lineRule="exact"/>
        <w:rPr>
          <w:sz w:val="20"/>
          <w:szCs w:val="20"/>
          <w:color w:val="auto"/>
        </w:rPr>
      </w:pPr>
    </w:p>
    <w:p>
      <w:pPr>
        <w:ind w:left="800" w:hanging="792"/>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22"/>
          <w:szCs w:val="22"/>
          <w:u w:val="single" w:color="auto"/>
          <w:color w:val="auto"/>
        </w:rPr>
        <w:t>Non-Competition, Non-Solicitation, Inventions</w:t>
      </w:r>
      <w:r>
        <w:rPr>
          <w:rFonts w:ascii="Arial" w:cs="Arial" w:eastAsia="Arial" w:hAnsi="Arial"/>
          <w:sz w:val="22"/>
          <w:szCs w:val="22"/>
          <w:color w:val="auto"/>
        </w:rPr>
        <w:t>.</w:t>
      </w:r>
    </w:p>
    <w:p>
      <w:pPr>
        <w:spacing w:after="0" w:line="9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21"/>
          <w:szCs w:val="21"/>
          <w:color w:val="auto"/>
        </w:rPr>
        <w:t>Executive acknowledges and agrees that both during his/her employment and for twelve (12) months after the</w:t>
      </w:r>
      <w:r>
        <w:rPr>
          <w:rFonts w:ascii="Arial" w:cs="Arial" w:eastAsia="Arial" w:hAnsi="Arial"/>
          <w:sz w:val="18"/>
          <w:szCs w:val="18"/>
          <w:color w:val="auto"/>
        </w:rPr>
        <w:t xml:space="preserve"> </w:t>
      </w:r>
      <w:r>
        <w:rPr>
          <w:rFonts w:ascii="Arial" w:cs="Arial" w:eastAsia="Arial" w:hAnsi="Arial"/>
          <w:sz w:val="21"/>
          <w:szCs w:val="21"/>
          <w:color w:val="auto"/>
        </w:rPr>
        <w:t>Termination Date, he/she has not and will not, directly or indirectly, engage in, provide, or perform any duties or services of the type conducted, authorized, offered, or provided by Executive in his/her capacity as an employee on behalf of the Company within the twelve (12) months prior to the Termination Date, on behalf of any person or entity (or in the case of an entity that is organized into divisions or units, any distinct division or operating unit of such entity) in the Territory that derives income from providing goods or services substantially similar to those which comprise the Company's Business.</w:t>
      </w:r>
    </w:p>
    <w:p>
      <w:pPr>
        <w:spacing w:after="0" w:line="6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21"/>
          <w:szCs w:val="21"/>
          <w:color w:val="auto"/>
        </w:rPr>
        <w:t>Executive acknowledges and agrees that both during his/her employment and for twenty-four (24) months after</w:t>
      </w:r>
      <w:r>
        <w:rPr>
          <w:rFonts w:ascii="Arial" w:cs="Arial" w:eastAsia="Arial" w:hAnsi="Arial"/>
          <w:sz w:val="18"/>
          <w:szCs w:val="18"/>
          <w:color w:val="auto"/>
        </w:rPr>
        <w:t xml:space="preserve"> </w:t>
      </w:r>
      <w:r>
        <w:rPr>
          <w:rFonts w:ascii="Arial" w:cs="Arial" w:eastAsia="Arial" w:hAnsi="Arial"/>
          <w:sz w:val="21"/>
          <w:szCs w:val="21"/>
          <w:color w:val="auto"/>
        </w:rPr>
        <w:t>the last day of his/her employment with the Company, Executive has not and will not directly or indirectly solicit Customers or Sales Agents with whom he/she had Material Contact for the purpose of providing goods and/or services competitive with the Company’s Business.</w:t>
      </w:r>
    </w:p>
    <w:p>
      <w:pPr>
        <w:spacing w:after="0" w:line="6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 xml:space="preserve">4.3 </w:t>
      </w:r>
      <w:r>
        <w:rPr>
          <w:rFonts w:ascii="Arial" w:cs="Arial" w:eastAsia="Arial" w:hAnsi="Arial"/>
          <w:sz w:val="21"/>
          <w:szCs w:val="21"/>
          <w:color w:val="auto"/>
        </w:rPr>
        <w:t>Executive acknowledges and agrees that both during his/her employment and for twenty-four (24) months after</w:t>
      </w:r>
      <w:r>
        <w:rPr>
          <w:rFonts w:ascii="Arial" w:cs="Arial" w:eastAsia="Arial" w:hAnsi="Arial"/>
          <w:sz w:val="18"/>
          <w:szCs w:val="18"/>
          <w:color w:val="auto"/>
        </w:rPr>
        <w:t xml:space="preserve"> </w:t>
      </w:r>
      <w:r>
        <w:rPr>
          <w:rFonts w:ascii="Arial" w:cs="Arial" w:eastAsia="Arial" w:hAnsi="Arial"/>
          <w:sz w:val="21"/>
          <w:szCs w:val="21"/>
          <w:color w:val="auto"/>
        </w:rPr>
        <w:t>the last day of his/her employment with the Company, Executive has not and will not, directly or indirectly, whether on behalf of Executive or others, solicit, lure or attempt to hire away any of the Company's or its affiliates’ employees or agents. Notwithstanding the foregoing, this Section shall not prevent Executive from soliciting an employee or agent that has since discontinued all business dealings with the Company.</w:t>
      </w:r>
    </w:p>
    <w:p>
      <w:pPr>
        <w:spacing w:after="0" w:line="68"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 xml:space="preserve">4.4 </w:t>
      </w:r>
      <w:r>
        <w:rPr>
          <w:rFonts w:ascii="Arial" w:cs="Arial" w:eastAsia="Arial" w:hAnsi="Arial"/>
          <w:sz w:val="21"/>
          <w:szCs w:val="21"/>
          <w:color w:val="auto"/>
        </w:rPr>
        <w:t>Executive does hereby assign to the Company the entire right, title and interest in any Invention which is or was</w:t>
      </w:r>
      <w:r>
        <w:rPr>
          <w:rFonts w:ascii="Arial" w:cs="Arial" w:eastAsia="Arial" w:hAnsi="Arial"/>
          <w:sz w:val="18"/>
          <w:szCs w:val="18"/>
          <w:color w:val="auto"/>
        </w:rPr>
        <w:t xml:space="preserve"> </w:t>
      </w:r>
      <w:r>
        <w:rPr>
          <w:rFonts w:ascii="Arial" w:cs="Arial" w:eastAsia="Arial" w:hAnsi="Arial"/>
          <w:sz w:val="21"/>
          <w:szCs w:val="21"/>
          <w:color w:val="auto"/>
        </w:rPr>
        <w:t>made or conceived, either solely or jointly with others, during his/her employment with the Company. Executive attests that he/she has disclosed to the Company all such Inventions. Executive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68" w:lineRule="exact"/>
        <w:rPr>
          <w:sz w:val="20"/>
          <w:szCs w:val="20"/>
          <w:color w:val="auto"/>
        </w:rPr>
      </w:pPr>
    </w:p>
    <w:p>
      <w:pPr>
        <w:ind w:left="800" w:hanging="792"/>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22"/>
          <w:szCs w:val="22"/>
          <w:u w:val="single" w:color="auto"/>
          <w:color w:val="auto"/>
        </w:rPr>
        <w:t>Successors; Binding Agreement</w:t>
      </w:r>
      <w:r>
        <w:rPr>
          <w:rFonts w:ascii="Arial" w:cs="Arial" w:eastAsia="Arial" w:hAnsi="Arial"/>
          <w:sz w:val="22"/>
          <w:szCs w:val="22"/>
          <w:color w:val="auto"/>
        </w:rPr>
        <w:t>.</w:t>
      </w:r>
    </w:p>
    <w:p>
      <w:pPr>
        <w:spacing w:after="0" w:line="9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9"/>
          <w:szCs w:val="19"/>
          <w:color w:val="auto"/>
        </w:rPr>
        <w:t>This Agreement shall be binding upon and shall inure to the benefit of the Company, its successors and assigns</w:t>
      </w:r>
      <w:r>
        <w:rPr>
          <w:rFonts w:ascii="Arial" w:cs="Arial" w:eastAsia="Arial" w:hAnsi="Arial"/>
          <w:sz w:val="16"/>
          <w:szCs w:val="16"/>
          <w:color w:val="auto"/>
        </w:rPr>
        <w:t xml:space="preserve"> </w:t>
      </w:r>
      <w:r>
        <w:rPr>
          <w:rFonts w:ascii="Arial" w:cs="Arial" w:eastAsia="Arial" w:hAnsi="Arial"/>
          <w:sz w:val="19"/>
          <w:szCs w:val="19"/>
          <w:color w:val="auto"/>
        </w:rPr>
        <w:t>and the Company shall require any successor or assign to expressly assume and agree to perform this Agreement in the same manner and to the same extent that the Company would be required to perform it if no such succession or assignment had taken place. Failure of the Company to obtain such assumption and agreement prior to the effectiveness of any such succession shall be a breach of this Agreement and shall entitle the Executive to compensation from the Company in the same amount and on the same terms as the Executive would be entitled to hereunder if the Executive were to terminate the Executive’s employment for Good Reason, except that, for purposes of implementing the foregoing, the date on which any such succession becomes effective shall be deemed the Termination Date. The term “the Company” as used herein shall include such successors and assigns. The term “successors and assigns” as used herein shall mean a corporation or other entity acquiring all or substantially all the assets and business of the Company (including this Agreement), whether by operation of law or otherwise.</w:t>
      </w:r>
    </w:p>
    <w:p>
      <w:pPr>
        <w:spacing w:after="0" w:line="6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21"/>
          <w:szCs w:val="21"/>
          <w:color w:val="auto"/>
        </w:rPr>
        <w:t>Neither this Agreement nor any right or interest hereunder shall be assignable or transferable by the Executive,</w:t>
      </w:r>
      <w:r>
        <w:rPr>
          <w:rFonts w:ascii="Arial" w:cs="Arial" w:eastAsia="Arial" w:hAnsi="Arial"/>
          <w:sz w:val="18"/>
          <w:szCs w:val="18"/>
          <w:color w:val="auto"/>
        </w:rPr>
        <w:t xml:space="preserve"> </w:t>
      </w:r>
      <w:r>
        <w:rPr>
          <w:rFonts w:ascii="Arial" w:cs="Arial" w:eastAsia="Arial" w:hAnsi="Arial"/>
          <w:sz w:val="21"/>
          <w:szCs w:val="21"/>
          <w:color w:val="auto"/>
        </w:rPr>
        <w:t>his/her beneficiaries or legal representatives, except by will or by the laws of descent and distribution. This Agreement shall inure to the benefit of and be enforceable by the Executive’s legal personal representative.</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238" w:right="339" w:bottom="1440" w:gutter="0" w:footer="0" w:header="0"/>
        </w:sectPr>
      </w:pPr>
    </w:p>
    <w:bookmarkStart w:id="109" w:name="page110"/>
    <w:bookmarkEnd w:id="109"/>
    <w:p>
      <w:pPr>
        <w:ind w:left="9680"/>
        <w:spacing w:after="0"/>
        <w:rPr>
          <w:sz w:val="20"/>
          <w:szCs w:val="20"/>
          <w:color w:val="auto"/>
        </w:rPr>
      </w:pPr>
      <w:r>
        <w:rPr>
          <w:rFonts w:ascii="Arial" w:cs="Arial" w:eastAsia="Arial" w:hAnsi="Arial"/>
          <w:sz w:val="17"/>
          <w:szCs w:val="17"/>
          <w:b w:val="1"/>
          <w:bCs w:val="1"/>
          <w:color w:val="auto"/>
        </w:rPr>
        <w:t>Exhibit 10(iii)A(81)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00" w:hanging="792"/>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22"/>
          <w:szCs w:val="22"/>
          <w:u w:val="single" w:color="auto"/>
          <w:color w:val="auto"/>
        </w:rPr>
        <w:t>Disputes, Legal Fees</w:t>
      </w:r>
      <w:r>
        <w:rPr>
          <w:rFonts w:ascii="Arial" w:cs="Arial" w:eastAsia="Arial" w:hAnsi="Arial"/>
          <w:sz w:val="22"/>
          <w:szCs w:val="22"/>
          <w:color w:val="auto"/>
        </w:rPr>
        <w:t>.</w:t>
      </w:r>
    </w:p>
    <w:p>
      <w:pPr>
        <w:spacing w:after="0" w:line="9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20"/>
          <w:szCs w:val="20"/>
          <w:color w:val="auto"/>
        </w:rPr>
        <w:t>All claims by Executive for compensation and benefits under this Agreement shall be in writing and shall be</w:t>
      </w:r>
      <w:r>
        <w:rPr>
          <w:rFonts w:ascii="Arial" w:cs="Arial" w:eastAsia="Arial" w:hAnsi="Arial"/>
          <w:sz w:val="17"/>
          <w:szCs w:val="17"/>
          <w:color w:val="auto"/>
        </w:rPr>
        <w:t xml:space="preserve"> </w:t>
      </w:r>
      <w:r>
        <w:rPr>
          <w:rFonts w:ascii="Arial" w:cs="Arial" w:eastAsia="Arial" w:hAnsi="Arial"/>
          <w:sz w:val="20"/>
          <w:szCs w:val="20"/>
          <w:color w:val="auto"/>
        </w:rPr>
        <w:t>directed to and be determined by the Board or a Committee of the Board (the Board or such Committee is hereinafter referred to as the “Administrator”). Any denial by the Administrator of a claim for benefits under this Agreement shall be provided in writing to Executive within thirty (30) days of such decision and shall set forth the specific reasons for the denial and the specific provisions of this Agreement relied upon. The Administrator shall afford a reasonable opportunity to Executive for a review of its decision denying a claim and shall further allow Executive to request in writing that the Administrator reconsider the denial of the claim within sixty (60) days after notification by the Administrator that Executive’s claim has been denied.</w:t>
      </w:r>
    </w:p>
    <w:p>
      <w:pPr>
        <w:spacing w:after="0" w:line="6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20"/>
          <w:szCs w:val="20"/>
          <w:color w:val="auto"/>
        </w:rPr>
        <w:t>If the Company involuntarily terminates Executive without Cause or Executive terminates his/her employment</w:t>
      </w:r>
      <w:r>
        <w:rPr>
          <w:rFonts w:ascii="Arial" w:cs="Arial" w:eastAsia="Arial" w:hAnsi="Arial"/>
          <w:sz w:val="17"/>
          <w:szCs w:val="17"/>
          <w:color w:val="auto"/>
        </w:rPr>
        <w:t xml:space="preserve"> </w:t>
      </w:r>
      <w:r>
        <w:rPr>
          <w:rFonts w:ascii="Arial" w:cs="Arial" w:eastAsia="Arial" w:hAnsi="Arial"/>
          <w:sz w:val="20"/>
          <w:szCs w:val="20"/>
          <w:color w:val="auto"/>
        </w:rPr>
        <w:t>for Good Reason, then, in the event Executive incurs legal fees and other expenses in seeking to obtain or to enforce any rights or benefits provided by this Agreement and is successful to a significant extent in obtaining or enforcing any such rights or benefits through settlement, mediation, arbitration or otherwise, the Company shall promptly pay Executive’s reasonable legal fees and expenses and related costs incurred in enforcing this Agreement including, without limitation, attorneys fees and expenses, experts fees and expenses, and investigative fees. Except to the extent provided in the preceding sentence, each party shall pay its own legal fees and other expenses associated with any dispute under this Agreement.</w:t>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238" w:right="339" w:bottom="1440" w:gutter="0" w:footer="0" w:header="0"/>
        </w:sectPr>
      </w:pPr>
    </w:p>
    <w:bookmarkStart w:id="110" w:name="page111"/>
    <w:bookmarkEnd w:id="110"/>
    <w:p>
      <w:pPr>
        <w:ind w:left="9680"/>
        <w:spacing w:after="0"/>
        <w:rPr>
          <w:sz w:val="20"/>
          <w:szCs w:val="20"/>
          <w:color w:val="auto"/>
        </w:rPr>
      </w:pPr>
      <w:r>
        <w:rPr>
          <w:rFonts w:ascii="Arial" w:cs="Arial" w:eastAsia="Arial" w:hAnsi="Arial"/>
          <w:sz w:val="17"/>
          <w:szCs w:val="17"/>
          <w:b w:val="1"/>
          <w:bCs w:val="1"/>
          <w:color w:val="auto"/>
        </w:rPr>
        <w:t>Exhibit 10(iii)A(81)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8"/>
        <w:spacing w:after="0" w:line="252" w:lineRule="auto"/>
        <w:tabs>
          <w:tab w:leader="none" w:pos="798" w:val="left"/>
        </w:tabs>
        <w:numPr>
          <w:ilvl w:val="0"/>
          <w:numId w:val="47"/>
        </w:numPr>
        <w:rPr>
          <w:rFonts w:ascii="Arial" w:cs="Arial" w:eastAsia="Arial" w:hAnsi="Arial"/>
          <w:sz w:val="16"/>
          <w:szCs w:val="16"/>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For the purposes of this Agreement, notices and all other communications provided for in the Agreement (including the Notice of Termination) shall be in writing and shall be deemed to have been duly given when personally delivered or sent by certified mail, return receipt requested, postage prepaid, addressed to the respective addresses last given by each party to the other, provided that all notices to the Company shall be directed to the attention of the Board with a copy to the Secretary of the Company. All notices and communications shall be deemed to have been received on the date of delivery thereof or on the third business day after the mailing thereof, except that notice of change of address shall be effective only upon receipt.</w:t>
      </w:r>
    </w:p>
    <w:p>
      <w:pPr>
        <w:spacing w:after="0" w:line="54" w:lineRule="exact"/>
        <w:rPr>
          <w:rFonts w:ascii="Arial" w:cs="Arial" w:eastAsia="Arial" w:hAnsi="Arial"/>
          <w:sz w:val="16"/>
          <w:szCs w:val="16"/>
          <w:color w:val="auto"/>
        </w:rPr>
      </w:pPr>
    </w:p>
    <w:p>
      <w:pPr>
        <w:jc w:val="both"/>
        <w:ind w:firstLine="8"/>
        <w:spacing w:after="0" w:line="252" w:lineRule="auto"/>
        <w:tabs>
          <w:tab w:leader="none" w:pos="798" w:val="left"/>
        </w:tabs>
        <w:numPr>
          <w:ilvl w:val="0"/>
          <w:numId w:val="47"/>
        </w:numPr>
        <w:rPr>
          <w:rFonts w:ascii="Arial" w:cs="Arial" w:eastAsia="Arial" w:hAnsi="Arial"/>
          <w:sz w:val="16"/>
          <w:szCs w:val="16"/>
          <w:color w:val="auto"/>
        </w:rPr>
      </w:pPr>
      <w:r>
        <w:rPr>
          <w:rFonts w:ascii="Arial" w:cs="Arial" w:eastAsia="Arial" w:hAnsi="Arial"/>
          <w:sz w:val="19"/>
          <w:szCs w:val="19"/>
          <w:u w:val="single" w:color="auto"/>
          <w:color w:val="auto"/>
        </w:rPr>
        <w:t>Non-Exclusivity of Rights</w:t>
      </w:r>
      <w:r>
        <w:rPr>
          <w:rFonts w:ascii="Arial" w:cs="Arial" w:eastAsia="Arial" w:hAnsi="Arial"/>
          <w:sz w:val="19"/>
          <w:szCs w:val="19"/>
          <w:color w:val="auto"/>
        </w:rPr>
        <w:t>. Except as otherwise specifically provided herein, nothing in this Agreement shall prevent or limit the Executive’s continuing or future participation in any benefit, bonus, incentive or other plan or program provided by the Company or any of its subsidiaries and for which the Executive may qualify, nor shall anything herein limit or reduce such rights as the Executive may have under any other agreements with the Company or any of its subsidiaries. Amounts which are vested benefits or which the Executive is otherwise entitled to receive under any plan or program of the Company or any of its subsidiaries shall be payable in accordance with such plan or program, except as explicitly modified by this Agreement.</w:t>
      </w:r>
    </w:p>
    <w:p>
      <w:pPr>
        <w:spacing w:after="0" w:line="54" w:lineRule="exact"/>
        <w:rPr>
          <w:rFonts w:ascii="Arial" w:cs="Arial" w:eastAsia="Arial" w:hAnsi="Arial"/>
          <w:sz w:val="16"/>
          <w:szCs w:val="16"/>
          <w:color w:val="auto"/>
        </w:rPr>
      </w:pPr>
    </w:p>
    <w:p>
      <w:pPr>
        <w:jc w:val="both"/>
        <w:ind w:firstLine="8"/>
        <w:spacing w:after="0" w:line="275" w:lineRule="auto"/>
        <w:tabs>
          <w:tab w:leader="none" w:pos="798" w:val="left"/>
        </w:tabs>
        <w:numPr>
          <w:ilvl w:val="0"/>
          <w:numId w:val="47"/>
        </w:numPr>
        <w:rPr>
          <w:rFonts w:ascii="Arial" w:cs="Arial" w:eastAsia="Arial" w:hAnsi="Arial"/>
          <w:sz w:val="16"/>
          <w:szCs w:val="16"/>
          <w:color w:val="auto"/>
        </w:rPr>
      </w:pPr>
      <w:r>
        <w:rPr>
          <w:rFonts w:ascii="Arial" w:cs="Arial" w:eastAsia="Arial" w:hAnsi="Arial"/>
          <w:sz w:val="19"/>
          <w:szCs w:val="19"/>
          <w:u w:val="single" w:color="auto"/>
          <w:color w:val="auto"/>
        </w:rPr>
        <w:t>Settlement of Claims</w:t>
      </w:r>
      <w:r>
        <w:rPr>
          <w:rFonts w:ascii="Arial" w:cs="Arial" w:eastAsia="Arial" w:hAnsi="Arial"/>
          <w:sz w:val="19"/>
          <w:szCs w:val="19"/>
          <w:color w:val="auto"/>
        </w:rPr>
        <w:t>. The Company’s obligation to make the payments provided for in this Agreement and otherwise to perform its obligations hereunder shall not be affected by any circumstances, including, without limitation, any set-off, counterclaim, recoupment, defense or other right which the Company may have against the Executive or others.</w:t>
      </w:r>
    </w:p>
    <w:p>
      <w:pPr>
        <w:spacing w:after="0" w:line="31" w:lineRule="exact"/>
        <w:rPr>
          <w:rFonts w:ascii="Arial" w:cs="Arial" w:eastAsia="Arial" w:hAnsi="Arial"/>
          <w:sz w:val="16"/>
          <w:szCs w:val="16"/>
          <w:color w:val="auto"/>
        </w:rPr>
      </w:pPr>
    </w:p>
    <w:p>
      <w:pPr>
        <w:jc w:val="both"/>
        <w:ind w:firstLine="8"/>
        <w:spacing w:after="0" w:line="252" w:lineRule="auto"/>
        <w:tabs>
          <w:tab w:leader="none" w:pos="898" w:val="left"/>
        </w:tabs>
        <w:numPr>
          <w:ilvl w:val="0"/>
          <w:numId w:val="47"/>
        </w:numPr>
        <w:rPr>
          <w:rFonts w:ascii="Arial" w:cs="Arial" w:eastAsia="Arial" w:hAnsi="Arial"/>
          <w:sz w:val="16"/>
          <w:szCs w:val="16"/>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No provision of this Agreement may be modified, waived or discharged unless such waiver, modification or discharge is agreed to in writing and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w:t>
      </w:r>
    </w:p>
    <w:p>
      <w:pPr>
        <w:spacing w:after="0" w:line="54" w:lineRule="exact"/>
        <w:rPr>
          <w:rFonts w:ascii="Arial" w:cs="Arial" w:eastAsia="Arial" w:hAnsi="Arial"/>
          <w:sz w:val="16"/>
          <w:szCs w:val="16"/>
          <w:color w:val="auto"/>
        </w:rPr>
      </w:pPr>
    </w:p>
    <w:p>
      <w:pPr>
        <w:jc w:val="both"/>
        <w:ind w:firstLine="8"/>
        <w:spacing w:after="0" w:line="246" w:lineRule="auto"/>
        <w:tabs>
          <w:tab w:leader="none" w:pos="898" w:val="left"/>
        </w:tabs>
        <w:numPr>
          <w:ilvl w:val="0"/>
          <w:numId w:val="47"/>
        </w:numPr>
        <w:rPr>
          <w:rFonts w:ascii="Arial" w:cs="Arial" w:eastAsia="Arial" w:hAnsi="Arial"/>
          <w:sz w:val="16"/>
          <w:szCs w:val="16"/>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During the term of this Agreement and for a period of three (3) years after Executive’s termination, the Company shall indemnify Executive and hold Executive harmless from and against any claim, loss or cause of action arising from or out of Executive’s performance as an officer, director or employee of the Company or any of its subsidiaries or other affiliates or in any other capacity, including any fiduciary capacity, in which Executive serves at the Company’s request, in each case to the maximum extent permitted by law and under the Company’s Articles of Incorporation and By-Laws (the “Governing Documents”), provided that in no event shall the protection afforded to Executive hereunder be less than that afforded under the Governing Documents as in effect on the date of this Agreement except from changes mandated by law. During the Term and for a period of three (3) years, Executive shall be covered by any policy of directors’ and officers’ liability insurance maintained by the Company for the benefit of its then officers and directors.</w:t>
      </w:r>
    </w:p>
    <w:p>
      <w:pPr>
        <w:spacing w:after="0" w:line="63" w:lineRule="exact"/>
        <w:rPr>
          <w:rFonts w:ascii="Arial" w:cs="Arial" w:eastAsia="Arial" w:hAnsi="Arial"/>
          <w:sz w:val="16"/>
          <w:szCs w:val="16"/>
          <w:color w:val="auto"/>
        </w:rPr>
      </w:pPr>
    </w:p>
    <w:p>
      <w:pPr>
        <w:ind w:firstLine="8"/>
        <w:spacing w:after="0" w:line="239" w:lineRule="auto"/>
        <w:tabs>
          <w:tab w:leader="none" w:pos="898" w:val="left"/>
        </w:tabs>
        <w:numPr>
          <w:ilvl w:val="0"/>
          <w:numId w:val="47"/>
        </w:numPr>
        <w:rPr>
          <w:rFonts w:ascii="Arial" w:cs="Arial" w:eastAsia="Arial" w:hAnsi="Arial"/>
          <w:sz w:val="18"/>
          <w:szCs w:val="18"/>
          <w:color w:val="auto"/>
        </w:rPr>
      </w:pPr>
      <w:r>
        <w:rPr>
          <w:rFonts w:ascii="Arial" w:cs="Arial" w:eastAsia="Arial" w:hAnsi="Arial"/>
          <w:sz w:val="22"/>
          <w:szCs w:val="22"/>
          <w:u w:val="single" w:color="auto"/>
          <w:color w:val="auto"/>
        </w:rPr>
        <w:t>Termination, Amendments and Modifications</w:t>
      </w:r>
      <w:r>
        <w:rPr>
          <w:rFonts w:ascii="Arial" w:cs="Arial" w:eastAsia="Arial" w:hAnsi="Arial"/>
          <w:sz w:val="22"/>
          <w:szCs w:val="22"/>
          <w:color w:val="auto"/>
        </w:rPr>
        <w:t>. This Agreement may be terminated, amended or modified only by a writing signed by both parties hereto, which makes specific reference to this Agreement.</w:t>
      </w:r>
    </w:p>
    <w:p>
      <w:pPr>
        <w:spacing w:after="0" w:line="63" w:lineRule="exact"/>
        <w:rPr>
          <w:rFonts w:ascii="Arial" w:cs="Arial" w:eastAsia="Arial" w:hAnsi="Arial"/>
          <w:sz w:val="18"/>
          <w:szCs w:val="18"/>
          <w:color w:val="auto"/>
        </w:rPr>
      </w:pPr>
    </w:p>
    <w:p>
      <w:pPr>
        <w:jc w:val="both"/>
        <w:ind w:firstLine="8"/>
        <w:spacing w:after="0" w:line="275" w:lineRule="auto"/>
        <w:tabs>
          <w:tab w:leader="none" w:pos="898" w:val="left"/>
        </w:tabs>
        <w:numPr>
          <w:ilvl w:val="0"/>
          <w:numId w:val="47"/>
        </w:numPr>
        <w:rPr>
          <w:rFonts w:ascii="Arial" w:cs="Arial" w:eastAsia="Arial" w:hAnsi="Arial"/>
          <w:sz w:val="16"/>
          <w:szCs w:val="16"/>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and construed and enforced in accordance with the laws of the State of Georgia without giving effect to the conflict of laws principles thereof. Any action brought by any party to this Agreement shall be brought and maintained in a court of competent jurisdiction in Fulton County in the State of Georgia.</w:t>
      </w:r>
    </w:p>
    <w:p>
      <w:pPr>
        <w:spacing w:after="0" w:line="31" w:lineRule="exact"/>
        <w:rPr>
          <w:rFonts w:ascii="Arial" w:cs="Arial" w:eastAsia="Arial" w:hAnsi="Arial"/>
          <w:sz w:val="16"/>
          <w:szCs w:val="16"/>
          <w:color w:val="auto"/>
        </w:rPr>
      </w:pPr>
    </w:p>
    <w:p>
      <w:pPr>
        <w:ind w:firstLine="8"/>
        <w:spacing w:after="0" w:line="239" w:lineRule="auto"/>
        <w:tabs>
          <w:tab w:leader="none" w:pos="898" w:val="left"/>
        </w:tabs>
        <w:numPr>
          <w:ilvl w:val="0"/>
          <w:numId w:val="47"/>
        </w:numPr>
        <w:rPr>
          <w:rFonts w:ascii="Arial" w:cs="Arial" w:eastAsia="Arial" w:hAnsi="Arial"/>
          <w:sz w:val="18"/>
          <w:szCs w:val="18"/>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shall be deemed severable and the invalidity or unenforceability of any provision shall not affect the validity or enforceability of the other provisions hereof.</w:t>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238" w:right="339" w:bottom="1440" w:gutter="0" w:footer="0" w:header="0"/>
        </w:sectPr>
      </w:pPr>
    </w:p>
    <w:bookmarkStart w:id="111" w:name="page112"/>
    <w:bookmarkEnd w:id="111"/>
    <w:p>
      <w:pPr>
        <w:ind w:left="9680"/>
        <w:spacing w:after="0"/>
        <w:rPr>
          <w:sz w:val="20"/>
          <w:szCs w:val="20"/>
          <w:color w:val="auto"/>
        </w:rPr>
      </w:pPr>
      <w:r>
        <w:rPr>
          <w:rFonts w:ascii="Arial" w:cs="Arial" w:eastAsia="Arial" w:hAnsi="Arial"/>
          <w:sz w:val="17"/>
          <w:szCs w:val="17"/>
          <w:b w:val="1"/>
          <w:bCs w:val="1"/>
          <w:color w:val="auto"/>
        </w:rPr>
        <w:t>Exhibit 10(iii)A(81)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8"/>
        <w:spacing w:after="0" w:line="248" w:lineRule="auto"/>
        <w:tabs>
          <w:tab w:leader="none" w:pos="898" w:val="left"/>
        </w:tabs>
        <w:numPr>
          <w:ilvl w:val="0"/>
          <w:numId w:val="48"/>
        </w:numPr>
        <w:rPr>
          <w:rFonts w:ascii="Arial" w:cs="Arial" w:eastAsia="Arial" w:hAnsi="Arial"/>
          <w:sz w:val="16"/>
          <w:szCs w:val="16"/>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encompasses the entire agreement of the parties with respect to the subject matter hereto and supersedes all previous understandings and agreements between them with respect to the subject matter hereto, whether oral or written, except that the restrictive covenants in this Agreement shall not supersede any restrictive covenants set forth in any other agreement between the Company and Executive (“Other Restrictive Covenants”). To the extent that the Other Restrictive Covenants conflict with the provisions contained in this Agreement, the provisions that are more restrictive on Executive will control. The parties hereby acknowledge and represent, that they have not relied on any representation, assertion, guarantee, warranty, collateral contract or other assurance, except those set out in this Agreement, made by or on behalf of any other party or any other person or entity whatsoever, prior to the execution of this Agreement.</w:t>
      </w:r>
    </w:p>
    <w:p>
      <w:pPr>
        <w:spacing w:after="0" w:line="34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the Company has caused this Agreement to be executed by its duly authorized officer and the Executive has executed this Agreement as of the day and year first above written.</w:t>
      </w:r>
    </w:p>
    <w:p>
      <w:pPr>
        <w:spacing w:after="0" w:line="200" w:lineRule="exact"/>
        <w:rPr>
          <w:sz w:val="20"/>
          <w:szCs w:val="20"/>
          <w:color w:val="auto"/>
        </w:rPr>
      </w:pPr>
    </w:p>
    <w:p>
      <w:pPr>
        <w:spacing w:after="0" w:line="248"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ACUITY BRANDS, INC.</w:t>
      </w:r>
    </w:p>
    <w:p>
      <w:pPr>
        <w:spacing w:after="0" w:line="63" w:lineRule="exact"/>
        <w:rPr>
          <w:sz w:val="20"/>
          <w:szCs w:val="20"/>
          <w:color w:val="auto"/>
        </w:rPr>
      </w:pPr>
    </w:p>
    <w:p>
      <w:pPr>
        <w:ind w:left="6680"/>
        <w:spacing w:after="0"/>
        <w:tabs>
          <w:tab w:leader="none" w:pos="726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34290</wp:posOffset>
            </wp:positionV>
            <wp:extent cx="25285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58">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6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Vernon J. Nagel</w:t>
      </w:r>
    </w:p>
    <w:p>
      <w:pPr>
        <w:spacing w:after="0" w:line="6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Chairman, 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EXECUTIVE</w:t>
      </w:r>
    </w:p>
    <w:p>
      <w:pPr>
        <w:spacing w:after="0" w:line="6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Barry R.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31750</wp:posOffset>
            </wp:positionV>
            <wp:extent cx="2914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59">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53"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Barry R. Goldman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238" w:right="339"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left="1180"/>
        <w:spacing w:after="0"/>
        <w:rPr>
          <w:sz w:val="20"/>
          <w:szCs w:val="20"/>
          <w:color w:val="auto"/>
        </w:rPr>
      </w:pPr>
      <w:r>
        <w:rPr>
          <w:rFonts w:ascii="Arial" w:cs="Arial" w:eastAsia="Arial" w:hAnsi="Arial"/>
          <w:sz w:val="22"/>
          <w:szCs w:val="22"/>
          <w:b w:val="1"/>
          <w:bCs w:val="1"/>
          <w:color w:val="auto"/>
        </w:rPr>
        <w:t>APPENDIX A</w:t>
      </w:r>
    </w:p>
    <w:p>
      <w:pPr>
        <w:spacing w:after="0" w:line="220" w:lineRule="exact"/>
        <w:rPr>
          <w:sz w:val="20"/>
          <w:szCs w:val="20"/>
          <w:color w:val="auto"/>
        </w:rPr>
      </w:pPr>
    </w:p>
    <w:p>
      <w:pPr>
        <w:jc w:val="center"/>
        <w:ind w:left="1180"/>
        <w:spacing w:after="0"/>
        <w:rPr>
          <w:sz w:val="20"/>
          <w:szCs w:val="20"/>
          <w:color w:val="auto"/>
        </w:rPr>
      </w:pPr>
      <w:r>
        <w:rPr>
          <w:rFonts w:ascii="Arial" w:cs="Arial" w:eastAsia="Arial" w:hAnsi="Arial"/>
          <w:sz w:val="22"/>
          <w:szCs w:val="22"/>
          <w:b w:val="1"/>
          <w:bCs w:val="1"/>
          <w:color w:val="auto"/>
        </w:rPr>
        <w:t>BENEFIT PLANS AND AGREEMENTS</w:t>
      </w:r>
    </w:p>
    <w:p>
      <w:pPr>
        <w:spacing w:after="0" w:line="226" w:lineRule="exact"/>
        <w:rPr>
          <w:sz w:val="20"/>
          <w:szCs w:val="20"/>
          <w:color w:val="auto"/>
        </w:rPr>
      </w:pPr>
    </w:p>
    <w:p>
      <w:pPr>
        <w:jc w:val="center"/>
        <w:ind w:left="1180"/>
        <w:spacing w:after="0"/>
        <w:rPr>
          <w:sz w:val="20"/>
          <w:szCs w:val="20"/>
          <w:color w:val="auto"/>
        </w:rPr>
      </w:pPr>
      <w:r>
        <w:rPr>
          <w:rFonts w:ascii="Arial" w:cs="Arial" w:eastAsia="Arial" w:hAnsi="Arial"/>
          <w:sz w:val="19"/>
          <w:szCs w:val="19"/>
          <w:color w:val="auto"/>
        </w:rPr>
        <w:t>(Applicable to the Extent Executive Participates in Such Plans and Agreements)</w:t>
      </w:r>
    </w:p>
    <w:p>
      <w:pPr>
        <w:spacing w:after="0" w:line="200" w:lineRule="exact"/>
        <w:rPr>
          <w:sz w:val="20"/>
          <w:szCs w:val="20"/>
          <w:color w:val="auto"/>
        </w:rPr>
      </w:pPr>
    </w:p>
    <w:p>
      <w:pPr>
        <w:spacing w:after="0" w:line="392" w:lineRule="exact"/>
        <w:rPr>
          <w:sz w:val="20"/>
          <w:szCs w:val="20"/>
          <w:color w:val="auto"/>
        </w:rPr>
      </w:pPr>
    </w:p>
    <w:p>
      <w:pPr>
        <w:ind w:left="320" w:hanging="320"/>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22"/>
          <w:szCs w:val="22"/>
          <w:color w:val="auto"/>
        </w:rPr>
        <w:t>Management Cash Incentive Plan (or similar plan covering the Executive)</w:t>
      </w:r>
    </w:p>
    <w:p>
      <w:pPr>
        <w:spacing w:after="0" w:line="125" w:lineRule="exact"/>
        <w:rPr>
          <w:rFonts w:ascii="Arial" w:cs="Arial" w:eastAsia="Arial" w:hAnsi="Arial"/>
          <w:sz w:val="18"/>
          <w:szCs w:val="18"/>
          <w:color w:val="auto"/>
        </w:rPr>
      </w:pPr>
    </w:p>
    <w:p>
      <w:pPr>
        <w:ind w:left="320" w:hanging="320"/>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22"/>
          <w:szCs w:val="22"/>
          <w:color w:val="auto"/>
        </w:rPr>
        <w:t>Supplemental Deferred Savings Plan (or similar plan covering the Executive)</w:t>
      </w:r>
    </w:p>
    <w:p>
      <w:pPr>
        <w:spacing w:after="0" w:line="125" w:lineRule="exact"/>
        <w:rPr>
          <w:rFonts w:ascii="Arial" w:cs="Arial" w:eastAsia="Arial" w:hAnsi="Arial"/>
          <w:sz w:val="18"/>
          <w:szCs w:val="18"/>
          <w:color w:val="auto"/>
        </w:rPr>
      </w:pPr>
    </w:p>
    <w:p>
      <w:pPr>
        <w:ind w:left="320" w:hanging="320"/>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9"/>
          <w:szCs w:val="19"/>
          <w:color w:val="auto"/>
        </w:rPr>
        <w:t>Omnibus Stock Incentive Compensation Plan (or similar plan covering the Executive)</w:t>
      </w:r>
    </w:p>
    <w:p>
      <w:pPr>
        <w:spacing w:after="0" w:line="159" w:lineRule="exact"/>
        <w:rPr>
          <w:rFonts w:ascii="Arial" w:cs="Arial" w:eastAsia="Arial" w:hAnsi="Arial"/>
          <w:sz w:val="16"/>
          <w:szCs w:val="16"/>
          <w:color w:val="auto"/>
        </w:rPr>
      </w:pPr>
    </w:p>
    <w:p>
      <w:pPr>
        <w:ind w:left="320" w:hanging="320"/>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9"/>
          <w:szCs w:val="19"/>
          <w:color w:val="auto"/>
        </w:rPr>
        <w:t>401(k) Plan (or similar tax qualified deferred compensation plan covering the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Exhibit 10(iii)A(81)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2">
            <w:col w:w="8100" w:space="600"/>
            <w:col w:w="1560"/>
          </w:cols>
          <w:pgMar w:left="1300" w:top="238"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10(iii)A(82)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AGREEMENT</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AMENDMENT made and entered into on the dates set forth below by and between ACUITY BRANDS, INC. (the “Company”) and Barry R. Goldman (“Executive”);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WHEREAS, the Company and Executive entered into a Change in Control Agreement, dated as of March 28, 2018 (“CIC Agreement”), providing for the payment of certain compensation and benefits to Executive if Executive’s employment is terminated in connection with a Change in Control (as defined in the CIC Agreement); and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parties now desire to amend the CIC Agreement in the manner hereinafter provided;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CIC Agreement is hereby amended, as follows:</w:t>
      </w:r>
    </w:p>
    <w:p>
      <w:pPr>
        <w:spacing w:after="0" w:line="341"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22"/>
          <w:szCs w:val="22"/>
          <w:u w:val="single" w:color="auto"/>
          <w:color w:val="auto"/>
        </w:rPr>
        <w:t>Section 3.1(b)</w:t>
      </w:r>
      <w:r>
        <w:rPr>
          <w:rFonts w:ascii="Arial" w:cs="Arial" w:eastAsia="Arial" w:hAnsi="Arial"/>
          <w:sz w:val="22"/>
          <w:szCs w:val="22"/>
          <w:color w:val="auto"/>
        </w:rPr>
        <w:t xml:space="preserve"> is amended by adding a new subparagraph 3.1(b)(6) as follows:</w:t>
      </w:r>
    </w:p>
    <w:p>
      <w:pPr>
        <w:spacing w:after="0" w:line="21" w:lineRule="exact"/>
        <w:rPr>
          <w:rFonts w:ascii="Arial" w:cs="Arial" w:eastAsia="Arial" w:hAnsi="Arial"/>
          <w:sz w:val="18"/>
          <w:szCs w:val="18"/>
          <w:color w:val="auto"/>
        </w:rPr>
      </w:pPr>
    </w:p>
    <w:p>
      <w:pPr>
        <w:jc w:val="both"/>
        <w:ind w:left="660" w:firstLine="644"/>
        <w:spacing w:after="0" w:line="295" w:lineRule="auto"/>
        <w:tabs>
          <w:tab w:leader="none" w:pos="1638" w:val="left"/>
        </w:tabs>
        <w:numPr>
          <w:ilvl w:val="1"/>
          <w:numId w:val="50"/>
        </w:numPr>
        <w:rPr>
          <w:rFonts w:ascii="Arial" w:cs="Arial" w:eastAsia="Arial" w:hAnsi="Arial"/>
          <w:sz w:val="19"/>
          <w:szCs w:val="19"/>
          <w:color w:val="auto"/>
        </w:rPr>
      </w:pPr>
      <w:r>
        <w:rPr>
          <w:rFonts w:ascii="Arial" w:cs="Arial" w:eastAsia="Arial" w:hAnsi="Arial"/>
          <w:sz w:val="19"/>
          <w:szCs w:val="19"/>
          <w:color w:val="auto"/>
        </w:rPr>
        <w:t>Any benefit payable in accordance with the terms of the Acuity Brands, Inc. 2002 Supplemental Executive Retirement Plan, as Amended and Restated Effective July 1, 2019, except as otherwise noted (the “SERP”); provided that if Executive’s Termination Date occurs prior to the date that Executive has three (3) Years of Credited Service (as defined in the SERP), Executive shall be deemed to have earned three (3) Years of Credited Service thereunder.</w:t>
      </w:r>
    </w:p>
    <w:p>
      <w:pPr>
        <w:spacing w:after="0" w:line="271" w:lineRule="exact"/>
        <w:rPr>
          <w:rFonts w:ascii="Arial" w:cs="Arial" w:eastAsia="Arial" w:hAnsi="Arial"/>
          <w:sz w:val="19"/>
          <w:szCs w:val="19"/>
          <w:color w:val="auto"/>
        </w:rPr>
      </w:pPr>
    </w:p>
    <w:p>
      <w:pPr>
        <w:ind w:left="660" w:hanging="652"/>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22"/>
          <w:szCs w:val="22"/>
          <w:color w:val="auto"/>
        </w:rPr>
        <w:t>This Amendment to the CIC Agreement shall be effective on August 20, 2019. Except as hereby modified, the CIC Agreement shall remain in full force and effect.</w:t>
      </w:r>
    </w:p>
    <w:p>
      <w:pPr>
        <w:spacing w:after="0" w:line="39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2"/>
          <w:szCs w:val="22"/>
          <w:color w:val="auto"/>
        </w:rPr>
        <w:t>IN WITNESS WHEREOF, the parties have executed this Amendment on the date(s) written below.</w:t>
      </w:r>
    </w:p>
    <w:p>
      <w:pPr>
        <w:spacing w:after="0" w:line="200" w:lineRule="exact"/>
        <w:rPr>
          <w:sz w:val="20"/>
          <w:szCs w:val="20"/>
          <w:color w:val="auto"/>
        </w:rPr>
      </w:pPr>
    </w:p>
    <w:p>
      <w:pPr>
        <w:spacing w:after="0" w:line="293"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5220" w:type="dxa"/>
            <w:vAlign w:val="bottom"/>
            <w:gridSpan w:val="2"/>
          </w:tcPr>
          <w:p>
            <w:pPr>
              <w:ind w:left="340"/>
              <w:spacing w:after="0"/>
              <w:rPr>
                <w:sz w:val="20"/>
                <w:szCs w:val="20"/>
                <w:color w:val="auto"/>
              </w:rPr>
            </w:pPr>
            <w:r>
              <w:rPr>
                <w:rFonts w:ascii="Arial" w:cs="Arial" w:eastAsia="Arial" w:hAnsi="Arial"/>
                <w:sz w:val="18"/>
                <w:szCs w:val="18"/>
                <w:b w:val="1"/>
                <w:bCs w:val="1"/>
                <w:color w:val="auto"/>
              </w:rPr>
              <w:t>COMPANY</w:t>
            </w:r>
          </w:p>
        </w:tc>
      </w:tr>
      <w:tr>
        <w:trPr>
          <w:trHeight w:val="500"/>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EXECUTIVE</w:t>
            </w:r>
          </w:p>
        </w:tc>
        <w:tc>
          <w:tcPr>
            <w:tcW w:w="5220" w:type="dxa"/>
            <w:vAlign w:val="bottom"/>
            <w:gridSpan w:val="2"/>
          </w:tcPr>
          <w:p>
            <w:pPr>
              <w:ind w:left="340"/>
              <w:spacing w:after="0"/>
              <w:rPr>
                <w:sz w:val="20"/>
                <w:szCs w:val="20"/>
                <w:color w:val="auto"/>
              </w:rPr>
            </w:pPr>
            <w:r>
              <w:rPr>
                <w:rFonts w:ascii="Arial" w:cs="Arial" w:eastAsia="Arial" w:hAnsi="Arial"/>
                <w:sz w:val="18"/>
                <w:szCs w:val="18"/>
                <w:b w:val="1"/>
                <w:bCs w:val="1"/>
                <w:color w:val="auto"/>
              </w:rPr>
              <w:t>ACUITY BRANDS, INC.</w:t>
            </w:r>
          </w:p>
        </w:tc>
      </w:tr>
      <w:tr>
        <w:trPr>
          <w:trHeight w:val="270"/>
        </w:trPr>
        <w:tc>
          <w:tcPr>
            <w:tcW w:w="5000" w:type="dxa"/>
            <w:vAlign w:val="bottom"/>
          </w:tcPr>
          <w:p>
            <w:pPr>
              <w:ind w:left="20"/>
              <w:spacing w:after="0"/>
              <w:rPr>
                <w:sz w:val="20"/>
                <w:szCs w:val="20"/>
                <w:color w:val="auto"/>
              </w:rPr>
            </w:pPr>
            <w:r>
              <w:rPr>
                <w:rFonts w:ascii="Arial" w:cs="Arial" w:eastAsia="Arial" w:hAnsi="Arial"/>
                <w:sz w:val="18"/>
                <w:szCs w:val="18"/>
                <w:color w:val="auto"/>
              </w:rPr>
              <w:t>/s/ Barry R. Goldman</w:t>
            </w:r>
          </w:p>
        </w:tc>
        <w:tc>
          <w:tcPr>
            <w:tcW w:w="5220" w:type="dxa"/>
            <w:vAlign w:val="bottom"/>
            <w:gridSpan w:val="2"/>
          </w:tcPr>
          <w:p>
            <w:pPr>
              <w:ind w:left="640"/>
              <w:spacing w:after="0"/>
              <w:rPr>
                <w:sz w:val="20"/>
                <w:szCs w:val="20"/>
                <w:color w:val="auto"/>
              </w:rPr>
            </w:pPr>
            <w:r>
              <w:rPr>
                <w:rFonts w:ascii="Arial" w:cs="Arial" w:eastAsia="Arial" w:hAnsi="Arial"/>
                <w:sz w:val="18"/>
                <w:szCs w:val="18"/>
                <w:color w:val="auto"/>
              </w:rPr>
              <w:t>By: /s/ Vernon J. Nagel</w:t>
            </w:r>
          </w:p>
        </w:tc>
      </w:tr>
      <w:tr>
        <w:trPr>
          <w:trHeight w:val="27"/>
        </w:trPr>
        <w:tc>
          <w:tcPr>
            <w:tcW w:w="500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Barry R. Goldman</w:t>
            </w:r>
          </w:p>
        </w:tc>
        <w:tc>
          <w:tcPr>
            <w:tcW w:w="9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VERNON J. NAGEL</w:t>
            </w:r>
          </w:p>
        </w:tc>
      </w:tr>
      <w:tr>
        <w:trPr>
          <w:trHeight w:val="270"/>
        </w:trPr>
        <w:tc>
          <w:tcPr>
            <w:tcW w:w="5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Chairman, 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40"/>
        <w:spacing w:after="0"/>
        <w:tabs>
          <w:tab w:leader="none" w:pos="5840" w:val="left"/>
        </w:tabs>
        <w:rPr>
          <w:sz w:val="20"/>
          <w:szCs w:val="20"/>
          <w:color w:val="auto"/>
        </w:rPr>
      </w:pPr>
      <w:r>
        <w:rPr>
          <w:rFonts w:ascii="Arial" w:cs="Arial" w:eastAsia="Arial" w:hAnsi="Arial"/>
          <w:sz w:val="18"/>
          <w:szCs w:val="18"/>
          <w:b w:val="1"/>
          <w:bCs w:val="1"/>
          <w:color w:val="auto"/>
        </w:rPr>
        <w:t>Date:________________________________</w:t>
      </w:r>
      <w:r>
        <w:rPr>
          <w:sz w:val="20"/>
          <w:szCs w:val="20"/>
          <w:color w:val="auto"/>
        </w:rPr>
        <w:tab/>
      </w:r>
      <w:r>
        <w:rPr>
          <w:rFonts w:ascii="Arial" w:cs="Arial" w:eastAsia="Arial" w:hAnsi="Arial"/>
          <w:sz w:val="16"/>
          <w:szCs w:val="16"/>
          <w:color w:val="auto"/>
        </w:rPr>
        <w:t>Date:_______________________________</w:t>
      </w:r>
    </w:p>
    <w:p>
      <w:pPr>
        <w:sectPr>
          <w:pgSz w:w="11900" w:h="16838" w:orient="portrait"/>
          <w:cols w:equalWidth="0" w:num="1">
            <w:col w:w="11240"/>
          </w:cols>
          <w:pgMar w:left="320" w:top="238" w:right="339" w:bottom="1440" w:gutter="0" w:footer="0" w:header="0"/>
        </w:sectPr>
      </w:pPr>
    </w:p>
    <w:bookmarkStart w:id="114" w:name="page115"/>
    <w:bookmarkEnd w:id="114"/>
    <w:p>
      <w:pPr>
        <w:ind w:left="9680"/>
        <w:spacing w:after="0"/>
        <w:rPr>
          <w:sz w:val="20"/>
          <w:szCs w:val="20"/>
          <w:color w:val="auto"/>
        </w:rPr>
      </w:pPr>
      <w:r>
        <w:rPr>
          <w:rFonts w:ascii="Arial" w:cs="Arial" w:eastAsia="Arial" w:hAnsi="Arial"/>
          <w:sz w:val="17"/>
          <w:szCs w:val="17"/>
          <w:b w:val="1"/>
          <w:bCs w:val="1"/>
          <w:color w:val="auto"/>
        </w:rPr>
        <w:t>Exhibit 10(iii)A(83)</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ACUITY BRANDS,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SEVERANCE AGREEMENT</w:t>
      </w:r>
    </w:p>
    <w:p>
      <w:pPr>
        <w:spacing w:after="0" w:line="20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THIS SEVERANCE AGREEMENT (the “Agreement”) is made and entered into as of this 28th day of March, 2018, by and between ACUITY BRANDS, INC., a Delaware corporation (the “Company”), and </w:t>
      </w:r>
      <w:r>
        <w:rPr>
          <w:rFonts w:ascii="Arial" w:cs="Arial" w:eastAsia="Arial" w:hAnsi="Arial"/>
          <w:sz w:val="20"/>
          <w:szCs w:val="20"/>
          <w:b w:val="1"/>
          <w:bCs w:val="1"/>
          <w:color w:val="auto"/>
        </w:rPr>
        <w:t>Barry R. Goldman</w:t>
      </w:r>
      <w:r>
        <w:rPr>
          <w:rFonts w:ascii="Arial" w:cs="Arial" w:eastAsia="Arial" w:hAnsi="Arial"/>
          <w:sz w:val="20"/>
          <w:szCs w:val="20"/>
          <w:color w:val="auto"/>
        </w:rPr>
        <w:t xml:space="preserve"> (“Executive”).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WITNESSETH:</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Executive is a key employee of the Company and an integral part of the Company’s management;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WHEREAS, the Company desires to provide the Executive with certain benefits if the Executive’s employment is terminated involuntarily under certain circumstances;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and the Executive have determined it is in their mutual best interests to enter into this Agreement; and</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parties hereby agree as follows:</w:t>
      </w:r>
    </w:p>
    <w:p>
      <w:pPr>
        <w:spacing w:after="0" w:line="331"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20"/>
          <w:szCs w:val="20"/>
          <w:b w:val="1"/>
          <w:bCs w:val="1"/>
          <w:color w:val="auto"/>
        </w:rPr>
        <w:t>TERM OF AGREEMENT.</w:t>
      </w:r>
    </w:p>
    <w:p>
      <w:pPr>
        <w:spacing w:after="0" w:line="2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This Agreement shall commence on the date hereof and shall continue unless or until terminated as provided herein. This Agreement shall not be considered an employment agreement and in no way guarantees Executive the right to continue in the employment of the Company or its affiliates. Executive’s employment is considered employment at will, subject to Executive’s right to receive payments and benefits upon certain terminations of employment as provided below.</w:t>
      </w:r>
    </w:p>
    <w:p>
      <w:pPr>
        <w:spacing w:after="0" w:line="194"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As of the date hereof, to the extent that the Executive and the Company have previously entered into a severance agreement related to the terms and conditions addressed in this Agreement, such agreement is superseded and replaced in its entirety by this Agreement. Unless it is specifically provided otherwise, this Agreement does not supersede any Change in Control Agreement between the parties that relates specifically to termination and severance benefits in connection with a “change in control” (as defined in such Change in Control Agreement) of the Company.</w:t>
      </w:r>
    </w:p>
    <w:p>
      <w:pPr>
        <w:spacing w:after="0" w:line="310"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20"/>
          <w:szCs w:val="20"/>
          <w:b w:val="1"/>
          <w:bCs w:val="1"/>
          <w:color w:val="auto"/>
        </w:rPr>
        <w:t>DEFINITIONS.</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For purposes of this Agreement, the following terms shall have the meanings specified below:</w:t>
      </w:r>
    </w:p>
    <w:p>
      <w:pPr>
        <w:spacing w:after="0" w:line="315"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or “</w:t>
      </w:r>
      <w:r>
        <w:rPr>
          <w:rFonts w:ascii="Arial" w:cs="Arial" w:eastAsia="Arial" w:hAnsi="Arial"/>
          <w:sz w:val="18"/>
          <w:szCs w:val="18"/>
          <w:b w:val="1"/>
          <w:bCs w:val="1"/>
          <w:color w:val="auto"/>
        </w:rPr>
        <w:t>Board of Directors”</w:t>
      </w:r>
      <w:r>
        <w:rPr>
          <w:rFonts w:ascii="Arial" w:cs="Arial" w:eastAsia="Arial" w:hAnsi="Arial"/>
          <w:sz w:val="18"/>
          <w:szCs w:val="18"/>
          <w:color w:val="auto"/>
        </w:rPr>
        <w:t>. The Board of Directors of Acuity Brands, Inc., or its successor.</w:t>
      </w:r>
    </w:p>
    <w:p>
      <w:pPr>
        <w:spacing w:after="0" w:line="108" w:lineRule="exact"/>
        <w:rPr>
          <w:sz w:val="20"/>
          <w:szCs w:val="20"/>
          <w:color w:val="auto"/>
        </w:rPr>
      </w:pPr>
    </w:p>
    <w:p>
      <w:pPr>
        <w:ind w:firstLine="648"/>
        <w:spacing w:after="0" w:line="29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The involuntary termination of Executive by the Company for the following reasons shall constitute a</w:t>
      </w:r>
      <w:r>
        <w:rPr>
          <w:rFonts w:ascii="Arial" w:cs="Arial" w:eastAsia="Arial" w:hAnsi="Arial"/>
          <w:sz w:val="18"/>
          <w:szCs w:val="18"/>
          <w:color w:val="auto"/>
        </w:rPr>
        <w:t xml:space="preserve"> </w:t>
      </w:r>
      <w:r>
        <w:rPr>
          <w:rFonts w:ascii="Arial" w:cs="Arial" w:eastAsia="Arial" w:hAnsi="Arial"/>
          <w:sz w:val="19"/>
          <w:szCs w:val="19"/>
          <w:color w:val="auto"/>
        </w:rPr>
        <w:t>termination for Cause:</w:t>
      </w:r>
    </w:p>
    <w:p>
      <w:pPr>
        <w:spacing w:after="0" w:line="40" w:lineRule="exact"/>
        <w:rPr>
          <w:sz w:val="20"/>
          <w:szCs w:val="20"/>
          <w:color w:val="auto"/>
        </w:rPr>
      </w:pPr>
    </w:p>
    <w:p>
      <w:pPr>
        <w:ind w:left="660" w:right="20" w:firstLine="644"/>
        <w:spacing w:after="0" w:line="260" w:lineRule="auto"/>
        <w:tabs>
          <w:tab w:leader="none" w:pos="2176" w:val="left"/>
        </w:tabs>
        <w:numPr>
          <w:ilvl w:val="0"/>
          <w:numId w:val="53"/>
        </w:numPr>
        <w:rPr>
          <w:rFonts w:ascii="Arial" w:cs="Arial" w:eastAsia="Arial" w:hAnsi="Arial"/>
          <w:sz w:val="18"/>
          <w:szCs w:val="18"/>
          <w:color w:val="auto"/>
        </w:rPr>
      </w:pPr>
      <w:r>
        <w:rPr>
          <w:rFonts w:ascii="Arial" w:cs="Arial" w:eastAsia="Arial" w:hAnsi="Arial"/>
          <w:sz w:val="20"/>
          <w:szCs w:val="20"/>
          <w:color w:val="auto"/>
        </w:rPr>
        <w:t>If termination shall have been the result of an act or acts by the Executive which have been found in an applicable court of law to constitute a felony (other than traffic-related offenses);</w:t>
      </w:r>
    </w:p>
    <w:p>
      <w:pPr>
        <w:spacing w:after="0" w:line="68" w:lineRule="exact"/>
        <w:rPr>
          <w:rFonts w:ascii="Arial" w:cs="Arial" w:eastAsia="Arial" w:hAnsi="Arial"/>
          <w:sz w:val="18"/>
          <w:szCs w:val="18"/>
          <w:color w:val="auto"/>
        </w:rPr>
      </w:pPr>
    </w:p>
    <w:p>
      <w:pPr>
        <w:ind w:left="660" w:firstLine="644"/>
        <w:spacing w:after="0" w:line="316" w:lineRule="auto"/>
        <w:tabs>
          <w:tab w:leader="none" w:pos="2176" w:val="left"/>
        </w:tabs>
        <w:numPr>
          <w:ilvl w:val="0"/>
          <w:numId w:val="53"/>
        </w:numPr>
        <w:rPr>
          <w:rFonts w:ascii="Arial" w:cs="Arial" w:eastAsia="Arial" w:hAnsi="Arial"/>
          <w:sz w:val="16"/>
          <w:szCs w:val="16"/>
          <w:color w:val="auto"/>
        </w:rPr>
      </w:pPr>
      <w:r>
        <w:rPr>
          <w:rFonts w:ascii="Arial" w:cs="Arial" w:eastAsia="Arial" w:hAnsi="Arial"/>
          <w:sz w:val="18"/>
          <w:szCs w:val="18"/>
          <w:color w:val="auto"/>
        </w:rPr>
        <w:t>If termination shall have been the result of an act or acts by the Executive which are in the good faith judgment of the Company to be in violation of law or of written policies of the Company and which result in material injury to the Company;</w:t>
      </w:r>
    </w:p>
    <w:p>
      <w:pPr>
        <w:spacing w:after="0" w:line="21" w:lineRule="exact"/>
        <w:rPr>
          <w:rFonts w:ascii="Arial" w:cs="Arial" w:eastAsia="Arial" w:hAnsi="Arial"/>
          <w:sz w:val="16"/>
          <w:szCs w:val="16"/>
          <w:color w:val="auto"/>
        </w:rPr>
      </w:pPr>
    </w:p>
    <w:p>
      <w:pPr>
        <w:ind w:left="660" w:right="20" w:firstLine="644"/>
        <w:spacing w:after="0" w:line="287" w:lineRule="auto"/>
        <w:tabs>
          <w:tab w:leader="none" w:pos="2166" w:val="left"/>
        </w:tabs>
        <w:numPr>
          <w:ilvl w:val="0"/>
          <w:numId w:val="53"/>
        </w:numPr>
        <w:rPr>
          <w:rFonts w:ascii="Arial" w:cs="Arial" w:eastAsia="Arial" w:hAnsi="Arial"/>
          <w:sz w:val="17"/>
          <w:szCs w:val="17"/>
          <w:color w:val="auto"/>
        </w:rPr>
      </w:pPr>
      <w:r>
        <w:rPr>
          <w:rFonts w:ascii="Arial" w:cs="Arial" w:eastAsia="Arial" w:hAnsi="Arial"/>
          <w:sz w:val="19"/>
          <w:szCs w:val="19"/>
          <w:color w:val="auto"/>
        </w:rPr>
        <w:t>If termination shall have been the result of an act or acts of dishonesty by the Executive resulting or intended to result directly or indirectly in gain or personal enrichment to the Executive at the expense of the Company; or</w:t>
      </w:r>
    </w:p>
    <w:p>
      <w:pPr>
        <w:spacing w:after="0" w:line="44" w:lineRule="exact"/>
        <w:rPr>
          <w:rFonts w:ascii="Arial" w:cs="Arial" w:eastAsia="Arial" w:hAnsi="Arial"/>
          <w:sz w:val="17"/>
          <w:szCs w:val="17"/>
          <w:color w:val="auto"/>
        </w:rPr>
      </w:pPr>
    </w:p>
    <w:p>
      <w:pPr>
        <w:jc w:val="both"/>
        <w:ind w:left="660" w:firstLine="644"/>
        <w:spacing w:after="0" w:line="243" w:lineRule="auto"/>
        <w:tabs>
          <w:tab w:leader="none" w:pos="2176" w:val="left"/>
        </w:tabs>
        <w:numPr>
          <w:ilvl w:val="0"/>
          <w:numId w:val="53"/>
        </w:numPr>
        <w:rPr>
          <w:rFonts w:ascii="Arial" w:cs="Arial" w:eastAsia="Arial" w:hAnsi="Arial"/>
          <w:sz w:val="18"/>
          <w:szCs w:val="18"/>
          <w:color w:val="auto"/>
        </w:rPr>
      </w:pPr>
      <w:r>
        <w:rPr>
          <w:rFonts w:ascii="Arial" w:cs="Arial" w:eastAsia="Arial" w:hAnsi="Arial"/>
          <w:sz w:val="20"/>
          <w:szCs w:val="20"/>
          <w:color w:val="auto"/>
        </w:rPr>
        <w:t>Upon the continued failure by the Executive substantially to perform the duties reasonably assigned to Executive given Executive’s training and experience (other than any such failure resulting from incapacity due to mental or physical illness not constituting a Disability, as defined herein), after a demand in</w:t>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238" w:right="339" w:bottom="1440" w:gutter="0" w:footer="0" w:header="0"/>
        </w:sectPr>
      </w:pPr>
    </w:p>
    <w:bookmarkStart w:id="115" w:name="page116"/>
    <w:bookmarkEnd w:id="115"/>
    <w:p>
      <w:pPr>
        <w:ind w:firstLine="648"/>
        <w:spacing w:after="0" w:line="255" w:lineRule="auto"/>
        <w:framePr w:w="980" w:h="392" w:wrap="auto" w:vAnchor="page" w:hAnchor="page" w:x="280" w:y="5863"/>
        <w:rPr>
          <w:rFonts w:ascii="Arial" w:cs="Arial" w:eastAsia="Arial" w:hAnsi="Arial"/>
          <w:sz w:val="16"/>
          <w:szCs w:val="16"/>
          <w:color w:val="auto"/>
        </w:rPr>
      </w:pPr>
      <w:r>
        <w:rPr>
          <w:rFonts w:ascii="Arial" w:cs="Arial" w:eastAsia="Arial" w:hAnsi="Arial"/>
          <w:sz w:val="16"/>
          <w:szCs w:val="16"/>
          <w:color w:val="auto"/>
        </w:rPr>
        <w:t>2.8 thereunder.</w:t>
      </w:r>
    </w:p>
    <w:p>
      <w:pPr>
        <w:ind w:left="9680"/>
        <w:spacing w:after="0"/>
        <w:rPr>
          <w:sz w:val="20"/>
          <w:szCs w:val="20"/>
          <w:color w:val="auto"/>
        </w:rPr>
      </w:pPr>
      <w:r>
        <w:rPr>
          <w:rFonts w:ascii="Arial" w:cs="Arial" w:eastAsia="Arial" w:hAnsi="Arial"/>
          <w:sz w:val="17"/>
          <w:szCs w:val="17"/>
          <w:b w:val="1"/>
          <w:bCs w:val="1"/>
          <w:color w:val="auto"/>
        </w:rPr>
        <w:t>Exhibit 10(iii)A(83)</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2" w:lineRule="exact"/>
        <w:rPr>
          <w:rFonts w:ascii="Arial" w:cs="Arial" w:eastAsia="Arial" w:hAnsi="Arial"/>
          <w:sz w:val="16"/>
          <w:szCs w:val="16"/>
          <w:color w:val="auto"/>
        </w:rPr>
      </w:pPr>
    </w:p>
    <w:p>
      <w:pPr>
        <w:jc w:val="both"/>
        <w:ind w:left="660"/>
        <w:spacing w:after="0" w:line="230" w:lineRule="auto"/>
        <w:rPr>
          <w:sz w:val="20"/>
          <w:szCs w:val="20"/>
          <w:color w:val="auto"/>
        </w:rPr>
      </w:pPr>
      <w:r>
        <w:rPr>
          <w:rFonts w:ascii="Arial" w:cs="Arial" w:eastAsia="Arial" w:hAnsi="Arial"/>
          <w:sz w:val="20"/>
          <w:szCs w:val="20"/>
          <w:color w:val="auto"/>
        </w:rPr>
        <w:t>writing for substantial performance of such duties is delivered by the Company, which demand specifically identifies the manner in which the Company believes that the Executive has not substantially performed his/her duties and such failure results in material injury to the Company.</w:t>
      </w:r>
    </w:p>
    <w:p>
      <w:pPr>
        <w:spacing w:after="0" w:line="3" w:lineRule="exact"/>
        <w:rPr>
          <w:rFonts w:ascii="Arial" w:cs="Arial" w:eastAsia="Arial" w:hAnsi="Arial"/>
          <w:sz w:val="16"/>
          <w:szCs w:val="16"/>
          <w:color w:val="auto"/>
        </w:rPr>
      </w:pPr>
    </w:p>
    <w:p>
      <w:pPr>
        <w:jc w:val="both"/>
        <w:ind w:firstLine="648"/>
        <w:spacing w:after="0"/>
        <w:rPr>
          <w:sz w:val="20"/>
          <w:szCs w:val="20"/>
          <w:color w:val="auto"/>
        </w:rPr>
      </w:pPr>
      <w:r>
        <w:rPr>
          <w:rFonts w:ascii="Arial" w:cs="Arial" w:eastAsia="Arial" w:hAnsi="Arial"/>
          <w:sz w:val="20"/>
          <w:szCs w:val="20"/>
          <w:color w:val="auto"/>
        </w:rPr>
        <w:t>If Executive’s employment is terminated for any reason, the supervising executive to whom Executive directly reports (the “Supervising Executive”) shall make a determination whether or not the termination was for Cause. If the Supervising Executive determines that the termination was for Cause, then, within thirty (30) days of such termination, the Company shall provide written notice to the Executive indicating that the termination was for Cause and noting that benefits will not be made available to the Executive pursuant to this Agreement.</w:t>
      </w:r>
    </w:p>
    <w:p>
      <w:pPr>
        <w:spacing w:after="0" w:line="97" w:lineRule="exact"/>
        <w:rPr>
          <w:rFonts w:ascii="Arial" w:cs="Arial" w:eastAsia="Arial" w:hAnsi="Arial"/>
          <w:sz w:val="16"/>
          <w:szCs w:val="16"/>
          <w:color w:val="auto"/>
        </w:rPr>
      </w:pPr>
    </w:p>
    <w:p>
      <w:pPr>
        <w:jc w:val="both"/>
        <w:ind w:firstLine="648"/>
        <w:spacing w:after="0" w:line="26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9"/>
          <w:szCs w:val="19"/>
          <w:b w:val="1"/>
          <w:bCs w:val="1"/>
          <w:color w:val="auto"/>
        </w:rPr>
        <w:t>“Change in Control Agreement”</w:t>
      </w:r>
      <w:r>
        <w:rPr>
          <w:rFonts w:ascii="Arial" w:cs="Arial" w:eastAsia="Arial" w:hAnsi="Arial"/>
          <w:sz w:val="19"/>
          <w:szCs w:val="19"/>
          <w:color w:val="auto"/>
        </w:rPr>
        <w:t>. An agreement between Executive and the Company providing for the payment of</w:t>
      </w:r>
      <w:r>
        <w:rPr>
          <w:rFonts w:ascii="Arial" w:cs="Arial" w:eastAsia="Arial" w:hAnsi="Arial"/>
          <w:sz w:val="18"/>
          <w:szCs w:val="18"/>
          <w:color w:val="auto"/>
        </w:rPr>
        <w:t xml:space="preserve"> </w:t>
      </w:r>
      <w:r>
        <w:rPr>
          <w:rFonts w:ascii="Arial" w:cs="Arial" w:eastAsia="Arial" w:hAnsi="Arial"/>
          <w:sz w:val="19"/>
          <w:szCs w:val="19"/>
          <w:color w:val="auto"/>
        </w:rPr>
        <w:t>compensation and benefits to Executive in the event of Executive’s termination of employment under certain circumstances following a “change in control” of the Company (as defined in such agreement).</w:t>
      </w:r>
    </w:p>
    <w:p>
      <w:pPr>
        <w:spacing w:after="0" w:line="59" w:lineRule="exact"/>
        <w:rPr>
          <w:rFonts w:ascii="Arial" w:cs="Arial" w:eastAsia="Arial" w:hAnsi="Arial"/>
          <w:sz w:val="16"/>
          <w:szCs w:val="16"/>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Acuity Brands, Inc., a Delaware corporation, or any successor to its business and/or assets.</w:t>
      </w:r>
    </w:p>
    <w:p>
      <w:pPr>
        <w:spacing w:after="0" w:line="144" w:lineRule="exact"/>
        <w:rPr>
          <w:rFonts w:ascii="Arial" w:cs="Arial" w:eastAsia="Arial" w:hAnsi="Arial"/>
          <w:sz w:val="16"/>
          <w:szCs w:val="16"/>
          <w:color w:val="auto"/>
        </w:rPr>
      </w:pPr>
    </w:p>
    <w:p>
      <w:pPr>
        <w:jc w:val="both"/>
        <w:ind w:firstLine="648"/>
        <w:spacing w:after="0" w:line="252" w:lineRule="auto"/>
        <w:rPr>
          <w:sz w:val="20"/>
          <w:szCs w:val="20"/>
          <w:color w:val="auto"/>
        </w:rPr>
      </w:pPr>
      <w:r>
        <w:rPr>
          <w:rFonts w:ascii="Arial" w:cs="Arial" w:eastAsia="Arial" w:hAnsi="Arial"/>
          <w:sz w:val="20"/>
          <w:szCs w:val="20"/>
          <w:color w:val="auto"/>
        </w:rPr>
        <w:t xml:space="preserve">2.5 </w:t>
      </w:r>
      <w:r>
        <w:rPr>
          <w:rFonts w:ascii="Arial" w:cs="Arial" w:eastAsia="Arial" w:hAnsi="Arial"/>
          <w:sz w:val="20"/>
          <w:szCs w:val="20"/>
          <w:b w:val="1"/>
          <w:bCs w:val="1"/>
          <w:color w:val="auto"/>
        </w:rPr>
        <w:t>“Date of Termination</w:t>
      </w:r>
      <w:r>
        <w:rPr>
          <w:rFonts w:ascii="Arial" w:cs="Arial" w:eastAsia="Arial" w:hAnsi="Arial"/>
          <w:sz w:val="20"/>
          <w:szCs w:val="20"/>
          <w:color w:val="auto"/>
        </w:rPr>
        <w:t>”. The date specified in the Notice of Termination (which may be immediate) as the date upon which the Executive’s employment with the Company is to cease.</w:t>
      </w:r>
    </w:p>
    <w:p>
      <w:pPr>
        <w:spacing w:after="0" w:line="71" w:lineRule="exact"/>
        <w:rPr>
          <w:rFonts w:ascii="Arial" w:cs="Arial" w:eastAsia="Arial" w:hAnsi="Arial"/>
          <w:sz w:val="16"/>
          <w:szCs w:val="16"/>
          <w:color w:val="auto"/>
        </w:rPr>
      </w:pPr>
    </w:p>
    <w:p>
      <w:pPr>
        <w:jc w:val="both"/>
        <w:ind w:firstLine="648"/>
        <w:spacing w:after="0" w:line="239" w:lineRule="auto"/>
        <w:rPr>
          <w:sz w:val="20"/>
          <w:szCs w:val="20"/>
          <w:color w:val="auto"/>
        </w:rPr>
      </w:pPr>
      <w:r>
        <w:rPr>
          <w:rFonts w:ascii="Arial" w:cs="Arial" w:eastAsia="Arial" w:hAnsi="Arial"/>
          <w:sz w:val="20"/>
          <w:szCs w:val="20"/>
          <w:color w:val="auto"/>
        </w:rPr>
        <w:t xml:space="preserve">2.6 </w:t>
      </w:r>
      <w:r>
        <w:rPr>
          <w:rFonts w:ascii="Arial" w:cs="Arial" w:eastAsia="Arial" w:hAnsi="Arial"/>
          <w:sz w:val="20"/>
          <w:szCs w:val="20"/>
          <w:b w:val="1"/>
          <w:bCs w:val="1"/>
          <w:color w:val="auto"/>
        </w:rPr>
        <w:t>“Disability”.</w:t>
      </w:r>
      <w:r>
        <w:rPr>
          <w:rFonts w:ascii="Arial" w:cs="Arial" w:eastAsia="Arial" w:hAnsi="Arial"/>
          <w:sz w:val="20"/>
          <w:szCs w:val="20"/>
          <w:color w:val="auto"/>
        </w:rPr>
        <w:t xml:space="preserve"> Disability shall have the meaning ascribed to such term in the Company’s long-term disability plan covering the Executive, or in the absence of such plan, a meaning consistent with Section 22(e)(3) of the Code. The determination of Disability shall be made by the Company in a manner consistent with the requirements of Section 409A.</w:t>
      </w:r>
    </w:p>
    <w:p>
      <w:pPr>
        <w:spacing w:after="0" w:line="82" w:lineRule="exact"/>
        <w:rPr>
          <w:rFonts w:ascii="Arial" w:cs="Arial" w:eastAsia="Arial" w:hAnsi="Arial"/>
          <w:sz w:val="16"/>
          <w:szCs w:val="16"/>
          <w:color w:val="auto"/>
        </w:rPr>
      </w:pPr>
    </w:p>
    <w:p>
      <w:pPr>
        <w:ind w:left="660"/>
        <w:spacing w:after="0"/>
        <w:tabs>
          <w:tab w:leader="none" w:pos="154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Notice of Termination</w:t>
      </w:r>
      <w:r>
        <w:rPr>
          <w:rFonts w:ascii="Arial" w:cs="Arial" w:eastAsia="Arial" w:hAnsi="Arial"/>
          <w:sz w:val="18"/>
          <w:szCs w:val="18"/>
          <w:color w:val="auto"/>
        </w:rPr>
        <w:t>”. A written notice from the Company to the Executive specifying the Date of Termination.</w:t>
      </w:r>
    </w:p>
    <w:p>
      <w:pPr>
        <w:spacing w:after="0" w:line="108" w:lineRule="exact"/>
        <w:rPr>
          <w:rFonts w:ascii="Arial" w:cs="Arial" w:eastAsia="Arial" w:hAnsi="Arial"/>
          <w:sz w:val="16"/>
          <w:szCs w:val="16"/>
          <w:color w:val="auto"/>
        </w:rPr>
      </w:pPr>
    </w:p>
    <w:p>
      <w:pPr>
        <w:ind w:left="1560"/>
        <w:spacing w:after="0"/>
        <w:rPr>
          <w:sz w:val="20"/>
          <w:szCs w:val="20"/>
          <w:color w:val="auto"/>
        </w:rPr>
      </w:pPr>
      <w:r>
        <w:rPr>
          <w:rFonts w:ascii="Arial" w:cs="Arial" w:eastAsia="Arial" w:hAnsi="Arial"/>
          <w:sz w:val="19"/>
          <w:szCs w:val="19"/>
          <w:b w:val="1"/>
          <w:bCs w:val="1"/>
          <w:color w:val="auto"/>
        </w:rPr>
        <w:t>“Section 409A</w:t>
      </w:r>
      <w:r>
        <w:rPr>
          <w:rFonts w:ascii="Arial" w:cs="Arial" w:eastAsia="Arial" w:hAnsi="Arial"/>
          <w:sz w:val="19"/>
          <w:szCs w:val="19"/>
          <w:color w:val="auto"/>
        </w:rPr>
        <w:t>”. Section 409A of the Internal Revenue Code of 1986, as amended, and the regulations and rulings</w:t>
      </w:r>
    </w:p>
    <w:p>
      <w:pPr>
        <w:spacing w:after="0" w:line="335" w:lineRule="exact"/>
        <w:rPr>
          <w:rFonts w:ascii="Arial" w:cs="Arial" w:eastAsia="Arial" w:hAnsi="Arial"/>
          <w:sz w:val="16"/>
          <w:szCs w:val="16"/>
          <w:color w:val="auto"/>
        </w:rPr>
      </w:pPr>
    </w:p>
    <w:p>
      <w:pPr>
        <w:ind w:left="660"/>
        <w:spacing w:after="0"/>
        <w:tabs>
          <w:tab w:leader="none" w:pos="154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8"/>
          <w:szCs w:val="18"/>
          <w:b w:val="1"/>
          <w:bCs w:val="1"/>
          <w:color w:val="auto"/>
        </w:rPr>
        <w:t>“Severance Period</w:t>
      </w:r>
      <w:r>
        <w:rPr>
          <w:rFonts w:ascii="Arial" w:cs="Arial" w:eastAsia="Arial" w:hAnsi="Arial"/>
          <w:sz w:val="18"/>
          <w:szCs w:val="18"/>
          <w:color w:val="auto"/>
        </w:rPr>
        <w:t>”. A period equal to the lesser of (i) twelve (12) months from the Executive’s Date of Termination or</w:t>
      </w:r>
    </w:p>
    <w:p>
      <w:pPr>
        <w:spacing w:after="0" w:line="8" w:lineRule="exact"/>
        <w:rPr>
          <w:rFonts w:ascii="Arial" w:cs="Arial" w:eastAsia="Arial" w:hAnsi="Arial"/>
          <w:sz w:val="16"/>
          <w:szCs w:val="16"/>
          <w:color w:val="auto"/>
        </w:rPr>
      </w:pPr>
    </w:p>
    <w:p>
      <w:pPr>
        <w:jc w:val="both"/>
        <w:ind w:firstLine="8"/>
        <w:spacing w:after="0" w:line="231" w:lineRule="auto"/>
        <w:tabs>
          <w:tab w:leader="none" w:pos="315"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number of months (rounded to the nearest month) from the Executive’s Date of Termination until the date he/she attains age 65; provided, however, that the Severance Period shall in no event be less than six (6) months or extend beyond December 31 of the second year following the year in which the Date of Termination occurs.</w:t>
      </w:r>
    </w:p>
    <w:p>
      <w:pPr>
        <w:spacing w:after="0" w:line="83" w:lineRule="exact"/>
        <w:rPr>
          <w:rFonts w:ascii="Arial" w:cs="Arial" w:eastAsia="Arial" w:hAnsi="Arial"/>
          <w:sz w:val="16"/>
          <w:szCs w:val="16"/>
          <w:color w:val="auto"/>
        </w:rPr>
      </w:pPr>
    </w:p>
    <w:p>
      <w:pPr>
        <w:ind w:left="800" w:hanging="792"/>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20"/>
          <w:szCs w:val="20"/>
          <w:b w:val="1"/>
          <w:bCs w:val="1"/>
          <w:color w:val="auto"/>
        </w:rPr>
        <w:t>SCOPE OF AGREEMENT.</w:t>
      </w:r>
    </w:p>
    <w:p>
      <w:pPr>
        <w:spacing w:after="0" w:line="22" w:lineRule="exact"/>
        <w:rPr>
          <w:rFonts w:ascii="Arial" w:cs="Arial" w:eastAsia="Arial" w:hAnsi="Arial"/>
          <w:sz w:val="16"/>
          <w:szCs w:val="16"/>
          <w:color w:val="auto"/>
        </w:rPr>
      </w:pPr>
    </w:p>
    <w:p>
      <w:pPr>
        <w:jc w:val="both"/>
        <w:ind w:firstLine="648"/>
        <w:spacing w:after="0" w:line="272" w:lineRule="auto"/>
        <w:rPr>
          <w:sz w:val="20"/>
          <w:szCs w:val="20"/>
          <w:color w:val="auto"/>
        </w:rPr>
      </w:pPr>
      <w:r>
        <w:rPr>
          <w:rFonts w:ascii="Arial" w:cs="Arial" w:eastAsia="Arial" w:hAnsi="Arial"/>
          <w:sz w:val="18"/>
          <w:szCs w:val="18"/>
          <w:color w:val="auto"/>
        </w:rPr>
        <w:t>This Agreement provides for the payment of compensation and benefits to Executive in the event his/her employment is involuntarily terminated by the Company without Cause. If Executive is terminated by the Company for Cause, dies, incurs a Disability or voluntarily terminates employment, this Agreement shall terminate (except that the restrictive covenants contained herein shall survive termination of this Agreement), and Executive shall be entitled to no payments of compensation or benefits pursuant to the terms of this Agreement; provided that in such events, Executive will be entitled to whatever benefits are payable pursuant to the terms of any health, life insurance, disability, welfare, retirement, deferred compensation, or other plan or program maintained by the Company.</w:t>
      </w:r>
    </w:p>
    <w:p>
      <w:pPr>
        <w:spacing w:after="0" w:line="170"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9"/>
          <w:szCs w:val="19"/>
          <w:color w:val="auto"/>
        </w:rPr>
        <w:t>If, as a result of Executive’s termination of employment, Executive becomes entitled to compensation and benefits under this</w:t>
      </w:r>
    </w:p>
    <w:p>
      <w:pPr>
        <w:spacing w:after="0" w:line="27"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Agreement and under a Change in Control Agreement, Executive shall be entitled to receive benefits under whichever agreement provides</w:t>
      </w:r>
    </w:p>
    <w:p>
      <w:pPr>
        <w:spacing w:after="0" w:line="23"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color w:val="auto"/>
        </w:rPr>
        <w:t>Executive the greater aggregate compensation and benefits (and not under the other agreement) and there shall be no duplication of benefits.</w:t>
      </w:r>
    </w:p>
    <w:p>
      <w:pPr>
        <w:spacing w:after="0" w:line="361" w:lineRule="exact"/>
        <w:rPr>
          <w:rFonts w:ascii="Arial" w:cs="Arial" w:eastAsia="Arial" w:hAnsi="Arial"/>
          <w:sz w:val="16"/>
          <w:szCs w:val="16"/>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20"/>
          <w:szCs w:val="20"/>
          <w:b w:val="1"/>
          <w:bCs w:val="1"/>
          <w:color w:val="auto"/>
        </w:rPr>
        <w:t>BENEFITS UPON INVOLUNTARY TERMINATION WITHOUT CAUSE BY THE COMPANY</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If Executive’s employment is involuntarily terminated by the Company during the term of this Agreement without Cause (and such</w:t>
      </w:r>
    </w:p>
    <w:p>
      <w:pPr>
        <w:spacing w:after="0" w:line="23" w:lineRule="exact"/>
        <w:rPr>
          <w:rFonts w:ascii="Arial" w:cs="Arial" w:eastAsia="Arial" w:hAnsi="Arial"/>
          <w:sz w:val="16"/>
          <w:szCs w:val="16"/>
          <w:color w:val="auto"/>
        </w:rPr>
      </w:pPr>
    </w:p>
    <w:p>
      <w:pPr>
        <w:jc w:val="both"/>
        <w:spacing w:after="0" w:line="276" w:lineRule="auto"/>
        <w:rPr>
          <w:sz w:val="20"/>
          <w:szCs w:val="20"/>
          <w:color w:val="auto"/>
        </w:rPr>
      </w:pPr>
      <w:r>
        <w:rPr>
          <w:rFonts w:ascii="Arial" w:cs="Arial" w:eastAsia="Arial" w:hAnsi="Arial"/>
          <w:sz w:val="18"/>
          <w:szCs w:val="18"/>
          <w:color w:val="auto"/>
        </w:rPr>
        <w:t>termination does not arise as a result of Executive’s death or Disability), the Executive shall be entitled to the compensation and benefits described below, provided that Executive timely executes and does not revoke a valid release of claims in such form as may be required by the Company, and Executive abides by the provisions of this Agreement. If the Executive’s release execution period begins in one taxable year and ends in another taxable year, payments under this Section 4 shall not be made until the beginning of the second taxable year.</w:t>
      </w:r>
    </w:p>
    <w:p>
      <w:pPr>
        <w:spacing w:after="0" w:line="200" w:lineRule="exact"/>
        <w:rPr>
          <w:rFonts w:ascii="Arial" w:cs="Arial" w:eastAsia="Arial" w:hAnsi="Arial"/>
          <w:sz w:val="16"/>
          <w:szCs w:val="16"/>
          <w:color w:val="auto"/>
        </w:rPr>
      </w:pPr>
    </w:p>
    <w:p>
      <w:pPr>
        <w:spacing w:after="0" w:line="306"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38" w:right="339" w:bottom="1440" w:gutter="0" w:footer="0" w:header="0"/>
        </w:sectPr>
      </w:pPr>
    </w:p>
    <w:bookmarkStart w:id="116" w:name="page117"/>
    <w:bookmarkEnd w:id="116"/>
    <w:p>
      <w:pPr>
        <w:ind w:left="9680"/>
        <w:spacing w:after="0"/>
        <w:rPr>
          <w:sz w:val="20"/>
          <w:szCs w:val="20"/>
          <w:color w:val="auto"/>
        </w:rPr>
      </w:pPr>
      <w:r>
        <w:rPr>
          <w:rFonts w:ascii="Arial" w:cs="Arial" w:eastAsia="Arial" w:hAnsi="Arial"/>
          <w:sz w:val="17"/>
          <w:szCs w:val="17"/>
          <w:b w:val="1"/>
          <w:bCs w:val="1"/>
          <w:color w:val="auto"/>
        </w:rPr>
        <w:t>Exhibit 10(iii)A(83)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8"/>
          <w:szCs w:val="18"/>
          <w:u w:val="single" w:color="auto"/>
          <w:color w:val="auto"/>
        </w:rPr>
        <w:t>Base Salary</w:t>
      </w:r>
      <w:r>
        <w:rPr>
          <w:rFonts w:ascii="Arial" w:cs="Arial" w:eastAsia="Arial" w:hAnsi="Arial"/>
          <w:sz w:val="18"/>
          <w:szCs w:val="18"/>
          <w:color w:val="auto"/>
        </w:rPr>
        <w:t>. Executive shall continue to receive his/her Base Salary (subject to withholding of all applicable taxes) for</w:t>
      </w:r>
      <w:r>
        <w:rPr>
          <w:rFonts w:ascii="Arial" w:cs="Arial" w:eastAsia="Arial" w:hAnsi="Arial"/>
          <w:sz w:val="17"/>
          <w:szCs w:val="17"/>
          <w:color w:val="auto"/>
        </w:rPr>
        <w:t xml:space="preserve"> </w:t>
      </w:r>
      <w:r>
        <w:rPr>
          <w:rFonts w:ascii="Arial" w:cs="Arial" w:eastAsia="Arial" w:hAnsi="Arial"/>
          <w:sz w:val="18"/>
          <w:szCs w:val="18"/>
          <w:color w:val="auto"/>
        </w:rPr>
        <w:t>the entire Severance Period (as defined in Section 2 above), payable in the same manner as it was being paid on his/her Date of Termination.</w:t>
      </w:r>
    </w:p>
    <w:p>
      <w:pPr>
        <w:spacing w:after="0" w:line="2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9"/>
          <w:szCs w:val="19"/>
          <w:u w:val="single" w:color="auto"/>
          <w:color w:val="auto"/>
        </w:rPr>
        <w:t>Annual Bonus</w:t>
      </w:r>
      <w:r>
        <w:rPr>
          <w:rFonts w:ascii="Arial" w:cs="Arial" w:eastAsia="Arial" w:hAnsi="Arial"/>
          <w:sz w:val="19"/>
          <w:szCs w:val="19"/>
          <w:color w:val="auto"/>
        </w:rPr>
        <w:t>. Executive shall be paid an amount equal to the greater of (i) 55% of employee’s gross salary, multiplied</w:t>
      </w:r>
      <w:r>
        <w:rPr>
          <w:rFonts w:ascii="Arial" w:cs="Arial" w:eastAsia="Arial" w:hAnsi="Arial"/>
          <w:sz w:val="18"/>
          <w:szCs w:val="18"/>
          <w:color w:val="auto"/>
        </w:rPr>
        <w:t xml:space="preserve"> </w:t>
      </w:r>
      <w:r>
        <w:rPr>
          <w:rFonts w:ascii="Arial" w:cs="Arial" w:eastAsia="Arial" w:hAnsi="Arial"/>
          <w:sz w:val="19"/>
          <w:szCs w:val="19"/>
          <w:color w:val="auto"/>
        </w:rPr>
        <w:t>by a fraction (the “Pro Rata Fraction”), the numerator of which is the number of days that have elapsed in the then current fiscal year through Executive’s Date of Termination and the denominator of which is 365, or (ii) the annual incentive bonus that would be paid or payable to Executive under the Incentive Plan based upon the Company’s actual performance for such fiscal year, multiplied by the Pro Rata Fraction. The bonus amount determined pursuant to this Section 4.2(i) shall be paid to Executive within thirty (30) days after the effective date of a confidential severance agreement and release entered into between Executive and Company referenced in Section 4.8, and any additional amount payable pursuant to Section 4.2(ii) shall be payable at the same time as bonuses are payable to other executives under the Incentive Plan. “Incentive Plan” shall mean the Acuity Brands, Inc. Management Cash Incentive Plan for the fiscal year in which the Executive’s Termination of Employment occurs. Terms used in this Section 4.2 shall have the meaning ascribed them in the Incentive Plan. The bonus amount determined pursuant to this section shall be subject to withholding of all applicable taxes. In the event Executive becomes entitled to a bonus under this Section 4.2 and under the Incentive Plan in connection with a change in control (as defined in the Incentive Plan), Executive shall be entitled to receive whichever bonus amount is greater and Executive shall not receive a duplicate bonus for the same fiscal year (or portion of a fiscal year).</w:t>
      </w:r>
    </w:p>
    <w:p>
      <w:pPr>
        <w:spacing w:after="0" w:line="9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9"/>
          <w:szCs w:val="19"/>
          <w:u w:val="single" w:color="auto"/>
          <w:color w:val="auto"/>
        </w:rPr>
        <w:t>Accrued Vacation</w:t>
      </w:r>
      <w:r>
        <w:rPr>
          <w:rFonts w:ascii="Arial" w:cs="Arial" w:eastAsia="Arial" w:hAnsi="Arial"/>
          <w:sz w:val="19"/>
          <w:szCs w:val="19"/>
          <w:color w:val="auto"/>
        </w:rPr>
        <w:t>. Executive shall be paid an amount equal to Executive’s accrued but unused vacation (determined in</w:t>
      </w:r>
      <w:r>
        <w:rPr>
          <w:rFonts w:ascii="Arial" w:cs="Arial" w:eastAsia="Arial" w:hAnsi="Arial"/>
          <w:sz w:val="18"/>
          <w:szCs w:val="18"/>
          <w:color w:val="auto"/>
        </w:rPr>
        <w:t xml:space="preserve"> </w:t>
      </w:r>
      <w:r>
        <w:rPr>
          <w:rFonts w:ascii="Arial" w:cs="Arial" w:eastAsia="Arial" w:hAnsi="Arial"/>
          <w:sz w:val="19"/>
          <w:szCs w:val="19"/>
          <w:color w:val="auto"/>
        </w:rPr>
        <w:t>accordance with Company policy) as of his/her Date of Termination. The amount (subject to withholding of all applicable taxes) shall be paid pursuant to applicable law.</w:t>
      </w:r>
    </w:p>
    <w:p>
      <w:pPr>
        <w:spacing w:after="0" w:line="67"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u w:val="single" w:color="auto"/>
          <w:color w:val="auto"/>
        </w:rPr>
        <w:t>Stock Options, Restricted Stock and Restricted Stock Units</w:t>
      </w:r>
      <w:r>
        <w:rPr>
          <w:rFonts w:ascii="Arial" w:cs="Arial" w:eastAsia="Arial" w:hAnsi="Arial"/>
          <w:sz w:val="18"/>
          <w:szCs w:val="18"/>
          <w:color w:val="auto"/>
        </w:rPr>
        <w:t>. As of the first day of the Severance Period, the vesting and</w:t>
      </w:r>
    </w:p>
    <w:p>
      <w:pPr>
        <w:spacing w:after="0" w:line="39" w:lineRule="exact"/>
        <w:rPr>
          <w:sz w:val="20"/>
          <w:szCs w:val="20"/>
          <w:color w:val="auto"/>
        </w:rPr>
      </w:pPr>
    </w:p>
    <w:p>
      <w:pPr>
        <w:jc w:val="both"/>
        <w:ind w:right="20"/>
        <w:spacing w:after="0" w:line="234" w:lineRule="auto"/>
        <w:rPr>
          <w:sz w:val="20"/>
          <w:szCs w:val="20"/>
          <w:color w:val="auto"/>
        </w:rPr>
      </w:pPr>
      <w:r>
        <w:rPr>
          <w:rFonts w:ascii="Arial" w:cs="Arial" w:eastAsia="Arial" w:hAnsi="Arial"/>
          <w:sz w:val="20"/>
          <w:szCs w:val="20"/>
          <w:color w:val="auto"/>
        </w:rPr>
        <w:t>exercisability of all outstanding Stock Options, Restricted Stock, Restricted Stock Units and any other equity awards held by Executive shall be determined in accordance with the agreements and plans governing such awards.</w:t>
      </w:r>
    </w:p>
    <w:p>
      <w:pPr>
        <w:spacing w:after="0" w:line="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8"/>
          <w:szCs w:val="18"/>
          <w:u w:val="single" w:color="auto"/>
          <w:color w:val="auto"/>
        </w:rPr>
        <w:t>Health Care and Life Insurance Benefits</w:t>
      </w:r>
      <w:r>
        <w:rPr>
          <w:rFonts w:ascii="Arial" w:cs="Arial" w:eastAsia="Arial" w:hAnsi="Arial"/>
          <w:sz w:val="18"/>
          <w:szCs w:val="18"/>
          <w:color w:val="auto"/>
        </w:rPr>
        <w:t>. Subject to the terms of the group insurance contract and plan documents, the</w:t>
      </w:r>
      <w:r>
        <w:rPr>
          <w:rFonts w:ascii="Arial" w:cs="Arial" w:eastAsia="Arial" w:hAnsi="Arial"/>
          <w:sz w:val="17"/>
          <w:szCs w:val="17"/>
          <w:color w:val="auto"/>
        </w:rPr>
        <w:t xml:space="preserve"> </w:t>
      </w:r>
      <w:r>
        <w:rPr>
          <w:rFonts w:ascii="Arial" w:cs="Arial" w:eastAsia="Arial" w:hAnsi="Arial"/>
          <w:sz w:val="18"/>
          <w:szCs w:val="18"/>
          <w:color w:val="auto"/>
        </w:rPr>
        <w:t>term life insurance coverage provided to Executive prior to the start of the Severance Period shall be continued at the same level as for active executives and in the same manner as received prior to the Severance Period, beginning on the first day of the Severance Period and ending on the last day of the Severance Period. If the terms of such plan or the laws applicable to such plan do not permit continued participation by Executive, then the Company will arrange for other coverage satisfactory to Executive at the Company’s expense which provides substantially similar benefits or, at the Company’s election, the Company will pay Executive a lump sum amount equal to the annual costs of such coverage(s) for the Severance Period, less applicable withholding. A benefit provided under this Section 4.5 shall cease if Executive obtains other employment and, as a result of such employment, life insurance benefits are available to Executive.</w:t>
      </w:r>
    </w:p>
    <w:p>
      <w:pPr>
        <w:spacing w:after="0" w:line="5"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If Executive timely elects continuation coverage pursuant to the Consolidated Omnibus Budget Reconciliation Act of 1985, as amended (“COBRA”) under the Company’s group medical plan following termination of his/her employment, the Company will pay Executive a monthly amount equal to the Company’s subsidy towards the cost of medical coverage for similarly-situated active employees enrolled in the same coverage in which the Executive was enrolled on the Date of Termination (the “COBRA Subsidy”), as reduced by any applicable withholding. The Company shall pay the COBRA Subsidy until the earliest of (a) the date Executive qualifies under another employer-sponsored medical plan, or (b) the end of eighteen (18) months of COBRA continuation coverage, or (c) the date on which the Severance Period ends.</w:t>
      </w:r>
    </w:p>
    <w:p>
      <w:pPr>
        <w:spacing w:after="0" w:line="31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9"/>
          <w:szCs w:val="19"/>
          <w:u w:val="single" w:color="auto"/>
          <w:color w:val="auto"/>
        </w:rPr>
        <w:t>Outplacement Services</w:t>
      </w:r>
      <w:r>
        <w:rPr>
          <w:rFonts w:ascii="Arial" w:cs="Arial" w:eastAsia="Arial" w:hAnsi="Arial"/>
          <w:sz w:val="19"/>
          <w:szCs w:val="19"/>
          <w:color w:val="auto"/>
        </w:rPr>
        <w:t>. Executive will be provided with customary outplacement services by an outplacement firm</w:t>
      </w:r>
      <w:r>
        <w:rPr>
          <w:rFonts w:ascii="Arial" w:cs="Arial" w:eastAsia="Arial" w:hAnsi="Arial"/>
          <w:sz w:val="18"/>
          <w:szCs w:val="18"/>
          <w:color w:val="auto"/>
        </w:rPr>
        <w:t xml:space="preserve"> </w:t>
      </w:r>
      <w:r>
        <w:rPr>
          <w:rFonts w:ascii="Arial" w:cs="Arial" w:eastAsia="Arial" w:hAnsi="Arial"/>
          <w:sz w:val="19"/>
          <w:szCs w:val="19"/>
          <w:color w:val="auto"/>
        </w:rPr>
        <w:t>selected by the Company for the Severance Period, provided that the Company’s total cost for such services shall not exceed an amount equal to ten percent (10%) of Executive’s Base Salary.</w:t>
      </w:r>
    </w:p>
    <w:p>
      <w:pPr>
        <w:spacing w:after="0" w:line="6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9"/>
          <w:szCs w:val="19"/>
          <w:u w:val="single" w:color="auto"/>
          <w:color w:val="auto"/>
        </w:rPr>
        <w:t>Other Benefits</w:t>
      </w:r>
      <w:r>
        <w:rPr>
          <w:rFonts w:ascii="Arial" w:cs="Arial" w:eastAsia="Arial" w:hAnsi="Arial"/>
          <w:sz w:val="19"/>
          <w:szCs w:val="19"/>
          <w:color w:val="auto"/>
        </w:rPr>
        <w:t>. Except as expressly provided herein, all other fringe benefits provided to Executive as an active employee</w:t>
      </w:r>
      <w:r>
        <w:rPr>
          <w:rFonts w:ascii="Arial" w:cs="Arial" w:eastAsia="Arial" w:hAnsi="Arial"/>
          <w:sz w:val="18"/>
          <w:szCs w:val="18"/>
          <w:color w:val="auto"/>
        </w:rPr>
        <w:t xml:space="preserve"> </w:t>
      </w:r>
      <w:r>
        <w:rPr>
          <w:rFonts w:ascii="Arial" w:cs="Arial" w:eastAsia="Arial" w:hAnsi="Arial"/>
          <w:sz w:val="19"/>
          <w:szCs w:val="19"/>
          <w:color w:val="auto"/>
        </w:rPr>
        <w:t>of the Company (e.g., car allowance, club dues, etc.), shall cease on the Date of Termination, provided that any conversion or extension rights applicable to such benefits shall be made available to Executive at</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38" w:right="339" w:bottom="1440" w:gutter="0" w:footer="0" w:header="0"/>
        </w:sectPr>
      </w:pPr>
    </w:p>
    <w:bookmarkStart w:id="117" w:name="page118"/>
    <w:bookmarkEnd w:id="117"/>
    <w:p>
      <w:pPr>
        <w:ind w:left="9680"/>
        <w:spacing w:after="0"/>
        <w:rPr>
          <w:sz w:val="20"/>
          <w:szCs w:val="20"/>
          <w:color w:val="auto"/>
        </w:rPr>
      </w:pPr>
      <w:r>
        <w:rPr>
          <w:rFonts w:ascii="Arial" w:cs="Arial" w:eastAsia="Arial" w:hAnsi="Arial"/>
          <w:sz w:val="17"/>
          <w:szCs w:val="17"/>
          <w:b w:val="1"/>
          <w:bCs w:val="1"/>
          <w:color w:val="auto"/>
        </w:rPr>
        <w:t>Exhibit 10(iii)A(83)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his/her Date of Termination or when such coverages otherwise cease at the end of the Severance Period. Except as expressly provided herein, for all other benefit plans sponsored by the Company, the Executive’s employment shall be treated as terminated on his/her Date of Termination, and Executive’s right to benefits shall be determined under the terms of such plans; provided, however, in no event will Executive be entitled to severance payments or benefits under any other severance plan, policy, program or agreement of the Company, except to the extent Executive is covered by a Change in Control Agreement.</w:t>
      </w:r>
    </w:p>
    <w:p>
      <w:pPr>
        <w:spacing w:after="0" w:line="9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9"/>
          <w:szCs w:val="19"/>
          <w:u w:val="single" w:color="auto"/>
          <w:color w:val="auto"/>
        </w:rPr>
        <w:t>Release of Claims</w:t>
      </w:r>
      <w:r>
        <w:rPr>
          <w:rFonts w:ascii="Arial" w:cs="Arial" w:eastAsia="Arial" w:hAnsi="Arial"/>
          <w:sz w:val="19"/>
          <w:szCs w:val="19"/>
          <w:color w:val="auto"/>
        </w:rPr>
        <w:t>. To be entitled to any of the compensation and benefits described above in this Section 4 (except for</w:t>
      </w:r>
      <w:r>
        <w:rPr>
          <w:rFonts w:ascii="Arial" w:cs="Arial" w:eastAsia="Arial" w:hAnsi="Arial"/>
          <w:sz w:val="18"/>
          <w:szCs w:val="18"/>
          <w:color w:val="auto"/>
        </w:rPr>
        <w:t xml:space="preserve"> </w:t>
      </w:r>
      <w:r>
        <w:rPr>
          <w:rFonts w:ascii="Arial" w:cs="Arial" w:eastAsia="Arial" w:hAnsi="Arial"/>
          <w:sz w:val="19"/>
          <w:szCs w:val="19"/>
          <w:color w:val="auto"/>
        </w:rPr>
        <w:t>accrued vacation, which would be paid pursuant to applicable law), Executive shall sign a release of claims substantially in the form attached hereto as Exhibit A. No payments shall be made under this Section 4 until such release has been properly executed and delivered to the Company and until the expiration of the revocation period, if any, provided under the release. If the release is not properly executed by the Executive and delivered to the Company within the reasonable time periods specified in the release, the Company’s obligations under this Section 4 will terminate.</w:t>
      </w:r>
    </w:p>
    <w:p>
      <w:pPr>
        <w:spacing w:after="0" w:line="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8"/>
          <w:szCs w:val="18"/>
          <w:u w:val="single" w:color="auto"/>
          <w:color w:val="auto"/>
        </w:rPr>
        <w:t>Section 409A</w:t>
      </w:r>
      <w:r>
        <w:rPr>
          <w:rFonts w:ascii="Arial" w:cs="Arial" w:eastAsia="Arial" w:hAnsi="Arial"/>
          <w:sz w:val="18"/>
          <w:szCs w:val="18"/>
          <w:color w:val="auto"/>
        </w:rPr>
        <w:t>. All payments hereunder are intended to satisfy the “short-term deferral” exemption under Treas. Reg.</w:t>
      </w:r>
      <w:r>
        <w:rPr>
          <w:rFonts w:ascii="Arial" w:cs="Arial" w:eastAsia="Arial" w:hAnsi="Arial"/>
          <w:sz w:val="17"/>
          <w:szCs w:val="17"/>
          <w:color w:val="auto"/>
        </w:rPr>
        <w:t xml:space="preserve"> </w:t>
      </w:r>
      <w:r>
        <w:rPr>
          <w:rFonts w:ascii="Arial" w:cs="Arial" w:eastAsia="Arial" w:hAnsi="Arial"/>
          <w:sz w:val="18"/>
          <w:szCs w:val="18"/>
          <w:color w:val="auto"/>
        </w:rPr>
        <w:t>§1.409-1(b)(4) in tandem with the “separation pay” exemption under Treas. Reg. §1.409-1(b)(9) such that no payment hereunder shall be deemed “deferred compensation” within the meaning of Code Section 409A. Therefore, to the extent the amounts described in Sections 4.1, 4.2 and 4.5 which are payable after March 15 of the year following the Date of Termination exceed the “separation pay” limit prescribed under Treas. Reg. § 1.409A-1(b)(9) (generally, the lesser of two times the Code § 401(a)(17) limit or two times the Executive’s annual compensation), then the payment of such excess amounts shall be accelerated and paid in equal installment payments commencing with the start of the Severance Period and ending on the payroll period preceding the March 15 of the year following the Date of Termination. Each installment payment under this Agreement shall be treated as a separate payment for purposes of Code Section 409A.</w:t>
      </w:r>
    </w:p>
    <w:p>
      <w:pPr>
        <w:spacing w:after="0" w:line="5" w:lineRule="exact"/>
        <w:rPr>
          <w:sz w:val="20"/>
          <w:szCs w:val="20"/>
          <w:color w:val="auto"/>
        </w:rPr>
      </w:pPr>
    </w:p>
    <w:p>
      <w:pPr>
        <w:jc w:val="both"/>
        <w:ind w:left="660"/>
        <w:spacing w:after="0" w:line="274" w:lineRule="auto"/>
        <w:rPr>
          <w:sz w:val="20"/>
          <w:szCs w:val="20"/>
          <w:color w:val="auto"/>
        </w:rPr>
      </w:pPr>
      <w:r>
        <w:rPr>
          <w:rFonts w:ascii="Arial" w:cs="Arial" w:eastAsia="Arial" w:hAnsi="Arial"/>
          <w:sz w:val="18"/>
          <w:szCs w:val="18"/>
          <w:color w:val="auto"/>
        </w:rPr>
        <w:t>EXAMPLE: Solely for illustration purposes, if Executive terminates without Cause on November 1, 2017 and becomes entitled to Separation Pay totaling $1 million, with $700,000 of the Severance Pay otherwise scheduled to be paid after March 15, 2018, then $160,000 ($700,000 - $540,000 (Code § 401(a)(17) limit)) of the post-March 15, 2018 Severance Pay will be accelerated and paid ratably for the payroll period following the Executive’s Date of Termination and ending on the last payroll period preceding March 15, 2018. (Such example assumes the Executive’s annual compensation was equal to or greater than the Code § 401(a)(17) limit.)</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Notwithstanding any provision of this Agreement to the contrary, no payments under Sections 4.1, 4.2 or 4.5 shall commence until the Executive has incurred a “Separation from Service.” For these purposes, “Separation from Service” means the termination of the Executive’s employment with the Company for reasons other than death or Disability. Whether a Separation from Service takes place is determined based on the facts and circumstances surrounding the termination of the Executive’s employment and whether the Company and the Executive intended for the Executive to provide significant services for the Company following such termination. A change in the Executive’s employment status will not be considered a Separation from Service if:</w:t>
      </w:r>
    </w:p>
    <w:p>
      <w:pPr>
        <w:spacing w:after="0" w:line="300" w:lineRule="exact"/>
        <w:rPr>
          <w:sz w:val="20"/>
          <w:szCs w:val="20"/>
          <w:color w:val="auto"/>
        </w:rPr>
      </w:pPr>
    </w:p>
    <w:p>
      <w:pPr>
        <w:jc w:val="both"/>
        <w:ind w:left="660" w:firstLine="644"/>
        <w:spacing w:after="0" w:line="316" w:lineRule="auto"/>
        <w:tabs>
          <w:tab w:leader="none" w:pos="2106" w:val="left"/>
        </w:tabs>
        <w:numPr>
          <w:ilvl w:val="0"/>
          <w:numId w:val="57"/>
        </w:numPr>
        <w:rPr>
          <w:rFonts w:ascii="Arial" w:cs="Arial" w:eastAsia="Arial" w:hAnsi="Arial"/>
          <w:sz w:val="15"/>
          <w:szCs w:val="15"/>
          <w:color w:val="auto"/>
        </w:rPr>
      </w:pPr>
      <w:r>
        <w:rPr>
          <w:rFonts w:ascii="Arial" w:cs="Arial" w:eastAsia="Arial" w:hAnsi="Arial"/>
          <w:sz w:val="16"/>
          <w:szCs w:val="16"/>
          <w:color w:val="auto"/>
        </w:rPr>
        <w:t>the Executive continues to provide services as an employee of the Company at an annual rate that is twenty percent (20%) or more of the services rendered, on average, during the immediately preceding three full calendar years of employment (or, if employed less than three years, such lesser period) and the annual remuneration for such services is twenty percent (20%) or more of the average annual remuneration earned during the final three full calendar years of employment (or, if less, such lesser period), or</w:t>
      </w:r>
    </w:p>
    <w:p>
      <w:pPr>
        <w:spacing w:after="0" w:line="30" w:lineRule="exact"/>
        <w:rPr>
          <w:rFonts w:ascii="Arial" w:cs="Arial" w:eastAsia="Arial" w:hAnsi="Arial"/>
          <w:sz w:val="15"/>
          <w:szCs w:val="15"/>
          <w:color w:val="auto"/>
        </w:rPr>
      </w:pPr>
    </w:p>
    <w:p>
      <w:pPr>
        <w:jc w:val="both"/>
        <w:ind w:left="660" w:firstLine="644"/>
        <w:spacing w:after="0" w:line="231" w:lineRule="auto"/>
        <w:tabs>
          <w:tab w:leader="none" w:pos="2106" w:val="left"/>
        </w:tabs>
        <w:numPr>
          <w:ilvl w:val="0"/>
          <w:numId w:val="57"/>
        </w:numPr>
        <w:rPr>
          <w:rFonts w:ascii="Arial" w:cs="Arial" w:eastAsia="Arial" w:hAnsi="Arial"/>
          <w:sz w:val="18"/>
          <w:szCs w:val="18"/>
          <w:color w:val="auto"/>
        </w:rPr>
      </w:pPr>
      <w:r>
        <w:rPr>
          <w:rFonts w:ascii="Arial" w:cs="Arial" w:eastAsia="Arial" w:hAnsi="Arial"/>
          <w:sz w:val="20"/>
          <w:szCs w:val="20"/>
          <w:color w:val="auto"/>
        </w:rPr>
        <w:t>the Executive continues to provide services to the Company in a capacity other than as an employee of the Company at an annual rate that is fifty percent (50%) or more of the services rendered, on average, during the immediately preceding three full calendar years of employment (or if employed less than three years, such lesser period) and the annual remuneration for such services is fifty percent (50%) or more of the average annual remuneration earned during the final three full calendar years of employment (or if less, such lesser period).</w:t>
      </w:r>
    </w:p>
    <w:p>
      <w:pPr>
        <w:spacing w:after="0" w:line="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Company makes no representations that the payments and benefits provided under this Agreement comply with Code Section</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409A, and in no event shall the Company be liable for all or any portion of any taxes, penalties,</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38" w:right="339" w:bottom="1440" w:gutter="0" w:footer="0" w:header="0"/>
        </w:sectPr>
      </w:pPr>
    </w:p>
    <w:bookmarkStart w:id="118" w:name="page119"/>
    <w:bookmarkEnd w:id="118"/>
    <w:p>
      <w:pPr>
        <w:ind w:left="9680"/>
        <w:spacing w:after="0"/>
        <w:rPr>
          <w:sz w:val="20"/>
          <w:szCs w:val="20"/>
          <w:color w:val="auto"/>
        </w:rPr>
      </w:pPr>
      <w:r>
        <w:rPr>
          <w:rFonts w:ascii="Arial" w:cs="Arial" w:eastAsia="Arial" w:hAnsi="Arial"/>
          <w:sz w:val="17"/>
          <w:szCs w:val="17"/>
          <w:b w:val="1"/>
          <w:bCs w:val="1"/>
          <w:color w:val="auto"/>
        </w:rPr>
        <w:t>Exhibit 10(iii)A(83)</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color w:val="auto"/>
        </w:rPr>
        <w:t>interest, or other expenses that may be incurred by the Executive on account of non-compliance with Code Section 409A.</w:t>
      </w:r>
    </w:p>
    <w:p>
      <w:pPr>
        <w:spacing w:after="0" w:line="331"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20"/>
          <w:szCs w:val="20"/>
          <w:b w:val="1"/>
          <w:bCs w:val="1"/>
          <w:color w:val="auto"/>
        </w:rPr>
        <w:t>CONFIDENTIALITY, NON-SOLICITATION AND NON-COMPETITION</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8"/>
          <w:szCs w:val="18"/>
          <w:u w:val="single" w:color="auto"/>
          <w:color w:val="auto"/>
        </w:rPr>
        <w:t>Purpose and Reasonableness of Provisions</w:t>
      </w:r>
      <w:r>
        <w:rPr>
          <w:rFonts w:ascii="Arial" w:cs="Arial" w:eastAsia="Arial" w:hAnsi="Arial"/>
          <w:sz w:val="18"/>
          <w:szCs w:val="18"/>
          <w:color w:val="auto"/>
        </w:rPr>
        <w:t>. Executive acknowledges that, during the term of his/her employment with the</w:t>
      </w:r>
      <w:r>
        <w:rPr>
          <w:rFonts w:ascii="Arial" w:cs="Arial" w:eastAsia="Arial" w:hAnsi="Arial"/>
          <w:sz w:val="17"/>
          <w:szCs w:val="17"/>
          <w:color w:val="auto"/>
        </w:rPr>
        <w:t xml:space="preserve"> </w:t>
      </w:r>
      <w:r>
        <w:rPr>
          <w:rFonts w:ascii="Arial" w:cs="Arial" w:eastAsia="Arial" w:hAnsi="Arial"/>
          <w:sz w:val="18"/>
          <w:szCs w:val="18"/>
          <w:color w:val="auto"/>
        </w:rPr>
        <w:t>Company and during the Severance Period, the Company and its affiliates have furnished and may continue to furnish to Executive Trade Secrets and Confidential Information, which, if used by Executive on behalf of, or disclosed to, a competitor of the Company and its affiliates, or other person, could cause substantial detriment to the Company and its affiliates. Moreover, the parties recognize that Executive, during the term of his/her employment with the Company, has and will develop important relationships with customers, agents and others having valuable business relationships with the Company, and that these relationships may continue to develop during the Severance Period. In view of the foregoing, Executive acknowledges and agrees that the restrictive covenants contained in this Section 5 are reasonably necessary to protect the Company’s and its affiliates’ legitimate business interests, Confidential Information, and good will.</w:t>
      </w:r>
    </w:p>
    <w:p>
      <w:pPr>
        <w:spacing w:after="0" w:line="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9"/>
          <w:szCs w:val="19"/>
          <w:u w:val="single" w:color="auto"/>
          <w:color w:val="auto"/>
        </w:rPr>
        <w:t>Trade Secrets and Confidential Information</w:t>
      </w:r>
      <w:r>
        <w:rPr>
          <w:rFonts w:ascii="Arial" w:cs="Arial" w:eastAsia="Arial" w:hAnsi="Arial"/>
          <w:sz w:val="19"/>
          <w:szCs w:val="19"/>
          <w:color w:val="auto"/>
        </w:rPr>
        <w:t>. Executive agrees that he/she shall protect the Company’s and its affiliates’</w:t>
      </w:r>
      <w:r>
        <w:rPr>
          <w:rFonts w:ascii="Arial" w:cs="Arial" w:eastAsia="Arial" w:hAnsi="Arial"/>
          <w:sz w:val="18"/>
          <w:szCs w:val="18"/>
          <w:color w:val="auto"/>
        </w:rPr>
        <w:t xml:space="preserve"> </w:t>
      </w:r>
      <w:r>
        <w:rPr>
          <w:rFonts w:ascii="Arial" w:cs="Arial" w:eastAsia="Arial" w:hAnsi="Arial"/>
          <w:sz w:val="19"/>
          <w:szCs w:val="19"/>
          <w:color w:val="auto"/>
        </w:rPr>
        <w:t>Trade Secrets (as defined below) and Confidential Information (as defined below) and shall not disclose to any person or entity, or otherwise use or disseminate, except in connection with the performance of his/her duties for the Company, any Trade Secrets or Confidential Information; provided, however, that Executive may make disclosures required by a valid order or subpoena issued by a court or administrative agency of competent jurisdiction, in which event Executive will promptly notify the Company or its affiliates of such order or subpoena to provide the Company or its affiliates an opportunity to protect their interests. Executive’s obligations under this Section 5.2 shall apply during his/her employment and after his/her termination of employment, shall continue through the Severance Period, and shall survive any expiration or termination of this Agreement, so long as the information or material remains Confidential Information or a Trade Secret, as applicable.</w:t>
      </w:r>
    </w:p>
    <w:p>
      <w:pPr>
        <w:spacing w:after="0" w:line="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Executive further confirms that during his/her employment with the Company, he/she has not and will not offer, disclose or use on Executive’s own behalf or on behalf of the Company, any information Executive received prior to employment by the Company which was supplied to Executive confidentially or which Executive should reasonably know to be confidential.</w:t>
      </w:r>
    </w:p>
    <w:p>
      <w:pPr>
        <w:spacing w:after="0" w:line="19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Nothing in this Agreement prohibits Executive from reporting possible violations of federal law or regulation to any governmental agency or entity including but not limited to the Department of Justice, the Securities and Exchange Commission, Congress, or any Inspector General, or making other disclosures that are protected under the whistleblower provisions of federal law or regulation. Executive does not need the prior authorization of Company to make any such reports or disclosures, and Executive is not required to notify Company that Executive has made such reports or disclosures.</w:t>
      </w:r>
    </w:p>
    <w:p>
      <w:pPr>
        <w:spacing w:after="0" w:line="3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9"/>
          <w:szCs w:val="19"/>
          <w:u w:val="single" w:color="auto"/>
          <w:color w:val="auto"/>
        </w:rPr>
        <w:t>Return of Property</w:t>
      </w:r>
      <w:r>
        <w:rPr>
          <w:rFonts w:ascii="Arial" w:cs="Arial" w:eastAsia="Arial" w:hAnsi="Arial"/>
          <w:sz w:val="19"/>
          <w:szCs w:val="19"/>
          <w:color w:val="auto"/>
        </w:rPr>
        <w:t>. On or before the start of the Severance Period, Executive agrees to deliver promptly to the Company</w:t>
      </w:r>
      <w:r>
        <w:rPr>
          <w:rFonts w:ascii="Arial" w:cs="Arial" w:eastAsia="Arial" w:hAnsi="Arial"/>
          <w:sz w:val="18"/>
          <w:szCs w:val="18"/>
          <w:color w:val="auto"/>
        </w:rPr>
        <w:t xml:space="preserve"> </w:t>
      </w:r>
      <w:r>
        <w:rPr>
          <w:rFonts w:ascii="Arial" w:cs="Arial" w:eastAsia="Arial" w:hAnsi="Arial"/>
          <w:sz w:val="19"/>
          <w:szCs w:val="19"/>
          <w:color w:val="auto"/>
        </w:rPr>
        <w:t>all files, customer lists, management reports, memoranda, research, Company forms and documents, financial data and reports and other documents (including all such data and documents in electronic form or on flash or external hard drives) of the Company or its affiliates, supplied to or created by him/her in connection with his/her employment hereunder (including all copies of the foregoing) in his/her possession or control, and all of the Company’s equipment (e.g., mobile devices, laptop, computer, flash or hard drives, etc.) and other materials in his/her possession or control. Executive’s obligations under this Section 5.3 shall survive any expiration or termination of this Agreement. Executive agrees and covenants to permanently delete any such information residing in electronic format to the best of his/her ability and to not attempt to retrieve it.</w:t>
      </w:r>
    </w:p>
    <w:p>
      <w:pPr>
        <w:spacing w:after="0" w:line="8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9"/>
          <w:szCs w:val="19"/>
          <w:u w:val="single" w:color="auto"/>
          <w:color w:val="auto"/>
        </w:rPr>
        <w:t>Inventions</w:t>
      </w:r>
      <w:r>
        <w:rPr>
          <w:rFonts w:ascii="Arial" w:cs="Arial" w:eastAsia="Arial" w:hAnsi="Arial"/>
          <w:sz w:val="19"/>
          <w:szCs w:val="19"/>
          <w:color w:val="auto"/>
        </w:rPr>
        <w:t>. Executive does hereby assign to the Company the entire right, title and interest in any Invention which is or</w:t>
      </w:r>
      <w:r>
        <w:rPr>
          <w:rFonts w:ascii="Arial" w:cs="Arial" w:eastAsia="Arial" w:hAnsi="Arial"/>
          <w:sz w:val="18"/>
          <w:szCs w:val="18"/>
          <w:color w:val="auto"/>
        </w:rPr>
        <w:t xml:space="preserve"> </w:t>
      </w:r>
      <w:r>
        <w:rPr>
          <w:rFonts w:ascii="Arial" w:cs="Arial" w:eastAsia="Arial" w:hAnsi="Arial"/>
          <w:sz w:val="19"/>
          <w:szCs w:val="19"/>
          <w:color w:val="auto"/>
        </w:rPr>
        <w:t>was made or conceived, either solely or jointly with others, during his/her employment with the Company. Executive attests that he/she has disclosed (or promptly will disclose, if during the Severance Period) to the Company all such Inventions. Executive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38" w:right="339" w:bottom="1440" w:gutter="0" w:footer="0" w:header="0"/>
        </w:sectPr>
      </w:pPr>
    </w:p>
    <w:bookmarkStart w:id="119" w:name="page120"/>
    <w:bookmarkEnd w:id="119"/>
    <w:p>
      <w:pPr>
        <w:ind w:left="9680"/>
        <w:spacing w:after="0"/>
        <w:rPr>
          <w:sz w:val="20"/>
          <w:szCs w:val="20"/>
          <w:color w:val="auto"/>
        </w:rPr>
      </w:pPr>
      <w:r>
        <w:rPr>
          <w:rFonts w:ascii="Arial" w:cs="Arial" w:eastAsia="Arial" w:hAnsi="Arial"/>
          <w:sz w:val="17"/>
          <w:szCs w:val="17"/>
          <w:b w:val="1"/>
          <w:bCs w:val="1"/>
          <w:color w:val="auto"/>
        </w:rPr>
        <w:t>Exhibit 10(iii)A(83)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8"/>
          <w:szCs w:val="18"/>
          <w:u w:val="single" w:color="auto"/>
          <w:color w:val="auto"/>
        </w:rPr>
        <w:t>Non-Competition</w:t>
      </w:r>
      <w:r>
        <w:rPr>
          <w:rFonts w:ascii="Arial" w:cs="Arial" w:eastAsia="Arial" w:hAnsi="Arial"/>
          <w:sz w:val="18"/>
          <w:szCs w:val="18"/>
          <w:color w:val="auto"/>
        </w:rPr>
        <w:t>. Executive acknowledges and agrees that both during his/her employment and for twelve (12) months</w:t>
      </w:r>
      <w:r>
        <w:rPr>
          <w:rFonts w:ascii="Arial" w:cs="Arial" w:eastAsia="Arial" w:hAnsi="Arial"/>
          <w:sz w:val="17"/>
          <w:szCs w:val="17"/>
          <w:color w:val="auto"/>
        </w:rPr>
        <w:t xml:space="preserve"> </w:t>
      </w:r>
      <w:r>
        <w:rPr>
          <w:rFonts w:ascii="Arial" w:cs="Arial" w:eastAsia="Arial" w:hAnsi="Arial"/>
          <w:sz w:val="18"/>
          <w:szCs w:val="18"/>
          <w:color w:val="auto"/>
        </w:rPr>
        <w:t>after the last day of his/her employment with the Company, he/she has not and will not, directly or indirectly, engage in, provide, or perform any duties or services of the type conducted, authorized, offered, or provided by Executive in his/her capacity as an employee on behalf of the Company within twelve (12) months prior to the start of the Severance Period, on behalf of any person or entity (or in the case of an entity that is organized into divisions or units, any distinct division or operating unit of such entity) in the Territory (as defined in 5.10(g) below) that derives income from providing goods or services substantially similar to those which comprise the Company’s Business.</w:t>
      </w:r>
    </w:p>
    <w:p>
      <w:pPr>
        <w:spacing w:after="0" w:line="7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9"/>
          <w:szCs w:val="19"/>
          <w:u w:val="single" w:color="auto"/>
          <w:color w:val="auto"/>
        </w:rPr>
        <w:t>Non-Solicitation of Customers and Sales Agents</w:t>
      </w:r>
      <w:r>
        <w:rPr>
          <w:rFonts w:ascii="Arial" w:cs="Arial" w:eastAsia="Arial" w:hAnsi="Arial"/>
          <w:sz w:val="19"/>
          <w:szCs w:val="19"/>
          <w:color w:val="auto"/>
        </w:rPr>
        <w:t>. Executive acknowledges and agrees that both during his/her</w:t>
      </w:r>
      <w:r>
        <w:rPr>
          <w:rFonts w:ascii="Arial" w:cs="Arial" w:eastAsia="Arial" w:hAnsi="Arial"/>
          <w:sz w:val="18"/>
          <w:szCs w:val="18"/>
          <w:color w:val="auto"/>
        </w:rPr>
        <w:t xml:space="preserve"> </w:t>
      </w:r>
      <w:r>
        <w:rPr>
          <w:rFonts w:ascii="Arial" w:cs="Arial" w:eastAsia="Arial" w:hAnsi="Arial"/>
          <w:sz w:val="19"/>
          <w:szCs w:val="19"/>
          <w:color w:val="auto"/>
        </w:rPr>
        <w:t>employment and for twenty-four (24) months after the last day of his/her employment with the Company, Executive has not and will not directly or indirectly solicit Customers (as defined below) or Sales Agents (as defined below) with whom he/she had Material Contact (as defined below) for the purpose of providing goods and/or services competitive with the Company’s Business. Notwithstanding the foregoing, this Section shall not prevent Executive, during the course of his/her Severance Period, from soliciting a person or entity that has since discontinued all business communications with the Company.</w:t>
      </w:r>
    </w:p>
    <w:p>
      <w:pPr>
        <w:spacing w:after="0" w:line="8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9"/>
          <w:szCs w:val="19"/>
          <w:u w:val="single" w:color="auto"/>
          <w:color w:val="auto"/>
        </w:rPr>
        <w:t>Non-Solicitation of Employees and Agents</w:t>
      </w:r>
      <w:r>
        <w:rPr>
          <w:rFonts w:ascii="Arial" w:cs="Arial" w:eastAsia="Arial" w:hAnsi="Arial"/>
          <w:sz w:val="19"/>
          <w:szCs w:val="19"/>
          <w:color w:val="auto"/>
        </w:rPr>
        <w:t>. Executive acknowledges and agrees that both during his/her employment and</w:t>
      </w:r>
      <w:r>
        <w:rPr>
          <w:rFonts w:ascii="Arial" w:cs="Arial" w:eastAsia="Arial" w:hAnsi="Arial"/>
          <w:sz w:val="18"/>
          <w:szCs w:val="18"/>
          <w:color w:val="auto"/>
        </w:rPr>
        <w:t xml:space="preserve"> </w:t>
      </w:r>
      <w:r>
        <w:rPr>
          <w:rFonts w:ascii="Arial" w:cs="Arial" w:eastAsia="Arial" w:hAnsi="Arial"/>
          <w:sz w:val="19"/>
          <w:szCs w:val="19"/>
          <w:color w:val="auto"/>
        </w:rPr>
        <w:t>for twenty-four (24) months after the last day of his/her employment with the Company, Executive has not and will not, directly or indirectly, whether on behalf of Executive or others, solicit, lure or attempt to hire away any of the Company’s or its affiliates’ employees or agents. Notwithstanding the foregoing, this Section shall not prevent Executive from soliciting an employee or agent that has since discontinued all business dealings with the Company.</w:t>
      </w:r>
    </w:p>
    <w:p>
      <w:pPr>
        <w:spacing w:after="0" w:line="8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9"/>
          <w:szCs w:val="19"/>
          <w:u w:val="single" w:color="auto"/>
          <w:color w:val="auto"/>
        </w:rPr>
        <w:t>Non-Disparagement</w:t>
      </w:r>
      <w:r>
        <w:rPr>
          <w:rFonts w:ascii="Arial" w:cs="Arial" w:eastAsia="Arial" w:hAnsi="Arial"/>
          <w:sz w:val="19"/>
          <w:szCs w:val="19"/>
          <w:color w:val="auto"/>
        </w:rPr>
        <w:t>. Executive agrees that he/she will not make any disparaging statements or comments to any person</w:t>
      </w:r>
      <w:r>
        <w:rPr>
          <w:rFonts w:ascii="Arial" w:cs="Arial" w:eastAsia="Arial" w:hAnsi="Arial"/>
          <w:sz w:val="18"/>
          <w:szCs w:val="18"/>
          <w:color w:val="auto"/>
        </w:rPr>
        <w:t xml:space="preserve"> </w:t>
      </w:r>
      <w:r>
        <w:rPr>
          <w:rFonts w:ascii="Arial" w:cs="Arial" w:eastAsia="Arial" w:hAnsi="Arial"/>
          <w:sz w:val="19"/>
          <w:szCs w:val="19"/>
          <w:color w:val="auto"/>
        </w:rPr>
        <w:t>or entity by any medium, whether oral or written, about Company, any of its affiliates or any of its respective officers, directors, employees, shareholders, agents, representatives or independent contractors. Nor shall Executive communicate to any person or entity by any medium, whether oral or written, any information harmful or adverse to Company, any of its affiliates or any of its respective officers, directors, employees, shareholders, agents, representatives or independent contractors. Nothing in this Section shall prevent Executive from providing truthful testimony pursuant to a lawful subpoena or other court order.</w:t>
      </w:r>
    </w:p>
    <w:p>
      <w:pPr>
        <w:spacing w:after="0" w:line="8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9"/>
          <w:szCs w:val="19"/>
          <w:u w:val="single" w:color="auto"/>
          <w:color w:val="auto"/>
        </w:rPr>
        <w:t>Injunctive Relief</w:t>
      </w:r>
      <w:r>
        <w:rPr>
          <w:rFonts w:ascii="Arial" w:cs="Arial" w:eastAsia="Arial" w:hAnsi="Arial"/>
          <w:sz w:val="19"/>
          <w:szCs w:val="19"/>
          <w:color w:val="auto"/>
        </w:rPr>
        <w:t>. Executive acknowledges that if he/she breaches or threatens to breach any of the provisions of this</w:t>
      </w:r>
      <w:r>
        <w:rPr>
          <w:rFonts w:ascii="Arial" w:cs="Arial" w:eastAsia="Arial" w:hAnsi="Arial"/>
          <w:sz w:val="18"/>
          <w:szCs w:val="18"/>
          <w:color w:val="auto"/>
        </w:rPr>
        <w:t xml:space="preserve"> </w:t>
      </w:r>
      <w:r>
        <w:rPr>
          <w:rFonts w:ascii="Arial" w:cs="Arial" w:eastAsia="Arial" w:hAnsi="Arial"/>
          <w:sz w:val="19"/>
          <w:szCs w:val="19"/>
          <w:color w:val="auto"/>
        </w:rPr>
        <w:t>Section 5, his/her actions may cause irreparable harm and damage to the Company or its affiliates which could not be compensated in damages. Accordingly, if Executive breaches or threatens to breach any of the provisions of this Section 5, the Company (or, if applicable, an affiliate) shall be entitled to seek injunctive relief, in addition to any other rights or remedies the Company (or, if applicable, an affiliate) may have. The existence of any claim or cause of action by Executive against the Company, whether predicated on this Agreement or otherwise, shall not constitute a defense to the enforcement by the Company (or, if applicable, an affiliate) of Executive’s agreements under this Section 5.</w:t>
      </w:r>
    </w:p>
    <w:p>
      <w:pPr>
        <w:spacing w:after="0" w:line="86"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8"/>
          <w:szCs w:val="18"/>
          <w:u w:val="single" w:color="auto"/>
          <w:color w:val="auto"/>
        </w:rPr>
        <w:t xml:space="preserve">Definitions. </w:t>
      </w:r>
      <w:r>
        <w:rPr>
          <w:rFonts w:ascii="Arial" w:cs="Arial" w:eastAsia="Arial" w:hAnsi="Arial"/>
          <w:sz w:val="18"/>
          <w:szCs w:val="18"/>
          <w:color w:val="auto"/>
        </w:rPr>
        <w:t>For purposes of this Section 5, the following definitions shall apply:</w:t>
      </w:r>
    </w:p>
    <w:p>
      <w:pPr>
        <w:spacing w:after="0" w:line="144" w:lineRule="exact"/>
        <w:rPr>
          <w:sz w:val="20"/>
          <w:szCs w:val="20"/>
          <w:color w:val="auto"/>
        </w:rPr>
      </w:pPr>
    </w:p>
    <w:p>
      <w:pPr>
        <w:ind w:left="2100" w:hanging="796"/>
        <w:spacing w:after="0"/>
        <w:tabs>
          <w:tab w:leader="none" w:pos="2100" w:val="left"/>
        </w:tabs>
        <w:numPr>
          <w:ilvl w:val="0"/>
          <w:numId w:val="59"/>
        </w:numPr>
        <w:rPr>
          <w:rFonts w:ascii="Arial" w:cs="Arial" w:eastAsia="Arial" w:hAnsi="Arial"/>
          <w:sz w:val="18"/>
          <w:szCs w:val="18"/>
          <w:color w:val="auto"/>
        </w:rPr>
      </w:pPr>
      <w:r>
        <w:rPr>
          <w:rFonts w:ascii="Arial" w:cs="Arial" w:eastAsia="Arial" w:hAnsi="Arial"/>
          <w:sz w:val="20"/>
          <w:szCs w:val="20"/>
          <w:color w:val="auto"/>
        </w:rPr>
        <w:t>“Confidential Information” means:</w:t>
      </w:r>
    </w:p>
    <w:p>
      <w:pPr>
        <w:spacing w:after="0" w:line="121" w:lineRule="exact"/>
        <w:rPr>
          <w:rFonts w:ascii="Arial" w:cs="Arial" w:eastAsia="Arial" w:hAnsi="Arial"/>
          <w:sz w:val="18"/>
          <w:szCs w:val="18"/>
          <w:color w:val="auto"/>
        </w:rPr>
      </w:pPr>
    </w:p>
    <w:p>
      <w:pPr>
        <w:jc w:val="both"/>
        <w:ind w:firstLine="1944"/>
        <w:spacing w:after="0" w:line="242" w:lineRule="auto"/>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19"/>
          <w:szCs w:val="19"/>
          <w:color w:val="auto"/>
        </w:rPr>
        <w:t>Data and information relating to the Company’s Business; disclosed to Executive or of which Executive</w:t>
      </w:r>
      <w:r>
        <w:rPr>
          <w:rFonts w:ascii="Arial" w:cs="Arial" w:eastAsia="Arial" w:hAnsi="Arial"/>
          <w:sz w:val="18"/>
          <w:szCs w:val="18"/>
          <w:color w:val="auto"/>
        </w:rPr>
        <w:t xml:space="preserve"> </w:t>
      </w:r>
      <w:r>
        <w:rPr>
          <w:rFonts w:ascii="Arial" w:cs="Arial" w:eastAsia="Arial" w:hAnsi="Arial"/>
          <w:sz w:val="19"/>
          <w:szCs w:val="19"/>
          <w:color w:val="auto"/>
        </w:rPr>
        <w:t>became aware of as a consequence of Executive’s relationship with the Company; having value to the employer; not generally known to the competitors for the employer; and which includes trade secrets, methods of operation, names of customers, price lists, financial information and projections, route books, personnel data, and similar information For purposes of this Agreement, subject to the foregoing, and according to terminology commonly used by the Company, the Company’s Confidential Information shall include, but not be limited to, information pertaining to: (1) Business Opportunities (as defined below); (2) data and compilations of data relating to the Company’s Business (as defined below); (3) compilations of information about, and communications and agreements with, customers and potential customers of the Company; (4) computer software, hardware, network and internet technology utilized, modified or enhanced by the Company or by Executive in furtherance of Executive’s duties with the Company; (5) compilations of data concerning Company products, services, customers, and end users including but not limited to compilations concerning projected sales, new project timelines, inventory reports, sales, and cost and expense reports;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38" w:right="339" w:bottom="1440" w:gutter="0" w:footer="0" w:header="0"/>
        </w:sectPr>
      </w:pPr>
    </w:p>
    <w:bookmarkStart w:id="120" w:name="page121"/>
    <w:bookmarkEnd w:id="120"/>
    <w:p>
      <w:pPr>
        <w:ind w:left="9680"/>
        <w:spacing w:after="0"/>
        <w:rPr>
          <w:sz w:val="20"/>
          <w:szCs w:val="20"/>
          <w:color w:val="auto"/>
        </w:rPr>
      </w:pPr>
      <w:r>
        <w:rPr>
          <w:rFonts w:ascii="Arial" w:cs="Arial" w:eastAsia="Arial" w:hAnsi="Arial"/>
          <w:sz w:val="17"/>
          <w:szCs w:val="17"/>
          <w:b w:val="1"/>
          <w:bCs w:val="1"/>
          <w:color w:val="auto"/>
        </w:rPr>
        <w:t>Exhibit 10(iii)A(83)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8"/>
        <w:spacing w:after="0" w:line="241" w:lineRule="auto"/>
        <w:tabs>
          <w:tab w:leader="none" w:pos="317" w:val="left"/>
        </w:tabs>
        <w:numPr>
          <w:ilvl w:val="0"/>
          <w:numId w:val="60"/>
        </w:numPr>
        <w:rPr>
          <w:rFonts w:ascii="Arial" w:cs="Arial" w:eastAsia="Arial" w:hAnsi="Arial"/>
          <w:sz w:val="19"/>
          <w:szCs w:val="19"/>
          <w:color w:val="auto"/>
        </w:rPr>
      </w:pPr>
      <w:r>
        <w:rPr>
          <w:rFonts w:ascii="Arial" w:cs="Arial" w:eastAsia="Arial" w:hAnsi="Arial"/>
          <w:sz w:val="19"/>
          <w:szCs w:val="19"/>
          <w:color w:val="auto"/>
        </w:rPr>
        <w:t>compilations of information about the Company’s employees and independent contracting consultants; (7) the Company’s financial information, including, without limitation, amounts charged to customers and amounts charged to the Company by its vendors, suppliers, and service providers; (8) proposals submitted to the Company’s customers, potential customers, wholesalers, distributors, vendors, suppliers and service providers; (9) the Company’s marketing strategies and compilations of marketing data; (10) compilations of data or information concerning, and communications and agreements with, vendors, suppliers and licensors to the Company and other sources of technology, products, services or components used in the Company’s Business; (11) any information concerning services requested and services performed on behalf of customers of the Company, including planned products or services; and (12) the Company’s research and development records and data. Confidential Information also includes any summary, extract or analysis of such information together with information that has been received or disclosed to the Company by any third party as to which the Company has an obligation to treat as confidential.</w:t>
      </w:r>
    </w:p>
    <w:p>
      <w:pPr>
        <w:spacing w:after="0" w:line="87" w:lineRule="exact"/>
        <w:rPr>
          <w:rFonts w:ascii="Arial" w:cs="Arial" w:eastAsia="Arial" w:hAnsi="Arial"/>
          <w:sz w:val="19"/>
          <w:szCs w:val="19"/>
          <w:color w:val="auto"/>
        </w:rPr>
      </w:pPr>
    </w:p>
    <w:p>
      <w:pPr>
        <w:ind w:left="2740" w:hanging="788"/>
        <w:spacing w:after="0"/>
        <w:tabs>
          <w:tab w:leader="none" w:pos="2740" w:val="left"/>
        </w:tabs>
        <w:numPr>
          <w:ilvl w:val="2"/>
          <w:numId w:val="60"/>
        </w:numPr>
        <w:rPr>
          <w:rFonts w:ascii="Arial" w:cs="Arial" w:eastAsia="Arial" w:hAnsi="Arial"/>
          <w:sz w:val="18"/>
          <w:szCs w:val="18"/>
          <w:color w:val="auto"/>
        </w:rPr>
      </w:pPr>
      <w:r>
        <w:rPr>
          <w:rFonts w:ascii="Arial" w:cs="Arial" w:eastAsia="Arial" w:hAnsi="Arial"/>
          <w:sz w:val="20"/>
          <w:szCs w:val="20"/>
          <w:color w:val="auto"/>
        </w:rPr>
        <w:t>Confidential Information shall not include:</w:t>
      </w:r>
    </w:p>
    <w:p>
      <w:pPr>
        <w:spacing w:after="0" w:line="121" w:lineRule="exact"/>
        <w:rPr>
          <w:rFonts w:ascii="Arial" w:cs="Arial" w:eastAsia="Arial" w:hAnsi="Arial"/>
          <w:sz w:val="18"/>
          <w:szCs w:val="18"/>
          <w:color w:val="auto"/>
        </w:rPr>
      </w:pPr>
    </w:p>
    <w:p>
      <w:pPr>
        <w:ind w:left="3400" w:hanging="800"/>
        <w:spacing w:after="0"/>
        <w:tabs>
          <w:tab w:leader="none" w:pos="3400" w:val="left"/>
        </w:tabs>
        <w:numPr>
          <w:ilvl w:val="3"/>
          <w:numId w:val="60"/>
        </w:numPr>
        <w:rPr>
          <w:rFonts w:ascii="Arial" w:cs="Arial" w:eastAsia="Arial" w:hAnsi="Arial"/>
          <w:sz w:val="17"/>
          <w:szCs w:val="17"/>
          <w:color w:val="auto"/>
        </w:rPr>
      </w:pPr>
      <w:r>
        <w:rPr>
          <w:rFonts w:ascii="Arial" w:cs="Arial" w:eastAsia="Arial" w:hAnsi="Arial"/>
          <w:sz w:val="19"/>
          <w:szCs w:val="19"/>
          <w:color w:val="auto"/>
        </w:rPr>
        <w:t>Information generally available to the public other than as a result of improper disclosure by</w:t>
      </w:r>
    </w:p>
    <w:p>
      <w:pPr>
        <w:spacing w:after="0" w:line="27"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20"/>
          <w:szCs w:val="20"/>
          <w:color w:val="auto"/>
        </w:rPr>
        <w:t>Executive;</w:t>
      </w:r>
    </w:p>
    <w:p>
      <w:pPr>
        <w:spacing w:after="0" w:line="91" w:lineRule="exact"/>
        <w:rPr>
          <w:rFonts w:ascii="Arial" w:cs="Arial" w:eastAsia="Arial" w:hAnsi="Arial"/>
          <w:sz w:val="17"/>
          <w:szCs w:val="17"/>
          <w:color w:val="auto"/>
        </w:rPr>
      </w:pPr>
    </w:p>
    <w:p>
      <w:pPr>
        <w:ind w:left="660" w:firstLine="1940"/>
        <w:spacing w:after="0" w:line="316" w:lineRule="auto"/>
        <w:tabs>
          <w:tab w:leader="none" w:pos="3402" w:val="left"/>
        </w:tabs>
        <w:numPr>
          <w:ilvl w:val="3"/>
          <w:numId w:val="60"/>
        </w:numPr>
        <w:rPr>
          <w:rFonts w:ascii="Arial" w:cs="Arial" w:eastAsia="Arial" w:hAnsi="Arial"/>
          <w:sz w:val="16"/>
          <w:szCs w:val="16"/>
          <w:color w:val="auto"/>
        </w:rPr>
      </w:pPr>
      <w:r>
        <w:rPr>
          <w:rFonts w:ascii="Arial" w:cs="Arial" w:eastAsia="Arial" w:hAnsi="Arial"/>
          <w:sz w:val="18"/>
          <w:szCs w:val="18"/>
          <w:color w:val="auto"/>
        </w:rPr>
        <w:t>Information that becomes available to Executive from a source other than the Company (provided Executive has no knowledge that such information was obtained from a source in breach of a duty to the Company);</w:t>
      </w:r>
    </w:p>
    <w:p>
      <w:pPr>
        <w:spacing w:after="0" w:line="21" w:lineRule="exact"/>
        <w:rPr>
          <w:rFonts w:ascii="Arial" w:cs="Arial" w:eastAsia="Arial" w:hAnsi="Arial"/>
          <w:sz w:val="16"/>
          <w:szCs w:val="16"/>
          <w:color w:val="auto"/>
        </w:rPr>
      </w:pPr>
    </w:p>
    <w:p>
      <w:pPr>
        <w:ind w:left="3400" w:hanging="800"/>
        <w:spacing w:after="0"/>
        <w:tabs>
          <w:tab w:leader="none" w:pos="3400" w:val="left"/>
        </w:tabs>
        <w:numPr>
          <w:ilvl w:val="3"/>
          <w:numId w:val="60"/>
        </w:numPr>
        <w:rPr>
          <w:rFonts w:ascii="Arial" w:cs="Arial" w:eastAsia="Arial" w:hAnsi="Arial"/>
          <w:sz w:val="16"/>
          <w:szCs w:val="16"/>
          <w:color w:val="auto"/>
        </w:rPr>
      </w:pPr>
      <w:r>
        <w:rPr>
          <w:rFonts w:ascii="Arial" w:cs="Arial" w:eastAsia="Arial" w:hAnsi="Arial"/>
          <w:sz w:val="18"/>
          <w:szCs w:val="18"/>
          <w:color w:val="auto"/>
        </w:rPr>
        <w:t>Information disclosed pursuant to law, regulations or pursuant to a subpoena, court order or legal</w:t>
      </w:r>
    </w:p>
    <w:p>
      <w:pPr>
        <w:spacing w:after="0" w:line="3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process; and/or</w:t>
      </w:r>
    </w:p>
    <w:p>
      <w:pPr>
        <w:spacing w:after="0" w:line="91" w:lineRule="exact"/>
        <w:rPr>
          <w:rFonts w:ascii="Arial" w:cs="Arial" w:eastAsia="Arial" w:hAnsi="Arial"/>
          <w:sz w:val="16"/>
          <w:szCs w:val="16"/>
          <w:color w:val="auto"/>
        </w:rPr>
      </w:pPr>
    </w:p>
    <w:p>
      <w:pPr>
        <w:ind w:left="3400" w:hanging="800"/>
        <w:spacing w:after="0"/>
        <w:tabs>
          <w:tab w:leader="none" w:pos="3400" w:val="left"/>
        </w:tabs>
        <w:numPr>
          <w:ilvl w:val="3"/>
          <w:numId w:val="60"/>
        </w:numPr>
        <w:rPr>
          <w:rFonts w:ascii="Arial" w:cs="Arial" w:eastAsia="Arial" w:hAnsi="Arial"/>
          <w:sz w:val="18"/>
          <w:szCs w:val="18"/>
          <w:color w:val="auto"/>
        </w:rPr>
      </w:pPr>
      <w:r>
        <w:rPr>
          <w:rFonts w:ascii="Arial" w:cs="Arial" w:eastAsia="Arial" w:hAnsi="Arial"/>
          <w:sz w:val="20"/>
          <w:szCs w:val="20"/>
          <w:color w:val="auto"/>
        </w:rPr>
        <w:t>Information obtained in filings with the Securities and Exchange Commission.</w:t>
      </w:r>
    </w:p>
    <w:p>
      <w:pPr>
        <w:spacing w:after="0" w:line="121" w:lineRule="exact"/>
        <w:rPr>
          <w:rFonts w:ascii="Arial" w:cs="Arial" w:eastAsia="Arial" w:hAnsi="Arial"/>
          <w:sz w:val="18"/>
          <w:szCs w:val="18"/>
          <w:color w:val="auto"/>
        </w:rPr>
      </w:pPr>
    </w:p>
    <w:p>
      <w:pPr>
        <w:ind w:left="2100" w:hanging="796"/>
        <w:spacing w:after="0"/>
        <w:tabs>
          <w:tab w:leader="none" w:pos="2100" w:val="left"/>
        </w:tabs>
        <w:numPr>
          <w:ilvl w:val="1"/>
          <w:numId w:val="60"/>
        </w:numPr>
        <w:rPr>
          <w:rFonts w:ascii="Arial" w:cs="Arial" w:eastAsia="Arial" w:hAnsi="Arial"/>
          <w:sz w:val="16"/>
          <w:szCs w:val="16"/>
          <w:color w:val="auto"/>
        </w:rPr>
      </w:pPr>
      <w:r>
        <w:rPr>
          <w:rFonts w:ascii="Arial" w:cs="Arial" w:eastAsia="Arial" w:hAnsi="Arial"/>
          <w:sz w:val="18"/>
          <w:szCs w:val="18"/>
          <w:color w:val="auto"/>
        </w:rPr>
        <w:t>“Trade Secrets” means Confidential Information constituting a trade secret under Georgia Law, O.C.G.A. §§ 10-1-</w:t>
      </w:r>
    </w:p>
    <w:p>
      <w:pPr>
        <w:spacing w:after="0" w:line="3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 xml:space="preserve">760, </w:t>
      </w:r>
      <w:r>
        <w:rPr>
          <w:rFonts w:ascii="Arial" w:cs="Arial" w:eastAsia="Arial" w:hAnsi="Arial"/>
          <w:sz w:val="20"/>
          <w:szCs w:val="20"/>
          <w:i w:val="1"/>
          <w:iCs w:val="1"/>
          <w:color w:val="auto"/>
        </w:rPr>
        <w:t>et seq</w:t>
      </w:r>
      <w:r>
        <w:rPr>
          <w:rFonts w:ascii="Arial" w:cs="Arial" w:eastAsia="Arial" w:hAnsi="Arial"/>
          <w:sz w:val="20"/>
          <w:szCs w:val="20"/>
          <w:color w:val="auto"/>
        </w:rPr>
        <w:t>.</w:t>
      </w:r>
    </w:p>
    <w:p>
      <w:pPr>
        <w:spacing w:after="0" w:line="91" w:lineRule="exact"/>
        <w:rPr>
          <w:rFonts w:ascii="Arial" w:cs="Arial" w:eastAsia="Arial" w:hAnsi="Arial"/>
          <w:sz w:val="16"/>
          <w:szCs w:val="16"/>
          <w:color w:val="auto"/>
        </w:rPr>
      </w:pPr>
    </w:p>
    <w:p>
      <w:pPr>
        <w:jc w:val="both"/>
        <w:ind w:left="660" w:firstLine="644"/>
        <w:spacing w:after="0" w:line="235" w:lineRule="auto"/>
        <w:tabs>
          <w:tab w:leader="none" w:pos="2096" w:val="left"/>
        </w:tabs>
        <w:numPr>
          <w:ilvl w:val="1"/>
          <w:numId w:val="60"/>
        </w:numPr>
        <w:rPr>
          <w:rFonts w:ascii="Arial" w:cs="Arial" w:eastAsia="Arial" w:hAnsi="Arial"/>
          <w:sz w:val="18"/>
          <w:szCs w:val="18"/>
          <w:color w:val="auto"/>
        </w:rPr>
      </w:pPr>
      <w:r>
        <w:rPr>
          <w:rFonts w:ascii="Arial" w:cs="Arial" w:eastAsia="Arial" w:hAnsi="Arial"/>
          <w:sz w:val="20"/>
          <w:szCs w:val="20"/>
          <w:color w:val="auto"/>
        </w:rPr>
        <w:t>“Inventions” means contributions, discoveries, improvements and ideas and works of authorship, whether or not patentable or copyrightable, and: (i) which relate directly to the business of the Company, or (ii) which result from any work performed by Executive or by Executive’s fellow employees for the Company, or (iii) for which equipment, supplies, facilities, Confidential Information or Trade Secrets of the Company or its affiliates are used, or (iv) which is developed on the Company’s time.</w:t>
      </w:r>
    </w:p>
    <w:p>
      <w:pPr>
        <w:spacing w:after="0" w:line="89" w:lineRule="exact"/>
        <w:rPr>
          <w:rFonts w:ascii="Arial" w:cs="Arial" w:eastAsia="Arial" w:hAnsi="Arial"/>
          <w:sz w:val="18"/>
          <w:szCs w:val="18"/>
          <w:color w:val="auto"/>
        </w:rPr>
      </w:pPr>
    </w:p>
    <w:p>
      <w:pPr>
        <w:jc w:val="both"/>
        <w:ind w:left="660" w:firstLine="644"/>
        <w:spacing w:after="0" w:line="235" w:lineRule="auto"/>
        <w:tabs>
          <w:tab w:leader="none" w:pos="2106" w:val="left"/>
        </w:tabs>
        <w:numPr>
          <w:ilvl w:val="1"/>
          <w:numId w:val="60"/>
        </w:numPr>
        <w:rPr>
          <w:rFonts w:ascii="Arial" w:cs="Arial" w:eastAsia="Arial" w:hAnsi="Arial"/>
          <w:sz w:val="18"/>
          <w:szCs w:val="18"/>
          <w:color w:val="auto"/>
        </w:rPr>
      </w:pPr>
      <w:r>
        <w:rPr>
          <w:rFonts w:ascii="Arial" w:cs="Arial" w:eastAsia="Arial" w:hAnsi="Arial"/>
          <w:sz w:val="20"/>
          <w:szCs w:val="20"/>
          <w:color w:val="auto"/>
        </w:rPr>
        <w:t>“Customers” means those entities and/or individuals who are customers of the Company and/or its affiliates with respect to which, within the two-year period preceding the start of the Severance Period: (i) Executive had Material Contact on behalf of the Company; (ii) Executive acquired, directly or indirectly, Confidential Information or Trade Secrets as a result of his employment with the Company; and/or (iii) Executive exercised oversight or responsibility of subordinates who engaged in Material Contact on behalf of the Company.</w:t>
      </w:r>
    </w:p>
    <w:p>
      <w:pPr>
        <w:spacing w:after="0" w:line="89" w:lineRule="exact"/>
        <w:rPr>
          <w:rFonts w:ascii="Arial" w:cs="Arial" w:eastAsia="Arial" w:hAnsi="Arial"/>
          <w:sz w:val="18"/>
          <w:szCs w:val="18"/>
          <w:color w:val="auto"/>
        </w:rPr>
      </w:pPr>
    </w:p>
    <w:p>
      <w:pPr>
        <w:jc w:val="both"/>
        <w:ind w:left="660" w:firstLine="644"/>
        <w:spacing w:after="0" w:line="256" w:lineRule="auto"/>
        <w:tabs>
          <w:tab w:leader="none" w:pos="2106" w:val="left"/>
        </w:tabs>
        <w:numPr>
          <w:ilvl w:val="1"/>
          <w:numId w:val="60"/>
        </w:numPr>
        <w:rPr>
          <w:rFonts w:ascii="Arial" w:cs="Arial" w:eastAsia="Arial" w:hAnsi="Arial"/>
          <w:sz w:val="16"/>
          <w:szCs w:val="16"/>
          <w:color w:val="auto"/>
        </w:rPr>
      </w:pPr>
      <w:r>
        <w:rPr>
          <w:rFonts w:ascii="Arial" w:cs="Arial" w:eastAsia="Arial" w:hAnsi="Arial"/>
          <w:sz w:val="18"/>
          <w:szCs w:val="18"/>
          <w:color w:val="auto"/>
        </w:rPr>
        <w:t>“Company’s Business” means the design, manufacture, installation, servicing, and/or sale of one or more of the following and any related products and/or services: lighting fixtures and systems; lighting control components and systems (including but not limited to dimmers, switches, relays, programmable lighting controllers, sensors, timers, and range extenders for lighting and energy management and other purposes); building management and/or control systems; commercial building lighting controls; intelligent building automation and energy management technologies, products, software and solutions with respect to HVAC systems and HVAC controls and sensors; motorized shading and blind controls; building security and access control and monitoring for fire and life safety; emergency lighting fixtures and systems (including but not limited to exit signs, emergency light units, inverters, back-up power battery packs, and combinations thereof); battery powered and/or photovoltaic lighting fixtures; electric lighting track units; hardware for mounting and hanging electrical lighting fixtures; aluminum, steel and fiberglass fixture poles for electric lighting; light fixture lenses; sound and electromagnetic wave receivers and transmitters; flexible and modular wiring systems and components (namely, flexible branch circuits, attachment plugs, receptacles, connectors and fittings); LED drivers and other power supplies; daylighting systems including but not limited to prismatic skylighting and</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238" w:right="339" w:bottom="1440" w:gutter="0" w:footer="0" w:header="0"/>
        </w:sectPr>
      </w:pPr>
    </w:p>
    <w:bookmarkStart w:id="121" w:name="page122"/>
    <w:bookmarkEnd w:id="121"/>
    <w:p>
      <w:pPr>
        <w:ind w:left="9680"/>
        <w:spacing w:after="0"/>
        <w:rPr>
          <w:sz w:val="20"/>
          <w:szCs w:val="20"/>
          <w:color w:val="auto"/>
        </w:rPr>
      </w:pPr>
      <w:r>
        <w:rPr>
          <w:rFonts w:ascii="Arial" w:cs="Arial" w:eastAsia="Arial" w:hAnsi="Arial"/>
          <w:sz w:val="17"/>
          <w:szCs w:val="17"/>
          <w:b w:val="1"/>
          <w:bCs w:val="1"/>
          <w:color w:val="auto"/>
        </w:rPr>
        <w:t>Exhibit 10(iii)A(83)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660"/>
        <w:spacing w:after="0" w:line="237" w:lineRule="auto"/>
        <w:rPr>
          <w:sz w:val="20"/>
          <w:szCs w:val="20"/>
          <w:color w:val="auto"/>
        </w:rPr>
      </w:pPr>
      <w:r>
        <w:rPr>
          <w:rFonts w:ascii="Arial" w:cs="Arial" w:eastAsia="Arial" w:hAnsi="Arial"/>
          <w:sz w:val="20"/>
          <w:szCs w:val="20"/>
          <w:color w:val="auto"/>
        </w:rPr>
        <w:t>related controls; organic LED products and technology; medical and patient care lighting devices and systems; indoor positioning products and technology; sensor based information networks; distributed software services; and any wired or wireless communications and monitoring hardware or software related to any of the above.</w:t>
      </w:r>
    </w:p>
    <w:p>
      <w:pPr>
        <w:spacing w:after="0" w:line="88" w:lineRule="exact"/>
        <w:rPr>
          <w:sz w:val="20"/>
          <w:szCs w:val="20"/>
          <w:color w:val="auto"/>
        </w:rPr>
      </w:pPr>
    </w:p>
    <w:p>
      <w:pPr>
        <w:jc w:val="both"/>
        <w:ind w:left="660" w:firstLine="644"/>
        <w:spacing w:after="0" w:line="259" w:lineRule="auto"/>
        <w:tabs>
          <w:tab w:leader="none" w:pos="2056" w:val="left"/>
        </w:tabs>
        <w:numPr>
          <w:ilvl w:val="1"/>
          <w:numId w:val="61"/>
        </w:numPr>
        <w:rPr>
          <w:rFonts w:ascii="Arial" w:cs="Arial" w:eastAsia="Arial" w:hAnsi="Arial"/>
          <w:sz w:val="16"/>
          <w:szCs w:val="16"/>
          <w:color w:val="auto"/>
        </w:rPr>
      </w:pPr>
      <w:r>
        <w:rPr>
          <w:rFonts w:ascii="Arial" w:cs="Arial" w:eastAsia="Arial" w:hAnsi="Arial"/>
          <w:sz w:val="18"/>
          <w:szCs w:val="18"/>
          <w:color w:val="auto"/>
        </w:rPr>
        <w:t>“Territory” means the United States. Executive acknowledges that the Company is licensed to do business and in fact does business in all fifty states in the United States. Executive further acknowledges that the services he has performed and may continue to perform on behalf of the Company or its affiliates, including executive services, are at a senior managerial level and are not limited in their territorial scope to any particular city, state, or region, but instead affect the Company’s activity within the entire United States. Specifically, Executive provides executive services on the Company’s behalf, travels throughout the United States to attend Company meetings, visit Company factories and distribution centers, meet with Company agents and distributors, and attend trade shows. Accordingly, Executive agrees that these restrictions are reasonable and necessary to protect the Confidential Information, trade secrets, business relationships, and goodwill of the Company.</w:t>
      </w:r>
    </w:p>
    <w:p>
      <w:pPr>
        <w:spacing w:after="0" w:line="76" w:lineRule="exact"/>
        <w:rPr>
          <w:rFonts w:ascii="Arial" w:cs="Arial" w:eastAsia="Arial" w:hAnsi="Arial"/>
          <w:sz w:val="16"/>
          <w:szCs w:val="16"/>
          <w:color w:val="auto"/>
        </w:rPr>
      </w:pPr>
    </w:p>
    <w:p>
      <w:pPr>
        <w:jc w:val="both"/>
        <w:ind w:left="660" w:firstLine="644"/>
        <w:spacing w:after="0" w:line="263" w:lineRule="auto"/>
        <w:tabs>
          <w:tab w:leader="none" w:pos="2106" w:val="left"/>
        </w:tabs>
        <w:numPr>
          <w:ilvl w:val="1"/>
          <w:numId w:val="61"/>
        </w:numPr>
        <w:rPr>
          <w:rFonts w:ascii="Arial" w:cs="Arial" w:eastAsia="Arial" w:hAnsi="Arial"/>
          <w:sz w:val="16"/>
          <w:szCs w:val="16"/>
          <w:color w:val="auto"/>
        </w:rPr>
      </w:pPr>
      <w:r>
        <w:rPr>
          <w:rFonts w:ascii="Arial" w:cs="Arial" w:eastAsia="Arial" w:hAnsi="Arial"/>
          <w:sz w:val="18"/>
          <w:szCs w:val="18"/>
          <w:color w:val="auto"/>
        </w:rPr>
        <w:t>“Material Contact” shall have the meaning set forth in O.C.G.A. § 13-8-51(10), which includes contact between an employee and each customer or potential customer: with whom or which the employee dealt on behalf of the employer; whose dealings with the employer were coordinated or supervised by the employee; about whom the employee obtained confidential information in the ordinary course of business as a result of such employee’s association with the employer; or who receives products or services authorized by the employer, the sale or provision of which results of resulted in compensation, commissions, or earnings for the employee within two years prior to the date of the start of the Severance Period.</w:t>
      </w:r>
    </w:p>
    <w:p>
      <w:pPr>
        <w:spacing w:after="0" w:line="70" w:lineRule="exact"/>
        <w:rPr>
          <w:rFonts w:ascii="Arial" w:cs="Arial" w:eastAsia="Arial" w:hAnsi="Arial"/>
          <w:sz w:val="16"/>
          <w:szCs w:val="16"/>
          <w:color w:val="auto"/>
        </w:rPr>
      </w:pPr>
    </w:p>
    <w:p>
      <w:pPr>
        <w:ind w:left="660" w:firstLine="644"/>
        <w:spacing w:after="0" w:line="260" w:lineRule="auto"/>
        <w:tabs>
          <w:tab w:leader="none" w:pos="2106" w:val="left"/>
        </w:tabs>
        <w:numPr>
          <w:ilvl w:val="1"/>
          <w:numId w:val="61"/>
        </w:numPr>
        <w:rPr>
          <w:rFonts w:ascii="Arial" w:cs="Arial" w:eastAsia="Arial" w:hAnsi="Arial"/>
          <w:sz w:val="18"/>
          <w:szCs w:val="18"/>
          <w:color w:val="auto"/>
        </w:rPr>
      </w:pPr>
      <w:r>
        <w:rPr>
          <w:rFonts w:ascii="Arial" w:cs="Arial" w:eastAsia="Arial" w:hAnsi="Arial"/>
          <w:sz w:val="20"/>
          <w:szCs w:val="20"/>
          <w:color w:val="auto"/>
        </w:rPr>
        <w:t>“Sales Agent” is any third-party agency, and/or its representatives, with which or whom the Company has contracted for the purpose of facilitating the sale of the Company’s products.</w:t>
      </w:r>
    </w:p>
    <w:p>
      <w:pPr>
        <w:spacing w:after="0" w:line="62" w:lineRule="exact"/>
        <w:rPr>
          <w:rFonts w:ascii="Arial" w:cs="Arial" w:eastAsia="Arial" w:hAnsi="Arial"/>
          <w:sz w:val="18"/>
          <w:szCs w:val="18"/>
          <w:color w:val="auto"/>
        </w:rPr>
      </w:pPr>
    </w:p>
    <w:p>
      <w:pPr>
        <w:ind w:left="800" w:hanging="792"/>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20"/>
          <w:szCs w:val="20"/>
          <w:b w:val="1"/>
          <w:bCs w:val="1"/>
          <w:color w:val="auto"/>
        </w:rPr>
        <w:t>MISCELLANEOUS</w:t>
      </w:r>
    </w:p>
    <w:p>
      <w:pPr>
        <w:spacing w:after="0" w:line="1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9"/>
          <w:szCs w:val="19"/>
          <w:u w:val="single" w:color="auto"/>
          <w:color w:val="auto"/>
        </w:rPr>
        <w:t>No Obligation to Mitigate</w:t>
      </w:r>
      <w:r>
        <w:rPr>
          <w:rFonts w:ascii="Arial" w:cs="Arial" w:eastAsia="Arial" w:hAnsi="Arial"/>
          <w:sz w:val="19"/>
          <w:szCs w:val="19"/>
          <w:color w:val="auto"/>
        </w:rPr>
        <w:t>. Executive shall not be required to mitigate the amount of any payment provided for under this</w:t>
      </w:r>
      <w:r>
        <w:rPr>
          <w:rFonts w:ascii="Arial" w:cs="Arial" w:eastAsia="Arial" w:hAnsi="Arial"/>
          <w:sz w:val="18"/>
          <w:szCs w:val="18"/>
          <w:color w:val="auto"/>
        </w:rPr>
        <w:t xml:space="preserve"> </w:t>
      </w:r>
      <w:r>
        <w:rPr>
          <w:rFonts w:ascii="Arial" w:cs="Arial" w:eastAsia="Arial" w:hAnsi="Arial"/>
          <w:sz w:val="19"/>
          <w:szCs w:val="19"/>
          <w:color w:val="auto"/>
        </w:rPr>
        <w:t>Agreement by seeking other employment or otherwise, nor shall the amount of any payment provided for under this Agreement be reduced by any compensation earned by Executive as a result of employment by another employer after the Date of Termination or otherwise, except as provided in Section 4 with respect to benefits coverages.</w:t>
      </w:r>
    </w:p>
    <w:p>
      <w:pPr>
        <w:spacing w:after="0" w:line="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9"/>
          <w:szCs w:val="19"/>
          <w:u w:val="single" w:color="auto"/>
          <w:color w:val="auto"/>
        </w:rPr>
        <w:t>Contract Non-Assignable</w:t>
      </w:r>
      <w:r>
        <w:rPr>
          <w:rFonts w:ascii="Arial" w:cs="Arial" w:eastAsia="Arial" w:hAnsi="Arial"/>
          <w:sz w:val="19"/>
          <w:szCs w:val="19"/>
          <w:color w:val="auto"/>
        </w:rPr>
        <w:t>. The parties acknowledge that this Agreement has been entered into due to, among other things,</w:t>
      </w:r>
      <w:r>
        <w:rPr>
          <w:rFonts w:ascii="Arial" w:cs="Arial" w:eastAsia="Arial" w:hAnsi="Arial"/>
          <w:sz w:val="18"/>
          <w:szCs w:val="18"/>
          <w:color w:val="auto"/>
        </w:rPr>
        <w:t xml:space="preserve"> </w:t>
      </w:r>
      <w:r>
        <w:rPr>
          <w:rFonts w:ascii="Arial" w:cs="Arial" w:eastAsia="Arial" w:hAnsi="Arial"/>
          <w:sz w:val="19"/>
          <w:szCs w:val="19"/>
          <w:color w:val="auto"/>
        </w:rPr>
        <w:t>the special skills and knowledge of Executive, and agree that this Agreement may not be assigned or transferred by Executive.</w:t>
      </w:r>
    </w:p>
    <w:p>
      <w:pPr>
        <w:spacing w:after="0" w:line="44"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Successors; Binding Agreement</w:t>
      </w:r>
      <w:r>
        <w:rPr>
          <w:rFonts w:ascii="Arial" w:cs="Arial" w:eastAsia="Arial" w:hAnsi="Arial"/>
          <w:sz w:val="16"/>
          <w:szCs w:val="16"/>
          <w:color w:val="auto"/>
        </w:rPr>
        <w:t>.</w:t>
      </w:r>
    </w:p>
    <w:p>
      <w:pPr>
        <w:spacing w:after="0" w:line="144" w:lineRule="exact"/>
        <w:rPr>
          <w:sz w:val="20"/>
          <w:szCs w:val="20"/>
          <w:color w:val="auto"/>
        </w:rPr>
      </w:pPr>
    </w:p>
    <w:p>
      <w:pPr>
        <w:jc w:val="both"/>
        <w:ind w:left="660" w:firstLine="644"/>
        <w:spacing w:after="0" w:line="316" w:lineRule="auto"/>
        <w:tabs>
          <w:tab w:leader="none" w:pos="2176" w:val="left"/>
        </w:tabs>
        <w:numPr>
          <w:ilvl w:val="0"/>
          <w:numId w:val="63"/>
        </w:numPr>
        <w:rPr>
          <w:rFonts w:ascii="Arial" w:cs="Arial" w:eastAsia="Arial" w:hAnsi="Arial"/>
          <w:sz w:val="15"/>
          <w:szCs w:val="15"/>
          <w:color w:val="auto"/>
        </w:rPr>
      </w:pPr>
      <w:r>
        <w:rPr>
          <w:rFonts w:ascii="Arial" w:cs="Arial" w:eastAsia="Arial" w:hAnsi="Arial"/>
          <w:sz w:val="16"/>
          <w:szCs w:val="16"/>
          <w:color w:val="auto"/>
        </w:rPr>
        <w:t>In addition to any obligations imposed by law upon any successor to the Company, the Company will require any successor (whether direct or indirect, by purchase, merger, consolidation or otherwise) to all or substantially all of the business and/or assets of the Company, or who acquires the stock of the Company, to expressly assume and agree to perform this Agreement, in the same manner and to the same extent that the Company would be required to perform it if no such succession had taken place.</w:t>
      </w:r>
    </w:p>
    <w:p>
      <w:pPr>
        <w:spacing w:after="0" w:line="30" w:lineRule="exact"/>
        <w:rPr>
          <w:rFonts w:ascii="Arial" w:cs="Arial" w:eastAsia="Arial" w:hAnsi="Arial"/>
          <w:sz w:val="15"/>
          <w:szCs w:val="15"/>
          <w:color w:val="auto"/>
        </w:rPr>
      </w:pPr>
    </w:p>
    <w:p>
      <w:pPr>
        <w:ind w:left="660" w:firstLine="644"/>
        <w:spacing w:after="0" w:line="260" w:lineRule="auto"/>
        <w:tabs>
          <w:tab w:leader="none" w:pos="2176" w:val="left"/>
        </w:tabs>
        <w:numPr>
          <w:ilvl w:val="0"/>
          <w:numId w:val="63"/>
        </w:numPr>
        <w:rPr>
          <w:rFonts w:ascii="Arial" w:cs="Arial" w:eastAsia="Arial" w:hAnsi="Arial"/>
          <w:sz w:val="18"/>
          <w:szCs w:val="18"/>
          <w:color w:val="auto"/>
        </w:rPr>
      </w:pPr>
      <w:r>
        <w:rPr>
          <w:rFonts w:ascii="Arial" w:cs="Arial" w:eastAsia="Arial" w:hAnsi="Arial"/>
          <w:sz w:val="20"/>
          <w:szCs w:val="20"/>
          <w:color w:val="auto"/>
        </w:rPr>
        <w:t>This Agreement shall inure to the benefit of and be enforceable by Executive’s personal or legal representative, executors, administrators, successors, heirs, distributees, devisees and legatees.</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38" w:right="339" w:bottom="1440" w:gutter="0" w:footer="0" w:header="0"/>
        </w:sectPr>
      </w:pPr>
    </w:p>
    <w:bookmarkStart w:id="122" w:name="page123"/>
    <w:bookmarkEnd w:id="122"/>
    <w:p>
      <w:pPr>
        <w:ind w:left="9680"/>
        <w:spacing w:after="0"/>
        <w:rPr>
          <w:sz w:val="20"/>
          <w:szCs w:val="20"/>
          <w:color w:val="auto"/>
        </w:rPr>
      </w:pPr>
      <w:r>
        <w:rPr>
          <w:rFonts w:ascii="Arial" w:cs="Arial" w:eastAsia="Arial" w:hAnsi="Arial"/>
          <w:sz w:val="17"/>
          <w:szCs w:val="17"/>
          <w:b w:val="1"/>
          <w:bCs w:val="1"/>
          <w:color w:val="auto"/>
        </w:rPr>
        <w:t>Exhibit 10(iii)A(83)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demands and other communications required or permitted hereunder shall be in writing and</w:t>
      </w:r>
      <w:r>
        <w:rPr>
          <w:rFonts w:ascii="Arial" w:cs="Arial" w:eastAsia="Arial" w:hAnsi="Arial"/>
          <w:sz w:val="18"/>
          <w:szCs w:val="18"/>
          <w:color w:val="auto"/>
        </w:rPr>
        <w:t xml:space="preserve"> </w:t>
      </w:r>
      <w:r>
        <w:rPr>
          <w:rFonts w:ascii="Arial" w:cs="Arial" w:eastAsia="Arial" w:hAnsi="Arial"/>
          <w:sz w:val="19"/>
          <w:szCs w:val="19"/>
          <w:color w:val="auto"/>
        </w:rPr>
        <w:t>shall be deemed to have been duly given when delivered or seven days after mailing if mailed first class, certified mail, postage prepaid, addressed as follows:</w:t>
      </w:r>
    </w:p>
    <w:p>
      <w:pPr>
        <w:spacing w:after="0" w:line="200" w:lineRule="exact"/>
        <w:rPr>
          <w:sz w:val="20"/>
          <w:szCs w:val="20"/>
          <w:color w:val="auto"/>
        </w:rPr>
      </w:pPr>
    </w:p>
    <w:p>
      <w:pPr>
        <w:spacing w:after="0" w:line="24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Acuity Brands, Inc.</w:t>
      </w:r>
    </w:p>
    <w:p>
      <w:pPr>
        <w:spacing w:after="0" w:line="1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Attention: General Counsel</w:t>
      </w:r>
    </w:p>
    <w:p>
      <w:pPr>
        <w:ind w:left="3960"/>
        <w:spacing w:after="0"/>
        <w:rPr>
          <w:sz w:val="20"/>
          <w:szCs w:val="20"/>
          <w:color w:val="auto"/>
        </w:rPr>
      </w:pPr>
      <w:r>
        <w:rPr>
          <w:rFonts w:ascii="Arial" w:cs="Arial" w:eastAsia="Arial" w:hAnsi="Arial"/>
          <w:sz w:val="20"/>
          <w:szCs w:val="20"/>
          <w:color w:val="auto"/>
        </w:rPr>
        <w:t>1170 Peachtree Street, Suite 2300</w:t>
      </w:r>
    </w:p>
    <w:p>
      <w:pPr>
        <w:sectPr>
          <w:pgSz w:w="11900" w:h="16838" w:orient="portrait"/>
          <w:cols w:equalWidth="0" w:num="1">
            <w:col w:w="11240"/>
          </w:cols>
          <w:pgMar w:left="320" w:top="238" w:right="339" w:bottom="1440" w:gutter="0" w:footer="0" w:header="0"/>
        </w:sectPr>
      </w:pPr>
    </w:p>
    <w:p>
      <w:pPr>
        <w:spacing w:after="0" w:line="4"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Atlanta, GA 30309</w:t>
      </w:r>
    </w:p>
    <w:p>
      <w:pPr>
        <w:spacing w:after="0" w:line="56" w:lineRule="exact"/>
        <w:rPr>
          <w:sz w:val="20"/>
          <w:szCs w:val="20"/>
          <w:color w:val="auto"/>
        </w:rPr>
      </w:pPr>
    </w:p>
    <w:p>
      <w:pPr>
        <w:sectPr>
          <w:pgSz w:w="11900" w:h="16838" w:orient="portrait"/>
          <w:cols w:equalWidth="0" w:num="2">
            <w:col w:w="3280" w:space="680"/>
            <w:col w:w="7280"/>
          </w:cols>
          <w:pgMar w:left="320" w:top="238" w:right="339" w:bottom="1440" w:gutter="0" w:footer="0" w:header="0"/>
          <w:type w:val="continuous"/>
        </w:sectPr>
      </w:pPr>
    </w:p>
    <w:p>
      <w:pPr>
        <w:ind w:left="1780"/>
        <w:spacing w:after="0"/>
        <w:rPr>
          <w:sz w:val="20"/>
          <w:szCs w:val="20"/>
          <w:color w:val="auto"/>
        </w:rPr>
      </w:pPr>
      <w:r>
        <w:rPr>
          <w:rFonts w:ascii="Arial" w:cs="Arial" w:eastAsia="Arial" w:hAnsi="Arial"/>
          <w:sz w:val="18"/>
          <w:szCs w:val="18"/>
          <w:color w:val="auto"/>
        </w:rPr>
        <w:t>If to the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To his/her last known address on file with the Company</w:t>
      </w:r>
    </w:p>
    <w:p>
      <w:pPr>
        <w:spacing w:after="0" w:line="200" w:lineRule="exact"/>
        <w:rPr>
          <w:sz w:val="20"/>
          <w:szCs w:val="20"/>
          <w:color w:val="auto"/>
        </w:rPr>
      </w:pPr>
    </w:p>
    <w:p>
      <w:pPr>
        <w:sectPr>
          <w:pgSz w:w="11900" w:h="16838" w:orient="portrait"/>
          <w:cols w:equalWidth="0" w:num="2">
            <w:col w:w="3300" w:space="660"/>
            <w:col w:w="7280"/>
          </w:cols>
          <w:pgMar w:left="320" w:top="238" w:right="339" w:bottom="1440" w:gutter="0" w:footer="0" w:header="0"/>
          <w:type w:val="continuous"/>
        </w:sectPr>
      </w:pPr>
    </w:p>
    <w:p>
      <w:pPr>
        <w:spacing w:after="0" w:line="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Any party may change the address to which notices, requests, demands and other communications shall be delivered or mailed by giving notice thereof to the other party in the same manner provided herein.</w:t>
      </w:r>
    </w:p>
    <w:p>
      <w:pPr>
        <w:spacing w:after="0" w:line="2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9"/>
          <w:szCs w:val="19"/>
          <w:u w:val="single" w:color="auto"/>
          <w:color w:val="auto"/>
        </w:rPr>
        <w:t>Provisions Severable</w:t>
      </w:r>
      <w:r>
        <w:rPr>
          <w:rFonts w:ascii="Arial" w:cs="Arial" w:eastAsia="Arial" w:hAnsi="Arial"/>
          <w:sz w:val="19"/>
          <w:szCs w:val="19"/>
          <w:color w:val="auto"/>
        </w:rPr>
        <w:t>. If any provision or covenant, or any part thereof, of this Agreement should be held by any court to</w:t>
      </w:r>
      <w:r>
        <w:rPr>
          <w:rFonts w:ascii="Arial" w:cs="Arial" w:eastAsia="Arial" w:hAnsi="Arial"/>
          <w:sz w:val="18"/>
          <w:szCs w:val="18"/>
          <w:color w:val="auto"/>
        </w:rPr>
        <w:t xml:space="preserve"> </w:t>
      </w:r>
      <w:r>
        <w:rPr>
          <w:rFonts w:ascii="Arial" w:cs="Arial" w:eastAsia="Arial" w:hAnsi="Arial"/>
          <w:sz w:val="19"/>
          <w:szCs w:val="19"/>
          <w:color w:val="auto"/>
        </w:rPr>
        <w:t>be invalid, illegal or unenforceable, either in whole or in part, such invalidity, illegality or unenforceability shall not affect the validity, legality or enforceability of the remaining provisions or covenants, or any part thereof, of this Agreement, all of which shall remain in full force and effect.</w:t>
      </w:r>
    </w:p>
    <w:p>
      <w:pPr>
        <w:spacing w:after="0" w:line="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9"/>
          <w:szCs w:val="19"/>
          <w:u w:val="single" w:color="auto"/>
          <w:color w:val="auto"/>
        </w:rPr>
        <w:t>Waiver</w:t>
      </w:r>
      <w:r>
        <w:rPr>
          <w:rFonts w:ascii="Arial" w:cs="Arial" w:eastAsia="Arial" w:hAnsi="Arial"/>
          <w:sz w:val="19"/>
          <w:szCs w:val="19"/>
          <w:color w:val="auto"/>
        </w:rPr>
        <w:t>. Failure of either party to insist, in one or more instances, on performance by the other in strict accordance with</w:t>
      </w:r>
      <w:r>
        <w:rPr>
          <w:rFonts w:ascii="Arial" w:cs="Arial" w:eastAsia="Arial" w:hAnsi="Arial"/>
          <w:sz w:val="18"/>
          <w:szCs w:val="18"/>
          <w:color w:val="auto"/>
        </w:rPr>
        <w:t xml:space="preserve"> </w:t>
      </w:r>
      <w:r>
        <w:rPr>
          <w:rFonts w:ascii="Arial" w:cs="Arial" w:eastAsia="Arial" w:hAnsi="Arial"/>
          <w:sz w:val="19"/>
          <w:szCs w:val="19"/>
          <w:color w:val="auto"/>
        </w:rPr>
        <w:t>the terms and conditions of this Agreement shall not be deemed a waiver or relinquishment of any right granted in this Agreement or the future performance of any such term or condition or of any other term or condition of this Agreement, unless such waiver is contained in a writing signed by the party making the waiver.</w:t>
      </w:r>
    </w:p>
    <w:p>
      <w:pPr>
        <w:spacing w:after="0" w:line="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9"/>
          <w:szCs w:val="19"/>
          <w:u w:val="single" w:color="auto"/>
          <w:color w:val="auto"/>
        </w:rPr>
        <w:t>Termination, Amendments and Modifications</w:t>
      </w:r>
      <w:r>
        <w:rPr>
          <w:rFonts w:ascii="Arial" w:cs="Arial" w:eastAsia="Arial" w:hAnsi="Arial"/>
          <w:sz w:val="19"/>
          <w:szCs w:val="19"/>
          <w:color w:val="auto"/>
        </w:rPr>
        <w:t>. This Agreement may be terminated, amended or modified only by a</w:t>
      </w:r>
      <w:r>
        <w:rPr>
          <w:rFonts w:ascii="Arial" w:cs="Arial" w:eastAsia="Arial" w:hAnsi="Arial"/>
          <w:sz w:val="18"/>
          <w:szCs w:val="18"/>
          <w:color w:val="auto"/>
        </w:rPr>
        <w:t xml:space="preserve"> </w:t>
      </w:r>
      <w:r>
        <w:rPr>
          <w:rFonts w:ascii="Arial" w:cs="Arial" w:eastAsia="Arial" w:hAnsi="Arial"/>
          <w:sz w:val="19"/>
          <w:szCs w:val="19"/>
          <w:color w:val="auto"/>
        </w:rPr>
        <w:t>writing signed by both parties hereto, which makes specific reference to this Agreement.</w:t>
      </w:r>
    </w:p>
    <w:p>
      <w:pPr>
        <w:spacing w:after="0" w:line="4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9"/>
          <w:szCs w:val="19"/>
          <w:u w:val="single" w:color="auto"/>
          <w:color w:val="auto"/>
        </w:rPr>
        <w:t>Governing Law</w:t>
      </w:r>
      <w:r>
        <w:rPr>
          <w:rFonts w:ascii="Arial" w:cs="Arial" w:eastAsia="Arial" w:hAnsi="Arial"/>
          <w:sz w:val="19"/>
          <w:szCs w:val="19"/>
          <w:color w:val="auto"/>
        </w:rPr>
        <w:t>. The validity and effect of this Agreement shall be governed by and construed and enforced in accordance</w:t>
      </w:r>
      <w:r>
        <w:rPr>
          <w:rFonts w:ascii="Arial" w:cs="Arial" w:eastAsia="Arial" w:hAnsi="Arial"/>
          <w:sz w:val="18"/>
          <w:szCs w:val="18"/>
          <w:color w:val="auto"/>
        </w:rPr>
        <w:t xml:space="preserve"> </w:t>
      </w:r>
      <w:r>
        <w:rPr>
          <w:rFonts w:ascii="Arial" w:cs="Arial" w:eastAsia="Arial" w:hAnsi="Arial"/>
          <w:sz w:val="19"/>
          <w:szCs w:val="19"/>
          <w:color w:val="auto"/>
        </w:rPr>
        <w:t>with the laws of the State of Georgia.</w:t>
      </w:r>
    </w:p>
    <w:p>
      <w:pPr>
        <w:spacing w:after="0" w:line="44"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9"/>
          <w:szCs w:val="19"/>
          <w:u w:val="single" w:color="auto"/>
          <w:color w:val="auto"/>
        </w:rPr>
        <w:t>Legal Fees</w:t>
      </w:r>
      <w:r>
        <w:rPr>
          <w:rFonts w:ascii="Arial" w:cs="Arial" w:eastAsia="Arial" w:hAnsi="Arial"/>
          <w:sz w:val="19"/>
          <w:szCs w:val="19"/>
          <w:color w:val="auto"/>
        </w:rPr>
        <w:t>. Each party shall pay its own legal fees and other expenses associated with any dispute under this Agreement</w:t>
      </w:r>
      <w:r>
        <w:rPr>
          <w:rFonts w:ascii="Arial" w:cs="Arial" w:eastAsia="Arial" w:hAnsi="Arial"/>
          <w:sz w:val="18"/>
          <w:szCs w:val="18"/>
          <w:color w:val="auto"/>
        </w:rPr>
        <w:t xml:space="preserve"> </w:t>
      </w:r>
      <w:r>
        <w:rPr>
          <w:rFonts w:ascii="Arial" w:cs="Arial" w:eastAsia="Arial" w:hAnsi="Arial"/>
          <w:sz w:val="19"/>
          <w:szCs w:val="19"/>
          <w:color w:val="auto"/>
        </w:rPr>
        <w:t>or any Exhibit hereto.</w:t>
      </w:r>
    </w:p>
    <w:p>
      <w:pPr>
        <w:spacing w:after="0" w:line="4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along with any Exhibit hereto, encompasses the entire agreement of the parties with</w:t>
      </w:r>
      <w:r>
        <w:rPr>
          <w:rFonts w:ascii="Arial" w:cs="Arial" w:eastAsia="Arial" w:hAnsi="Arial"/>
          <w:sz w:val="18"/>
          <w:szCs w:val="18"/>
          <w:color w:val="auto"/>
        </w:rPr>
        <w:t xml:space="preserve"> </w:t>
      </w:r>
      <w:r>
        <w:rPr>
          <w:rFonts w:ascii="Arial" w:cs="Arial" w:eastAsia="Arial" w:hAnsi="Arial"/>
          <w:sz w:val="19"/>
          <w:szCs w:val="19"/>
          <w:color w:val="auto"/>
        </w:rPr>
        <w:t>respect to the subject matter hereto, including but not limited to prior severance agreements, and supersedes all previous understandings and agreements between them, whether oral or written, except that the restrictive covenants in this Agreement shall not supersede any restrictive covenants set forth in any other agreement between the Company and Executive (“Other Restrictive Covenants”). To the extent that the Other Restrictive Covenants conflict with the provisions contained in this Agreement, the provisions that are more restrictive on Executive will control. The parties hereby acknowledge and represent, that they have not relied on any representation, assertion, guarantee, warranty, collateral contract or other assurance, except those set out in this Agreement, made by or on behalf of any other party or any other person or entity whatsoever, prior to the execution of this Agreement.</w:t>
      </w:r>
    </w:p>
    <w:p>
      <w:pPr>
        <w:spacing w:after="0" w:line="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8"/>
          <w:szCs w:val="18"/>
          <w:u w:val="single" w:color="auto"/>
          <w:color w:val="auto"/>
        </w:rPr>
        <w:t>Tender Back Provision</w:t>
      </w:r>
      <w:r>
        <w:rPr>
          <w:rFonts w:ascii="Arial" w:cs="Arial" w:eastAsia="Arial" w:hAnsi="Arial"/>
          <w:sz w:val="18"/>
          <w:szCs w:val="18"/>
          <w:color w:val="auto"/>
        </w:rPr>
        <w:t>. In the event that any provisions of Section 5 are found void, invalid, illegal, or otherwise</w:t>
      </w:r>
      <w:r>
        <w:rPr>
          <w:rFonts w:ascii="Arial" w:cs="Arial" w:eastAsia="Arial" w:hAnsi="Arial"/>
          <w:sz w:val="17"/>
          <w:szCs w:val="17"/>
          <w:color w:val="auto"/>
        </w:rPr>
        <w:t xml:space="preserve"> </w:t>
      </w:r>
      <w:r>
        <w:rPr>
          <w:rFonts w:ascii="Arial" w:cs="Arial" w:eastAsia="Arial" w:hAnsi="Arial"/>
          <w:sz w:val="18"/>
          <w:szCs w:val="18"/>
          <w:color w:val="auto"/>
        </w:rPr>
        <w:t>unenforceable, or, if Executive or any other person or entity commences an action seeking to have a declaration that any of the provisions of Section 5 are void, invalid, illegal, or otherwise unenforceable, the Company’s obligation to pay 70% of the compensation set forth in Sections 4.1 and 4.2, and the outplacement benefits in Section 4.6 shall terminate immediately. Further, in the event Executive breaches or threatens to breach any provisions of Section 4, he/she shall be required to immediately return to the Company 70% of all such benefits set forth in Sections 4.1 and 4.2 that were previously paid, as well as the cash value of all benefits provided pursuant to Section 4.6.</w:t>
      </w:r>
    </w:p>
    <w:p>
      <w:pPr>
        <w:spacing w:after="0" w:line="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9"/>
          <w:szCs w:val="19"/>
          <w:u w:val="single" w:color="auto"/>
          <w:color w:val="auto"/>
        </w:rPr>
        <w:t>Tolling Period</w:t>
      </w:r>
      <w:r>
        <w:rPr>
          <w:rFonts w:ascii="Arial" w:cs="Arial" w:eastAsia="Arial" w:hAnsi="Arial"/>
          <w:sz w:val="19"/>
          <w:szCs w:val="19"/>
          <w:color w:val="auto"/>
        </w:rPr>
        <w:t>. If Executive is found by a court to have violated any restriction in Section 6 of this Agreement, he/she</w:t>
      </w:r>
      <w:r>
        <w:rPr>
          <w:rFonts w:ascii="Arial" w:cs="Arial" w:eastAsia="Arial" w:hAnsi="Arial"/>
          <w:sz w:val="18"/>
          <w:szCs w:val="18"/>
          <w:color w:val="auto"/>
        </w:rPr>
        <w:t xml:space="preserve"> </w:t>
      </w:r>
      <w:r>
        <w:rPr>
          <w:rFonts w:ascii="Arial" w:cs="Arial" w:eastAsia="Arial" w:hAnsi="Arial"/>
          <w:sz w:val="19"/>
          <w:szCs w:val="19"/>
          <w:color w:val="auto"/>
        </w:rPr>
        <w:t>agrees that the time period for such restriction shall be extended by one day for each day that he/she is found to have violated the restriction, up to a maximum of 18 months.</w:t>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238" w:right="339" w:bottom="1440" w:gutter="0" w:footer="0" w:header="0"/>
          <w:type w:val="continuous"/>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10(iii)A(83)</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have executed this Agreement as of the day and year first above written.</w:t>
      </w:r>
    </w:p>
    <w:p>
      <w:pPr>
        <w:spacing w:after="0" w:line="200" w:lineRule="exact"/>
        <w:rPr>
          <w:sz w:val="20"/>
          <w:szCs w:val="20"/>
          <w:color w:val="auto"/>
        </w:rPr>
      </w:pPr>
    </w:p>
    <w:p>
      <w:pPr>
        <w:spacing w:after="0" w:line="293" w:lineRule="exact"/>
        <w:rPr>
          <w:sz w:val="20"/>
          <w:szCs w:val="20"/>
          <w:color w:val="auto"/>
        </w:rPr>
      </w:pPr>
    </w:p>
    <w:p>
      <w:pPr>
        <w:ind w:left="6000"/>
        <w:spacing w:after="0"/>
        <w:rPr>
          <w:sz w:val="20"/>
          <w:szCs w:val="20"/>
          <w:color w:val="auto"/>
        </w:rPr>
      </w:pPr>
      <w:r>
        <w:rPr>
          <w:rFonts w:ascii="Arial" w:cs="Arial" w:eastAsia="Arial" w:hAnsi="Arial"/>
          <w:sz w:val="20"/>
          <w:szCs w:val="20"/>
          <w:b w:val="1"/>
          <w:bCs w:val="1"/>
          <w:color w:val="auto"/>
        </w:rPr>
        <w:t>ACUITY BRANDS, INC.</w:t>
      </w:r>
    </w:p>
    <w:p>
      <w:pPr>
        <w:spacing w:after="0" w:line="54" w:lineRule="exact"/>
        <w:rPr>
          <w:sz w:val="20"/>
          <w:szCs w:val="20"/>
          <w:color w:val="auto"/>
        </w:rPr>
      </w:pPr>
    </w:p>
    <w:p>
      <w:pPr>
        <w:ind w:left="6000"/>
        <w:spacing w:after="0"/>
        <w:tabs>
          <w:tab w:leader="none" w:pos="6600" w:val="left"/>
        </w:tabs>
        <w:rPr>
          <w:sz w:val="20"/>
          <w:szCs w:val="20"/>
          <w:color w:val="auto"/>
        </w:rPr>
      </w:pPr>
      <w:r>
        <w:rPr>
          <w:rFonts w:ascii="Arial" w:cs="Arial" w:eastAsia="Arial" w:hAnsi="Arial"/>
          <w:sz w:val="20"/>
          <w:szCs w:val="20"/>
          <w:b w:val="1"/>
          <w:bCs w:val="1"/>
          <w:color w:val="auto"/>
        </w:rPr>
        <w:t>By:</w:t>
      </w:r>
      <w:r>
        <w:rPr>
          <w:sz w:val="20"/>
          <w:szCs w:val="20"/>
          <w:color w:val="auto"/>
        </w:rPr>
        <w:tab/>
      </w: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4180840</wp:posOffset>
            </wp:positionH>
            <wp:positionV relativeFrom="paragraph">
              <wp:posOffset>31115</wp:posOffset>
            </wp:positionV>
            <wp:extent cx="25374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6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53" w:lineRule="exact"/>
        <w:rPr>
          <w:sz w:val="20"/>
          <w:szCs w:val="20"/>
          <w:color w:val="auto"/>
        </w:rPr>
      </w:pPr>
    </w:p>
    <w:p>
      <w:pPr>
        <w:ind w:left="6620"/>
        <w:spacing w:after="0"/>
        <w:rPr>
          <w:sz w:val="20"/>
          <w:szCs w:val="20"/>
          <w:color w:val="auto"/>
        </w:rPr>
      </w:pPr>
      <w:r>
        <w:rPr>
          <w:rFonts w:ascii="Arial" w:cs="Arial" w:eastAsia="Arial" w:hAnsi="Arial"/>
          <w:sz w:val="20"/>
          <w:szCs w:val="20"/>
          <w:color w:val="auto"/>
        </w:rPr>
        <w:t>Vernon J. Nagel</w:t>
      </w:r>
    </w:p>
    <w:p>
      <w:pPr>
        <w:spacing w:after="0" w:line="54" w:lineRule="exact"/>
        <w:rPr>
          <w:sz w:val="20"/>
          <w:szCs w:val="20"/>
          <w:color w:val="auto"/>
        </w:rPr>
      </w:pPr>
    </w:p>
    <w:p>
      <w:pPr>
        <w:ind w:left="6620"/>
        <w:spacing w:after="0"/>
        <w:rPr>
          <w:sz w:val="20"/>
          <w:szCs w:val="20"/>
          <w:color w:val="auto"/>
        </w:rPr>
      </w:pPr>
      <w:r>
        <w:rPr>
          <w:rFonts w:ascii="Arial" w:cs="Arial" w:eastAsia="Arial" w:hAnsi="Arial"/>
          <w:sz w:val="19"/>
          <w:szCs w:val="19"/>
          <w:color w:val="auto"/>
        </w:rPr>
        <w:t>Chairman, 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00"/>
        <w:spacing w:after="0"/>
        <w:rPr>
          <w:sz w:val="20"/>
          <w:szCs w:val="20"/>
          <w:color w:val="auto"/>
        </w:rPr>
      </w:pPr>
      <w:r>
        <w:rPr>
          <w:rFonts w:ascii="Arial" w:cs="Arial" w:eastAsia="Arial" w:hAnsi="Arial"/>
          <w:sz w:val="20"/>
          <w:szCs w:val="20"/>
          <w:b w:val="1"/>
          <w:bCs w:val="1"/>
          <w:color w:val="auto"/>
        </w:rPr>
        <w:t>EXECUTIVE</w:t>
      </w:r>
    </w:p>
    <w:p>
      <w:pPr>
        <w:spacing w:after="0" w:line="6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Barry R.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31750</wp:posOffset>
            </wp:positionV>
            <wp:extent cx="29229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6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4" w:lineRule="exact"/>
        <w:rPr>
          <w:sz w:val="20"/>
          <w:szCs w:val="20"/>
          <w:color w:val="auto"/>
        </w:rPr>
      </w:pPr>
    </w:p>
    <w:p>
      <w:pPr>
        <w:ind w:left="6000"/>
        <w:spacing w:after="0"/>
        <w:rPr>
          <w:sz w:val="20"/>
          <w:szCs w:val="20"/>
          <w:color w:val="auto"/>
        </w:rPr>
      </w:pPr>
      <w:r>
        <w:rPr>
          <w:rFonts w:ascii="Arial" w:cs="Arial" w:eastAsia="Arial" w:hAnsi="Arial"/>
          <w:sz w:val="20"/>
          <w:szCs w:val="20"/>
          <w:color w:val="auto"/>
        </w:rPr>
        <w:t>Barry R. Goldman</w:t>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0"/>
          </w:cols>
          <w:pgMar w:left="980" w:top="238"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10(iii)A(83)</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Release of Claims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CONFIDENTIAL SEVERANCE AGREEMENT AND RELEASE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 (“Employee”) and _________________ (“Employer” or the “Company”) (collectively referred to as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Parties”) are entering into this </w:t>
      </w:r>
      <w:r>
        <w:rPr>
          <w:rFonts w:ascii="Arial" w:cs="Arial" w:eastAsia="Arial" w:hAnsi="Arial"/>
          <w:sz w:val="20"/>
          <w:szCs w:val="20"/>
          <w:b w:val="1"/>
          <w:bCs w:val="1"/>
          <w:color w:val="auto"/>
        </w:rPr>
        <w:t>CONFIDENTIAL SEVERANCE AGREEMENT AND RELEASE</w:t>
      </w:r>
      <w:r>
        <w:rPr>
          <w:rFonts w:ascii="Arial" w:cs="Arial" w:eastAsia="Arial" w:hAnsi="Arial"/>
          <w:sz w:val="20"/>
          <w:szCs w:val="20"/>
          <w:color w:val="auto"/>
        </w:rPr>
        <w:t xml:space="preserve"> (the “Agreement”).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16" w:lineRule="exact"/>
        <w:rPr>
          <w:sz w:val="20"/>
          <w:szCs w:val="20"/>
          <w:color w:val="auto"/>
        </w:rPr>
      </w:pPr>
    </w:p>
    <w:p>
      <w:pPr>
        <w:ind w:left="1220" w:hanging="564"/>
        <w:spacing w:after="0"/>
        <w:tabs>
          <w:tab w:leader="none" w:pos="1220" w:val="left"/>
        </w:tabs>
        <w:numPr>
          <w:ilvl w:val="0"/>
          <w:numId w:val="64"/>
        </w:numPr>
        <w:rPr>
          <w:rFonts w:ascii="Arial" w:cs="Arial" w:eastAsia="Arial" w:hAnsi="Arial"/>
          <w:sz w:val="19"/>
          <w:szCs w:val="19"/>
          <w:color w:val="auto"/>
        </w:rPr>
      </w:pPr>
      <w:r>
        <w:rPr>
          <w:rFonts w:ascii="Arial" w:cs="Arial" w:eastAsia="Arial" w:hAnsi="Arial"/>
          <w:sz w:val="19"/>
          <w:szCs w:val="19"/>
          <w:color w:val="auto"/>
        </w:rPr>
        <w:t>Employee has previously been employed with the Company and Employee’s employment with the Company is being</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terminated.</w:t>
      </w:r>
    </w:p>
    <w:p>
      <w:pPr>
        <w:spacing w:after="0" w:line="199" w:lineRule="exact"/>
        <w:rPr>
          <w:rFonts w:ascii="Arial" w:cs="Arial" w:eastAsia="Arial" w:hAnsi="Arial"/>
          <w:sz w:val="19"/>
          <w:szCs w:val="19"/>
          <w:color w:val="auto"/>
        </w:rPr>
      </w:pPr>
    </w:p>
    <w:p>
      <w:pPr>
        <w:jc w:val="both"/>
        <w:ind w:firstLine="656"/>
        <w:spacing w:after="0" w:line="250" w:lineRule="auto"/>
        <w:tabs>
          <w:tab w:leader="none" w:pos="107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Company has agreed to provide severance compensation to Employee in an amount not normally provided to employees, assuming Employee upholds certain ongoing obligations, and the Parties to this Agreement desire to resolve all issues between them including but not limited to Employee’s employment and the termination of that employment.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AGREEMENT</w:t>
      </w:r>
    </w:p>
    <w:p>
      <w:pPr>
        <w:spacing w:after="0" w:line="216" w:lineRule="exact"/>
        <w:rPr>
          <w:sz w:val="20"/>
          <w:szCs w:val="20"/>
          <w:color w:val="auto"/>
        </w:rPr>
      </w:pPr>
    </w:p>
    <w:p>
      <w:pPr>
        <w:jc w:val="both"/>
        <w:ind w:firstLine="648"/>
        <w:spacing w:after="0" w:line="385" w:lineRule="auto"/>
        <w:rPr>
          <w:sz w:val="20"/>
          <w:szCs w:val="20"/>
          <w:color w:val="auto"/>
        </w:rPr>
      </w:pPr>
      <w:r>
        <w:rPr>
          <w:rFonts w:ascii="Arial" w:cs="Arial" w:eastAsia="Arial" w:hAnsi="Arial"/>
          <w:sz w:val="16"/>
          <w:szCs w:val="16"/>
          <w:color w:val="auto"/>
        </w:rPr>
        <w:t>NOW THEREFORE, in consideration of the mutual promises, obligations and agreements contained herein, and for other good and valuable consideration, the receipt and sufficiency of which are hereby acknowledged by the Parties, the Parties agree to be bound as follows: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Section 1 - Benefits</w:t>
      </w:r>
    </w:p>
    <w:p>
      <w:pPr>
        <w:spacing w:after="0" w:line="169" w:lineRule="exact"/>
        <w:rPr>
          <w:sz w:val="20"/>
          <w:szCs w:val="20"/>
          <w:color w:val="auto"/>
        </w:rPr>
      </w:pPr>
    </w:p>
    <w:p>
      <w:pPr>
        <w:ind w:left="2180" w:hanging="876"/>
        <w:spacing w:after="0"/>
        <w:tabs>
          <w:tab w:leader="none" w:pos="2180" w:val="left"/>
        </w:tabs>
        <w:numPr>
          <w:ilvl w:val="0"/>
          <w:numId w:val="65"/>
        </w:numPr>
        <w:rPr>
          <w:rFonts w:ascii="Arial" w:cs="Arial" w:eastAsia="Arial" w:hAnsi="Arial"/>
          <w:sz w:val="18"/>
          <w:szCs w:val="18"/>
          <w:color w:val="auto"/>
        </w:rPr>
      </w:pPr>
      <w:r>
        <w:rPr>
          <w:rFonts w:ascii="Arial" w:cs="Arial" w:eastAsia="Arial" w:hAnsi="Arial"/>
          <w:sz w:val="20"/>
          <w:szCs w:val="20"/>
          <w:b w:val="1"/>
          <w:bCs w:val="1"/>
          <w:color w:val="auto"/>
        </w:rPr>
        <w:t>Payment and Consideration to Employee</w:t>
      </w:r>
      <w:r>
        <w:rPr>
          <w:rFonts w:ascii="Arial" w:cs="Arial" w:eastAsia="Arial" w:hAnsi="Arial"/>
          <w:sz w:val="20"/>
          <w:szCs w:val="20"/>
          <w:color w:val="auto"/>
        </w:rPr>
        <w:t>:</w:t>
      </w:r>
    </w:p>
    <w:p>
      <w:pPr>
        <w:spacing w:after="0" w:line="200" w:lineRule="exact"/>
        <w:rPr>
          <w:rFonts w:ascii="Arial" w:cs="Arial" w:eastAsia="Arial" w:hAnsi="Arial"/>
          <w:sz w:val="18"/>
          <w:szCs w:val="18"/>
          <w:color w:val="auto"/>
        </w:rPr>
      </w:pPr>
    </w:p>
    <w:p>
      <w:pPr>
        <w:spacing w:after="0" w:line="353" w:lineRule="exact"/>
        <w:rPr>
          <w:rFonts w:ascii="Arial" w:cs="Arial" w:eastAsia="Arial" w:hAnsi="Arial"/>
          <w:sz w:val="18"/>
          <w:szCs w:val="18"/>
          <w:color w:val="auto"/>
        </w:rPr>
      </w:pPr>
    </w:p>
    <w:p>
      <w:pPr>
        <w:ind w:left="3340" w:hanging="740"/>
        <w:spacing w:after="0"/>
        <w:tabs>
          <w:tab w:leader="none" w:pos="3340" w:val="left"/>
        </w:tabs>
        <w:numPr>
          <w:ilvl w:val="1"/>
          <w:numId w:val="65"/>
        </w:numPr>
        <w:rPr>
          <w:rFonts w:ascii="Arial" w:cs="Arial" w:eastAsia="Arial" w:hAnsi="Arial"/>
          <w:sz w:val="18"/>
          <w:szCs w:val="18"/>
          <w:color w:val="auto"/>
        </w:rPr>
      </w:pPr>
      <w:r>
        <w:rPr>
          <w:rFonts w:ascii="Arial" w:cs="Arial" w:eastAsia="Arial" w:hAnsi="Arial"/>
          <w:sz w:val="20"/>
          <w:szCs w:val="20"/>
          <w:b w:val="1"/>
          <w:bCs w:val="1"/>
          <w:color w:val="auto"/>
        </w:rPr>
        <w:t>Benefits to Employee</w:t>
      </w:r>
      <w:r>
        <w:rPr>
          <w:rFonts w:ascii="Arial" w:cs="Arial" w:eastAsia="Arial" w:hAnsi="Arial"/>
          <w:sz w:val="20"/>
          <w:szCs w:val="20"/>
          <w:color w:val="auto"/>
        </w:rPr>
        <w:t>:</w:t>
      </w:r>
    </w:p>
    <w:p>
      <w:pPr>
        <w:spacing w:after="0" w:line="200" w:lineRule="exact"/>
        <w:rPr>
          <w:rFonts w:ascii="Arial" w:cs="Arial" w:eastAsia="Arial" w:hAnsi="Arial"/>
          <w:sz w:val="18"/>
          <w:szCs w:val="18"/>
          <w:color w:val="auto"/>
        </w:rPr>
      </w:pPr>
    </w:p>
    <w:p>
      <w:pPr>
        <w:spacing w:after="0" w:line="353" w:lineRule="exact"/>
        <w:rPr>
          <w:rFonts w:ascii="Arial" w:cs="Arial" w:eastAsia="Arial" w:hAnsi="Arial"/>
          <w:sz w:val="18"/>
          <w:szCs w:val="18"/>
          <w:color w:val="auto"/>
        </w:rPr>
      </w:pPr>
    </w:p>
    <w:p>
      <w:pPr>
        <w:jc w:val="both"/>
        <w:ind w:left="660" w:firstLine="1940"/>
        <w:spacing w:after="0" w:line="234" w:lineRule="auto"/>
        <w:tabs>
          <w:tab w:leader="none" w:pos="3382" w:val="left"/>
        </w:tabs>
        <w:numPr>
          <w:ilvl w:val="1"/>
          <w:numId w:val="65"/>
        </w:numPr>
        <w:rPr>
          <w:rFonts w:ascii="Arial" w:cs="Arial" w:eastAsia="Arial" w:hAnsi="Arial"/>
          <w:sz w:val="18"/>
          <w:szCs w:val="18"/>
          <w:color w:val="auto"/>
        </w:rPr>
      </w:pPr>
      <w:r>
        <w:rPr>
          <w:rFonts w:ascii="Arial" w:cs="Arial" w:eastAsia="Arial" w:hAnsi="Arial"/>
          <w:sz w:val="20"/>
          <w:szCs w:val="20"/>
          <w:b w:val="1"/>
          <w:bCs w:val="1"/>
          <w:color w:val="auto"/>
        </w:rPr>
        <w:t xml:space="preserve">Section 409A: </w:t>
      </w:r>
      <w:r>
        <w:rPr>
          <w:rFonts w:ascii="Arial" w:cs="Arial" w:eastAsia="Arial" w:hAnsi="Arial"/>
          <w:sz w:val="20"/>
          <w:szCs w:val="20"/>
          <w:color w:val="auto"/>
        </w:rPr>
        <w:t>The Company will have the authority to delay the commencement of payments</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this Section 1 to “key employees” of the Company (as determined by the Company in accordance with procedures established by the Company that are consistent with Section 409A) to a date which is six months after the Separation Date (and on such date, the payments that would otherwise have been made during such six-month period shall be made) to the extent such delay is required under the provisions of Section 409A, provided that the Company and Employee may agree to take into account any transitional rule available under Section 409A.</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Section 2 - Release by Employee</w:t>
      </w:r>
    </w:p>
    <w:p>
      <w:pPr>
        <w:spacing w:after="0" w:line="210" w:lineRule="exact"/>
        <w:rPr>
          <w:sz w:val="20"/>
          <w:szCs w:val="20"/>
          <w:color w:val="auto"/>
        </w:rPr>
      </w:pPr>
    </w:p>
    <w:p>
      <w:pPr>
        <w:jc w:val="both"/>
        <w:ind w:left="660" w:firstLine="644"/>
        <w:spacing w:after="0" w:line="243" w:lineRule="auto"/>
        <w:tabs>
          <w:tab w:leader="none" w:pos="2187"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color w:val="auto"/>
        </w:rPr>
        <w:t>Released Claims</w:t>
      </w:r>
      <w:r>
        <w:rPr>
          <w:rFonts w:ascii="Arial" w:cs="Arial" w:eastAsia="Arial" w:hAnsi="Arial"/>
          <w:sz w:val="19"/>
          <w:szCs w:val="19"/>
          <w:color w:val="auto"/>
        </w:rPr>
        <w:t>:</w:t>
      </w:r>
      <w:r>
        <w:rPr>
          <w:rFonts w:ascii="Arial" w:cs="Arial" w:eastAsia="Arial" w:hAnsi="Arial"/>
          <w:sz w:val="19"/>
          <w:szCs w:val="19"/>
          <w:b w:val="1"/>
          <w:bCs w:val="1"/>
          <w:color w:val="auto"/>
        </w:rPr>
        <w:t xml:space="preserve"> Released Claims</w:t>
      </w:r>
      <w:r>
        <w:rPr>
          <w:rFonts w:ascii="Arial" w:cs="Arial" w:eastAsia="Arial" w:hAnsi="Arial"/>
          <w:sz w:val="19"/>
          <w:szCs w:val="19"/>
          <w:color w:val="auto"/>
        </w:rPr>
        <w:t>: Employee irrevocably and unconditionally fully and finally releases, acquits</w:t>
      </w:r>
      <w:r>
        <w:rPr>
          <w:rFonts w:ascii="Arial" w:cs="Arial" w:eastAsia="Arial" w:hAnsi="Arial"/>
          <w:sz w:val="19"/>
          <w:szCs w:val="19"/>
          <w:b w:val="1"/>
          <w:bCs w:val="1"/>
          <w:color w:val="auto"/>
        </w:rPr>
        <w:t xml:space="preserve"> </w:t>
      </w:r>
      <w:r>
        <w:rPr>
          <w:rFonts w:ascii="Arial" w:cs="Arial" w:eastAsia="Arial" w:hAnsi="Arial"/>
          <w:sz w:val="19"/>
          <w:szCs w:val="19"/>
          <w:color w:val="auto"/>
        </w:rPr>
        <w:t>and forever discharges all the claims described herein that he/she may now have against the Released Parties listed in Section (b), below, except that he/she is not releasing any claim that relates to: (1) his/her right to enforce this Agreement; (2) any rights or claims that arise after the execution of this Agreement; or (3) any rights or claims that he/she cannot lawfully release. Subject only to the exceptions just noted, Employee is releasing any and all claims, demands, actions, causes of action, liabilities, debts, losses, costs, expenses, or proceedings of every kind and nature, whether direct, contingent, or otherwise, known or unknown, past, present, or future, suspected or unsuspected, accrued or unaccrued, whether in law, equity, or otherwise, and whether in contract, warranty, tort, strict liability, or otherwise, which he/she now has, may</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238"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10(iii)A(83)</w:t>
      </w:r>
    </w:p>
    <w:p>
      <w:pPr>
        <w:spacing w:after="0" w:line="200" w:lineRule="exact"/>
        <w:rPr>
          <w:sz w:val="20"/>
          <w:szCs w:val="20"/>
          <w:color w:val="auto"/>
        </w:rPr>
      </w:pPr>
    </w:p>
    <w:p>
      <w:pPr>
        <w:spacing w:after="0" w:line="36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have had at any time in the past, or may have at any time in the future arising or resulting from, or in any matter incidental to, any and every matter, thing, or event occurring or failing to occur at any time in the past up to and including the date of this agreement. Employee understands that the claims he/she is releasing might arise under many different laws (including statutes, regulations, other administrative guidance, and common law doctrines), such as, but not limited to, the following:</w:t>
      </w:r>
    </w:p>
    <w:p>
      <w:pPr>
        <w:spacing w:after="0" w:line="258" w:lineRule="exact"/>
        <w:rPr>
          <w:sz w:val="20"/>
          <w:szCs w:val="20"/>
          <w:color w:val="auto"/>
        </w:rPr>
      </w:pPr>
    </w:p>
    <w:p>
      <w:pPr>
        <w:jc w:val="both"/>
        <w:ind w:left="640"/>
        <w:spacing w:after="0" w:line="270" w:lineRule="auto"/>
        <w:rPr>
          <w:sz w:val="20"/>
          <w:szCs w:val="20"/>
          <w:color w:val="auto"/>
        </w:rPr>
      </w:pPr>
      <w:r>
        <w:rPr>
          <w:rFonts w:ascii="Arial" w:cs="Arial" w:eastAsia="Arial" w:hAnsi="Arial"/>
          <w:sz w:val="18"/>
          <w:szCs w:val="18"/>
          <w:u w:val="single" w:color="auto"/>
          <w:color w:val="auto"/>
        </w:rPr>
        <w:t>Anti-discrimination and retaliation statutes</w:t>
      </w:r>
      <w:r>
        <w:rPr>
          <w:rFonts w:ascii="Arial" w:cs="Arial" w:eastAsia="Arial" w:hAnsi="Arial"/>
          <w:sz w:val="18"/>
          <w:szCs w:val="18"/>
          <w:color w:val="auto"/>
        </w:rPr>
        <w:t xml:space="preserve">, such as Title VII of the Civil Rights Act of 1964, which prohibits discrimination and harassment based on race, color, national origin, religion, and sex and prohibits retaliation; </w:t>
      </w:r>
      <w:r>
        <w:rPr>
          <w:rFonts w:ascii="Arial" w:cs="Arial" w:eastAsia="Arial" w:hAnsi="Arial"/>
          <w:sz w:val="18"/>
          <w:szCs w:val="18"/>
          <w:b w:val="1"/>
          <w:bCs w:val="1"/>
          <w:color w:val="auto"/>
        </w:rPr>
        <w:t xml:space="preserve">[If Executive is 40+-years-old: </w:t>
      </w:r>
      <w:r>
        <w:rPr>
          <w:rFonts w:ascii="Arial" w:cs="Arial" w:eastAsia="Arial" w:hAnsi="Arial"/>
          <w:sz w:val="18"/>
          <w:szCs w:val="18"/>
          <w:color w:val="auto"/>
        </w:rPr>
        <w:t>the Age Discrimination in Employment Act (“ADEA”), which prohibits age discrimination in employment</w:t>
      </w:r>
      <w:r>
        <w:rPr>
          <w:rFonts w:ascii="Arial" w:cs="Arial" w:eastAsia="Arial" w:hAnsi="Arial"/>
          <w:sz w:val="18"/>
          <w:szCs w:val="18"/>
          <w:b w:val="1"/>
          <w:bCs w:val="1"/>
          <w:color w:val="auto"/>
        </w:rPr>
        <w:t>]</w:t>
      </w:r>
      <w:r>
        <w:rPr>
          <w:rFonts w:ascii="Arial" w:cs="Arial" w:eastAsia="Arial" w:hAnsi="Arial"/>
          <w:sz w:val="18"/>
          <w:szCs w:val="18"/>
          <w:color w:val="auto"/>
        </w:rPr>
        <w:t>; the Equal</w:t>
      </w:r>
      <w:r>
        <w:rPr>
          <w:rFonts w:ascii="Arial" w:cs="Arial" w:eastAsia="Arial" w:hAnsi="Arial"/>
          <w:sz w:val="18"/>
          <w:szCs w:val="18"/>
          <w:b w:val="1"/>
          <w:bCs w:val="1"/>
          <w:color w:val="auto"/>
        </w:rPr>
        <w:t xml:space="preserve"> </w:t>
      </w:r>
      <w:r>
        <w:rPr>
          <w:rFonts w:ascii="Arial" w:cs="Arial" w:eastAsia="Arial" w:hAnsi="Arial"/>
          <w:sz w:val="18"/>
          <w:szCs w:val="18"/>
          <w:color w:val="auto"/>
        </w:rPr>
        <w:t>Pay Act, which prohibits paying men and women unequal pay for equal work; the Americans With Disabilities Act and Sections 503 and 504 of the Rehabilitation Act of 1973, which prohibit discrimination based on disability; Sections 1981 and 1983 of the Civil Rights Act of 1866, which prohibit discrimination and harassment on the basis of race, color, national origin, religion or sex; the Genetic Information Nondiscrimination Act of 2008, which prohibits discrimination on the basis of genetic information; the Family and Medical Leave Act of 1993, which extends certain rights to leave and reinstatement; the Sarbanes-Oxley Act of 2002, which prohibits retaliation against employees who participate in any investigation or proceeding related to an alleged violation of mail, wire, bank, or securities laws; Georgia anti-discrimination statutes, which prohibit retaliation and discrimination on the basis of age, disability, gender, race, color, religion, and national origin; and any other federal, state, or local laws prohibiting employment discrimination or retaliation.</w:t>
      </w:r>
    </w:p>
    <w:p>
      <w:pPr>
        <w:spacing w:after="0" w:line="257" w:lineRule="exact"/>
        <w:rPr>
          <w:sz w:val="20"/>
          <w:szCs w:val="20"/>
          <w:color w:val="auto"/>
        </w:rPr>
      </w:pPr>
    </w:p>
    <w:p>
      <w:pPr>
        <w:jc w:val="both"/>
        <w:ind w:left="640"/>
        <w:spacing w:after="0" w:line="282" w:lineRule="auto"/>
        <w:rPr>
          <w:sz w:val="20"/>
          <w:szCs w:val="20"/>
          <w:color w:val="auto"/>
        </w:rPr>
      </w:pPr>
      <w:r>
        <w:rPr>
          <w:rFonts w:ascii="Arial" w:cs="Arial" w:eastAsia="Arial" w:hAnsi="Arial"/>
          <w:sz w:val="18"/>
          <w:szCs w:val="18"/>
          <w:u w:val="single" w:color="auto"/>
          <w:color w:val="auto"/>
        </w:rPr>
        <w:t>Federal employment statutes</w:t>
      </w:r>
      <w:r>
        <w:rPr>
          <w:rFonts w:ascii="Arial" w:cs="Arial" w:eastAsia="Arial" w:hAnsi="Arial"/>
          <w:sz w:val="18"/>
          <w:szCs w:val="18"/>
          <w:color w:val="auto"/>
        </w:rPr>
        <w:t>, such as the WARN Act, which requires that advance notice be given of certain work force reductions; the Employee Retirement Income Security Act of 1974, which, among other things, protects employee benefits; the Family and Medical Leave Act of 1993, which requires employers to provide leaves of absence under certain circumstances; and any other federal laws relating to employment, such as veterans’ reemployment rights laws.</w:t>
      </w:r>
    </w:p>
    <w:p>
      <w:pPr>
        <w:spacing w:after="0" w:line="242" w:lineRule="exact"/>
        <w:rPr>
          <w:sz w:val="20"/>
          <w:szCs w:val="20"/>
          <w:color w:val="auto"/>
        </w:rPr>
      </w:pPr>
    </w:p>
    <w:p>
      <w:pPr>
        <w:jc w:val="both"/>
        <w:ind w:left="640"/>
        <w:spacing w:after="0" w:line="273" w:lineRule="auto"/>
        <w:rPr>
          <w:sz w:val="20"/>
          <w:szCs w:val="20"/>
          <w:color w:val="auto"/>
        </w:rPr>
      </w:pPr>
      <w:r>
        <w:rPr>
          <w:rFonts w:ascii="Arial" w:cs="Arial" w:eastAsia="Arial" w:hAnsi="Arial"/>
          <w:sz w:val="18"/>
          <w:szCs w:val="18"/>
          <w:u w:val="single" w:color="auto"/>
          <w:color w:val="auto"/>
        </w:rPr>
        <w:t>Other laws</w:t>
      </w:r>
      <w:r>
        <w:rPr>
          <w:rFonts w:ascii="Arial" w:cs="Arial" w:eastAsia="Arial" w:hAnsi="Arial"/>
          <w:sz w:val="18"/>
          <w:szCs w:val="18"/>
          <w:color w:val="auto"/>
        </w:rPr>
        <w:t>, such as any federal, state, or local laws providing workers’ compensation benefits (except as otherwise prohibited by law), restricting an employer’s right to terminate employees, or otherwise regulating employment; any federal, state, or local law enforcing express or implied employment contracts or requiring an employer to deal with employees fairly or in good faith; any state and federal whistleblower laws, any other federal, state, or local laws providing recourse for alleged wrongful discharge, improper garnishment, assignment, or deduction from wages, health and/or safety violations, improper drug and/or alcohol testing, tort, physical or personal injury, emotional distress, fraud, negligence, negligent misrepresentation, abusive litigation, and similar or related claims, willful or negligent infliction of emotional harm, libel, slander, defamation and/or any other common law or statutory causes of action.</w:t>
      </w:r>
    </w:p>
    <w:p>
      <w:pPr>
        <w:spacing w:after="0" w:line="249" w:lineRule="exact"/>
        <w:rPr>
          <w:sz w:val="20"/>
          <w:szCs w:val="20"/>
          <w:color w:val="auto"/>
        </w:rPr>
      </w:pPr>
    </w:p>
    <w:p>
      <w:pPr>
        <w:jc w:val="both"/>
        <w:ind w:left="640"/>
        <w:spacing w:after="0" w:line="243" w:lineRule="auto"/>
        <w:rPr>
          <w:sz w:val="20"/>
          <w:szCs w:val="20"/>
          <w:color w:val="auto"/>
        </w:rPr>
      </w:pPr>
      <w:r>
        <w:rPr>
          <w:rFonts w:ascii="Arial" w:cs="Arial" w:eastAsia="Arial" w:hAnsi="Arial"/>
          <w:sz w:val="20"/>
          <w:szCs w:val="20"/>
          <w:u w:val="single" w:color="auto"/>
          <w:color w:val="auto"/>
        </w:rPr>
        <w:t>Examples of released claims, include, but are not limited to</w:t>
      </w:r>
      <w:r>
        <w:rPr>
          <w:rFonts w:ascii="Arial" w:cs="Arial" w:eastAsia="Arial" w:hAnsi="Arial"/>
          <w:sz w:val="20"/>
          <w:szCs w:val="20"/>
          <w:color w:val="auto"/>
        </w:rPr>
        <w:t xml:space="preserve"> the following (except to the extent explicitly preserved by Section 2 (a), above, of this Agreement): (i) claims that in any way relate to allegations of alleged discrimination, retaliation or harassment; (ii) claims that in any way relate to Employee’s employment with the Company and/or its conclusion, such as claims for breach of contract, compensation, overtime wages, benefits, promotions, upgrades, bonuses, commissions, lost wages, or unused accrued vacation or sick pay; (iii) claims that in any way relate to any state law contract or tort causes of action; and (iv) any claims to attorneys’ fees, costs and/or expenses or other indemnities with respect to claims Employee is releasing.</w:t>
      </w:r>
    </w:p>
    <w:p>
      <w:pPr>
        <w:spacing w:after="0" w:line="308" w:lineRule="exact"/>
        <w:rPr>
          <w:sz w:val="20"/>
          <w:szCs w:val="20"/>
          <w:color w:val="auto"/>
        </w:rPr>
      </w:pPr>
    </w:p>
    <w:p>
      <w:pPr>
        <w:ind w:firstLine="644"/>
        <w:spacing w:after="0" w:line="267" w:lineRule="auto"/>
        <w:tabs>
          <w:tab w:leader="none" w:pos="1516" w:val="left"/>
        </w:tabs>
        <w:numPr>
          <w:ilvl w:val="0"/>
          <w:numId w:val="67"/>
        </w:numPr>
        <w:rPr>
          <w:rFonts w:ascii="Arial" w:cs="Arial" w:eastAsia="Arial" w:hAnsi="Arial"/>
          <w:sz w:val="18"/>
          <w:szCs w:val="18"/>
          <w:color w:val="auto"/>
        </w:rPr>
      </w:pPr>
      <w:r>
        <w:rPr>
          <w:rFonts w:ascii="Arial" w:cs="Arial" w:eastAsia="Arial" w:hAnsi="Arial"/>
          <w:sz w:val="20"/>
          <w:szCs w:val="20"/>
          <w:b w:val="1"/>
          <w:bCs w:val="1"/>
          <w:color w:val="auto"/>
        </w:rPr>
        <w:t>Released Parties</w:t>
      </w:r>
      <w:r>
        <w:rPr>
          <w:rFonts w:ascii="Arial" w:cs="Arial" w:eastAsia="Arial" w:hAnsi="Arial"/>
          <w:sz w:val="20"/>
          <w:szCs w:val="20"/>
          <w:color w:val="auto"/>
        </w:rPr>
        <w:t>: The Released party/parties is/are Acuity Brands, Inc., all current, future and former parents,</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subsidiaries, affiliates, related companies, partnerships, or joint ventures related thereto,</w:t>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0"/>
          </w:cols>
          <w:pgMar w:left="980" w:top="238"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10(iii)A(83)</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660"/>
        <w:spacing w:after="0" w:line="234" w:lineRule="auto"/>
        <w:rPr>
          <w:sz w:val="20"/>
          <w:szCs w:val="20"/>
          <w:color w:val="auto"/>
        </w:rPr>
      </w:pPr>
      <w:r>
        <w:rPr>
          <w:rFonts w:ascii="Arial" w:cs="Arial" w:eastAsia="Arial" w:hAnsi="Arial"/>
          <w:sz w:val="20"/>
          <w:szCs w:val="20"/>
          <w:color w:val="auto"/>
        </w:rPr>
        <w:t>and, with respect to each of them, their predecessors and successors; and, with respect to each such entity, all of its past, present, and future employees, officers, directors, stockholders, owners, representatives, assigns, attorneys, agents, and any other persons acting by, through, under or in concert with any of the persons or entities listed in this subsection, and their successors (hereinafter the “Released Parties”).</w:t>
      </w:r>
    </w:p>
    <w:p>
      <w:pPr>
        <w:spacing w:after="0" w:line="83" w:lineRule="exact"/>
        <w:rPr>
          <w:sz w:val="20"/>
          <w:szCs w:val="20"/>
          <w:color w:val="auto"/>
        </w:rPr>
      </w:pPr>
    </w:p>
    <w:p>
      <w:pPr>
        <w:jc w:val="both"/>
        <w:ind w:left="660" w:firstLine="644"/>
        <w:spacing w:after="0" w:line="242" w:lineRule="auto"/>
        <w:tabs>
          <w:tab w:leader="none" w:pos="2166" w:val="left"/>
        </w:tabs>
        <w:numPr>
          <w:ilvl w:val="0"/>
          <w:numId w:val="68"/>
        </w:numPr>
        <w:rPr>
          <w:rFonts w:ascii="Arial" w:cs="Arial" w:eastAsia="Arial" w:hAnsi="Arial"/>
          <w:sz w:val="17"/>
          <w:szCs w:val="17"/>
          <w:color w:val="auto"/>
        </w:rPr>
      </w:pPr>
      <w:r>
        <w:rPr>
          <w:rFonts w:ascii="Arial" w:cs="Arial" w:eastAsia="Arial" w:hAnsi="Arial"/>
          <w:sz w:val="19"/>
          <w:szCs w:val="19"/>
          <w:b w:val="1"/>
          <w:bCs w:val="1"/>
          <w:color w:val="auto"/>
        </w:rPr>
        <w:t>Unknown Claims</w:t>
      </w:r>
      <w:r>
        <w:rPr>
          <w:rFonts w:ascii="Arial" w:cs="Arial" w:eastAsia="Arial" w:hAnsi="Arial"/>
          <w:sz w:val="19"/>
          <w:szCs w:val="19"/>
          <w:color w:val="auto"/>
        </w:rPr>
        <w:t>: Employee understands that he/she is releasing the Released Parties from claims that he/she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may not know about as of the date of the execution of this Agreement, and that is his/her knowing and voluntary intent </w:t>
      </w:r>
      <w:r>
        <w:rPr>
          <w:rFonts w:ascii="Arial" w:cs="Arial" w:eastAsia="Arial" w:hAnsi="Arial"/>
          <w:sz w:val="19"/>
          <w:szCs w:val="19"/>
          <w:u w:val="single" w:color="auto"/>
          <w:color w:val="auto"/>
        </w:rPr>
        <w:t>even though</w:t>
      </w:r>
      <w:r>
        <w:rPr>
          <w:rFonts w:ascii="Arial" w:cs="Arial" w:eastAsia="Arial" w:hAnsi="Arial"/>
          <w:sz w:val="19"/>
          <w:szCs w:val="19"/>
          <w:color w:val="auto"/>
        </w:rPr>
        <w:t xml:space="preserve"> Employee recognizes that someday he/she might learn that some or all of the facts he/she currently believes to be true are untrue and </w:t>
      </w:r>
      <w:r>
        <w:rPr>
          <w:rFonts w:ascii="Arial" w:cs="Arial" w:eastAsia="Arial" w:hAnsi="Arial"/>
          <w:sz w:val="19"/>
          <w:szCs w:val="19"/>
          <w:u w:val="single" w:color="auto"/>
          <w:color w:val="auto"/>
        </w:rPr>
        <w:t>even though</w:t>
      </w:r>
      <w:r>
        <w:rPr>
          <w:rFonts w:ascii="Arial" w:cs="Arial" w:eastAsia="Arial" w:hAnsi="Arial"/>
          <w:sz w:val="19"/>
          <w:szCs w:val="19"/>
          <w:color w:val="auto"/>
        </w:rPr>
        <w:t xml:space="preserve"> he/she might then regret having signed this Agreement. Nevertheless, Employee is expressly assuming that risk and agrees that this Agreement shall remain effective in all respects in any such case. Employee expressly waives all rights he/she might have under any law that is intended to protect him/her from waiving unknown claims Employee understands the significance of doing so. If Employee resides in California, Employee hereby expressly waives the provisions of California Civil Code Section 1542, which provides as follows: “A general release does not extend to claims which the creditor does not know or suspect to exist in his or her favor at the time of executing the release, which if known by him or her must have materially affected his or her settlement with the debtor.” Moreover, this Release does not extend to those rights which, as a matter of law, cannot be waived, including but not limited to, unwaivable rights that Employee may have under the California Labor Code and/or the right to file a charge or complaint with any relevant government agency.</w:t>
      </w:r>
    </w:p>
    <w:p>
      <w:pPr>
        <w:spacing w:after="0" w:line="83" w:lineRule="exact"/>
        <w:rPr>
          <w:rFonts w:ascii="Arial" w:cs="Arial" w:eastAsia="Arial" w:hAnsi="Arial"/>
          <w:sz w:val="17"/>
          <w:szCs w:val="17"/>
          <w:color w:val="auto"/>
        </w:rPr>
      </w:pPr>
    </w:p>
    <w:p>
      <w:pPr>
        <w:jc w:val="both"/>
        <w:ind w:left="660" w:firstLine="644"/>
        <w:spacing w:after="0" w:line="239" w:lineRule="auto"/>
        <w:tabs>
          <w:tab w:leader="none" w:pos="2176" w:val="left"/>
        </w:tabs>
        <w:numPr>
          <w:ilvl w:val="0"/>
          <w:numId w:val="68"/>
        </w:numPr>
        <w:rPr>
          <w:rFonts w:ascii="Arial" w:cs="Arial" w:eastAsia="Arial" w:hAnsi="Arial"/>
          <w:sz w:val="18"/>
          <w:szCs w:val="18"/>
          <w:color w:val="auto"/>
        </w:rPr>
      </w:pPr>
      <w:r>
        <w:rPr>
          <w:rFonts w:ascii="Arial" w:cs="Arial" w:eastAsia="Arial" w:hAnsi="Arial"/>
          <w:sz w:val="20"/>
          <w:szCs w:val="20"/>
          <w:b w:val="1"/>
          <w:bCs w:val="1"/>
          <w:color w:val="auto"/>
        </w:rPr>
        <w:t>Ownership of Claims</w:t>
      </w:r>
      <w:r>
        <w:rPr>
          <w:rFonts w:ascii="Arial" w:cs="Arial" w:eastAsia="Arial" w:hAnsi="Arial"/>
          <w:sz w:val="20"/>
          <w:szCs w:val="20"/>
          <w:color w:val="auto"/>
        </w:rPr>
        <w:t>: Employee represents and warrants that he/she has not sold, assigned or transferred any</w:t>
      </w:r>
      <w:r>
        <w:rPr>
          <w:rFonts w:ascii="Arial" w:cs="Arial" w:eastAsia="Arial" w:hAnsi="Arial"/>
          <w:sz w:val="20"/>
          <w:szCs w:val="20"/>
          <w:b w:val="1"/>
          <w:bCs w:val="1"/>
          <w:color w:val="auto"/>
        </w:rPr>
        <w:t xml:space="preserve"> </w:t>
      </w:r>
      <w:r>
        <w:rPr>
          <w:rFonts w:ascii="Arial" w:cs="Arial" w:eastAsia="Arial" w:hAnsi="Arial"/>
          <w:sz w:val="20"/>
          <w:szCs w:val="20"/>
          <w:color w:val="auto"/>
        </w:rPr>
        <w:t>claim he/she is purporting to release, nor has he/she attempted to do so. Employee expressly represents and warrants that he/she has the full legal authority to enter into this Agreement for himself/herself and his/her estate, and does not require the approval of anyone else to do so.</w:t>
      </w:r>
    </w:p>
    <w:p>
      <w:pPr>
        <w:spacing w:after="0" w:line="82" w:lineRule="exact"/>
        <w:rPr>
          <w:rFonts w:ascii="Arial" w:cs="Arial" w:eastAsia="Arial" w:hAnsi="Arial"/>
          <w:sz w:val="18"/>
          <w:szCs w:val="18"/>
          <w:color w:val="auto"/>
        </w:rPr>
      </w:pPr>
    </w:p>
    <w:p>
      <w:pPr>
        <w:jc w:val="both"/>
        <w:ind w:left="660" w:firstLine="644"/>
        <w:spacing w:after="0" w:line="265" w:lineRule="auto"/>
        <w:tabs>
          <w:tab w:leader="none" w:pos="2176" w:val="left"/>
        </w:tabs>
        <w:numPr>
          <w:ilvl w:val="0"/>
          <w:numId w:val="68"/>
        </w:numPr>
        <w:rPr>
          <w:rFonts w:ascii="Arial" w:cs="Arial" w:eastAsia="Arial" w:hAnsi="Arial"/>
          <w:sz w:val="16"/>
          <w:szCs w:val="16"/>
          <w:color w:val="auto"/>
        </w:rPr>
      </w:pPr>
      <w:r>
        <w:rPr>
          <w:rFonts w:ascii="Arial" w:cs="Arial" w:eastAsia="Arial" w:hAnsi="Arial"/>
          <w:sz w:val="18"/>
          <w:szCs w:val="18"/>
          <w:b w:val="1"/>
          <w:bCs w:val="1"/>
          <w:color w:val="auto"/>
        </w:rPr>
        <w:t>Pursuit of Released Claims</w:t>
      </w:r>
      <w:r>
        <w:rPr>
          <w:rFonts w:ascii="Arial" w:cs="Arial" w:eastAsia="Arial" w:hAnsi="Arial"/>
          <w:sz w:val="18"/>
          <w:szCs w:val="18"/>
          <w:color w:val="auto"/>
        </w:rPr>
        <w:t>: Employee represents that he/she has not filed or caused to be filed any lawsuit,</w:t>
      </w:r>
      <w:r>
        <w:rPr>
          <w:rFonts w:ascii="Arial" w:cs="Arial" w:eastAsia="Arial" w:hAnsi="Arial"/>
          <w:sz w:val="18"/>
          <w:szCs w:val="18"/>
          <w:b w:val="1"/>
          <w:bCs w:val="1"/>
          <w:color w:val="auto"/>
        </w:rPr>
        <w:t xml:space="preserve"> </w:t>
      </w:r>
      <w:r>
        <w:rPr>
          <w:rFonts w:ascii="Arial" w:cs="Arial" w:eastAsia="Arial" w:hAnsi="Arial"/>
          <w:sz w:val="18"/>
          <w:szCs w:val="18"/>
          <w:color w:val="auto"/>
        </w:rPr>
        <w:t>complaint, or charge with respect to any claim this Agreement purports to waive, and he/she promises never to file or prosecute any lawsuit, complaint, or charge based on such claims. This provision shall not apply to any non-waivable charges or claims brought before any governmental agency. With respect to any such non-waivable claims, however, Employee agrees to waive his/her right (if any) to any monetary or other recovery, including but not limited to reinstatement, should any governmental agency or other third party pursue any claims on his/her behalf, either individually or as part of any class or collective action.</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Section 3 - Promises</w:t>
      </w:r>
    </w:p>
    <w:p>
      <w:pPr>
        <w:spacing w:after="0" w:line="210" w:lineRule="exact"/>
        <w:rPr>
          <w:sz w:val="20"/>
          <w:szCs w:val="20"/>
          <w:color w:val="auto"/>
        </w:rPr>
      </w:pPr>
    </w:p>
    <w:p>
      <w:pPr>
        <w:ind w:left="2140" w:hanging="836"/>
        <w:spacing w:after="0"/>
        <w:tabs>
          <w:tab w:leader="none" w:pos="214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Separation   Date</w:t>
      </w:r>
      <w:r>
        <w:rPr>
          <w:rFonts w:ascii="Arial" w:cs="Arial" w:eastAsia="Arial" w:hAnsi="Arial"/>
          <w:sz w:val="20"/>
          <w:szCs w:val="20"/>
          <w:color w:val="auto"/>
        </w:rPr>
        <w:t>:   Employee’s   employment   with   the   Company   will   terminate   effective</w:t>
      </w:r>
    </w:p>
    <w:p>
      <w:pPr>
        <w:spacing w:after="0" w:line="8"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______________________________ (“Separation Date”).</w:t>
      </w:r>
    </w:p>
    <w:p>
      <w:pPr>
        <w:spacing w:after="0" w:line="180" w:lineRule="exact"/>
        <w:rPr>
          <w:rFonts w:ascii="Arial" w:cs="Arial" w:eastAsia="Arial" w:hAnsi="Arial"/>
          <w:sz w:val="20"/>
          <w:szCs w:val="20"/>
          <w:b w:val="1"/>
          <w:bCs w:val="1"/>
          <w:color w:val="auto"/>
        </w:rPr>
      </w:pPr>
    </w:p>
    <w:p>
      <w:pPr>
        <w:jc w:val="both"/>
        <w:ind w:left="660" w:firstLine="644"/>
        <w:spacing w:after="0" w:line="257" w:lineRule="auto"/>
        <w:tabs>
          <w:tab w:leader="none" w:pos="2187"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Employee understands that Employer will withhold applicable state and federal taxes from the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referenced in Section 1(a) of this Agreement. Employee agrees that he/she is ultimately and solely responsible for paying the correct amount of taxes on any amounts he/she receives in connection with this Agreement. Employer will issue Employee an IRS Form W-2 in connection with the payments described in Section 1(a), above. Employee agrees not to make any claim against any Released Party based on how Employer reports amounts paid under this Agreement to tax authorities or if an adverse determination is made as to the tax treatment of any amounts payable under this Agreement. Employee understands and agrees that the Released Parties have no duty to try to prevent such an adverse determination. Employee further agrees to fully indemnify and hold the Released Parties harmless from all expenses, penalties, damages, fees and/or interest charges he/she incurs as a result of not paying taxes on, or withholding taxes from amounts paid to him/her and his/her attorneys under this Agreement.</w:t>
      </w:r>
    </w:p>
    <w:p>
      <w:pPr>
        <w:spacing w:after="0" w:line="165" w:lineRule="exact"/>
        <w:rPr>
          <w:rFonts w:ascii="Arial" w:cs="Arial" w:eastAsia="Arial" w:hAnsi="Arial"/>
          <w:sz w:val="18"/>
          <w:szCs w:val="18"/>
          <w:b w:val="1"/>
          <w:bCs w:val="1"/>
          <w:color w:val="auto"/>
        </w:rPr>
      </w:pPr>
    </w:p>
    <w:p>
      <w:pPr>
        <w:ind w:left="660" w:firstLine="644"/>
        <w:spacing w:after="0" w:line="252" w:lineRule="auto"/>
        <w:tabs>
          <w:tab w:leader="none" w:pos="2198"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Implementation</w:t>
      </w:r>
      <w:r>
        <w:rPr>
          <w:rFonts w:ascii="Arial" w:cs="Arial" w:eastAsia="Arial" w:hAnsi="Arial"/>
          <w:sz w:val="20"/>
          <w:szCs w:val="20"/>
          <w:color w:val="auto"/>
        </w:rPr>
        <w:t>: Employee agrees to promptly sign any documents and do anything else that is necessary in the</w:t>
      </w:r>
      <w:r>
        <w:rPr>
          <w:rFonts w:ascii="Arial" w:cs="Arial" w:eastAsia="Arial" w:hAnsi="Arial"/>
          <w:sz w:val="20"/>
          <w:szCs w:val="20"/>
          <w:b w:val="1"/>
          <w:bCs w:val="1"/>
          <w:color w:val="auto"/>
        </w:rPr>
        <w:t xml:space="preserve"> </w:t>
      </w:r>
      <w:r>
        <w:rPr>
          <w:rFonts w:ascii="Arial" w:cs="Arial" w:eastAsia="Arial" w:hAnsi="Arial"/>
          <w:sz w:val="20"/>
          <w:szCs w:val="20"/>
          <w:color w:val="auto"/>
        </w:rPr>
        <w:t>future to implement this Agreement.</w:t>
      </w:r>
    </w:p>
    <w:p>
      <w:pPr>
        <w:spacing w:after="0" w:line="165" w:lineRule="exact"/>
        <w:rPr>
          <w:rFonts w:ascii="Arial" w:cs="Arial" w:eastAsia="Arial" w:hAnsi="Arial"/>
          <w:sz w:val="20"/>
          <w:szCs w:val="20"/>
          <w:b w:val="1"/>
          <w:bCs w:val="1"/>
          <w:color w:val="auto"/>
        </w:rPr>
      </w:pPr>
    </w:p>
    <w:p>
      <w:pPr>
        <w:ind w:left="660" w:firstLine="644"/>
        <w:spacing w:after="0" w:line="252" w:lineRule="auto"/>
        <w:tabs>
          <w:tab w:leader="none" w:pos="2143"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FMLA and FLSA Rights Honored: </w:t>
      </w:r>
      <w:r>
        <w:rPr>
          <w:rFonts w:ascii="Arial" w:cs="Arial" w:eastAsia="Arial" w:hAnsi="Arial"/>
          <w:sz w:val="20"/>
          <w:szCs w:val="20"/>
          <w:color w:val="auto"/>
        </w:rPr>
        <w:t>Employee acknowledges that he/she has received all of the leave from work</w:t>
      </w:r>
      <w:r>
        <w:rPr>
          <w:rFonts w:ascii="Arial" w:cs="Arial" w:eastAsia="Arial" w:hAnsi="Arial"/>
          <w:sz w:val="20"/>
          <w:szCs w:val="20"/>
          <w:b w:val="1"/>
          <w:bCs w:val="1"/>
          <w:color w:val="auto"/>
        </w:rPr>
        <w:t xml:space="preserve"> </w:t>
      </w:r>
      <w:r>
        <w:rPr>
          <w:rFonts w:ascii="Arial" w:cs="Arial" w:eastAsia="Arial" w:hAnsi="Arial"/>
          <w:sz w:val="20"/>
          <w:szCs w:val="20"/>
          <w:color w:val="auto"/>
        </w:rPr>
        <w:t>for family and/or personal medical reasons and/or other benefits to which he/she believes</w:t>
      </w: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238"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10(iii)A(83)</w:t>
      </w:r>
    </w:p>
    <w:p>
      <w:pPr>
        <w:spacing w:after="0" w:line="200" w:lineRule="exact"/>
        <w:rPr>
          <w:sz w:val="20"/>
          <w:szCs w:val="20"/>
          <w:color w:val="auto"/>
        </w:rPr>
      </w:pPr>
    </w:p>
    <w:p>
      <w:pPr>
        <w:spacing w:after="0" w:line="369"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auto"/>
        </w:rPr>
        <w:t>he/she is entitled under Employer’s policy and the Family and Medical Leave Act of 1993 (“FMLA”), as amended. Employee has no pending request for FMLA leave with Employer; nor has Employer mistreated Employee in any way on account of any illness or injury to Employee or any member of Employee’s family. Employee further acknowledges that he/she has received all of the monetary compensation, including hourly wages, salary and/or overtime compensation, to which he/she believes he/she is entitled under the Fair Labor Standards Act (“FLSA”), as amended.</w:t>
      </w:r>
    </w:p>
    <w:p>
      <w:pPr>
        <w:spacing w:after="0" w:line="178" w:lineRule="exact"/>
        <w:rPr>
          <w:sz w:val="20"/>
          <w:szCs w:val="20"/>
          <w:color w:val="auto"/>
        </w:rPr>
      </w:pPr>
    </w:p>
    <w:p>
      <w:pPr>
        <w:jc w:val="both"/>
        <w:ind w:left="660" w:firstLine="644"/>
        <w:spacing w:after="0" w:line="253" w:lineRule="auto"/>
        <w:tabs>
          <w:tab w:leader="none" w:pos="2154"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False Claims Representations, Cooperation, and Promises: </w:t>
      </w:r>
      <w:r>
        <w:rPr>
          <w:rFonts w:ascii="Arial" w:cs="Arial" w:eastAsia="Arial" w:hAnsi="Arial"/>
          <w:sz w:val="18"/>
          <w:szCs w:val="18"/>
          <w:color w:val="auto"/>
        </w:rPr>
        <w:t>With this Separation Agreement,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acknowledges that he/she has disclosed to the Company’s General Counsel in writing any information he/she has concerning any conduct involving the Company that he/she has any reason to believe may be unlawful, unethical or otherwise inappropriate, including conduct in violation of the Sarbanes-Oxley Act of 2002. Employee certifies that to the best of his/her knowledge, information and belief, no member of management or any other employee (including himself) who has a significant role in Employer’s internal control over financial reporting has committed any fraud or engaged in any act, practice, or course of conduct that operates or would operate as a fraud or deceit upon any person or entity. Employee promises to cooperate fully with the Company in any investigation the Company undertakes into matters which occurred during his/her employment with the Company. If requested by the Company, Employee will promptly and fully respond to all inquiries from the Company and its representatives relating to any claims or lawsuits which relate to matters which occurred during his/her employment with the Company. If Employee is contacted to participate in any way in any claim, investigation or litigation at any time, he/she agrees to provide the Company’s General Counsel with prompt notice; and in no event shall such notice be delivered to the Company later than two (2) days after receipt by Employee, providing the Company with the opportunity to object to and/or be present at or participate in the proceeding. This Section does not prohibit Employee’s participation as a witness if he/she is compelled to appear through an enforceable subpoena or an enforceable court order, but it does require that he/she provide the Company with notice and the opportunity to object and/or participate. Before Employee discloses any Company information or engages in any other activity that could possibly violate the promises he/she has made herein, Employee promises that he/she will discuss his/her proposed actions with the Company’s General Counsel, who will inform him/her within seventy-two (72) hours whether the proposed actions would violate these promises.</w:t>
      </w:r>
    </w:p>
    <w:p>
      <w:pPr>
        <w:spacing w:after="0" w:line="176" w:lineRule="exact"/>
        <w:rPr>
          <w:rFonts w:ascii="Arial" w:cs="Arial" w:eastAsia="Arial" w:hAnsi="Arial"/>
          <w:sz w:val="18"/>
          <w:szCs w:val="18"/>
          <w:b w:val="1"/>
          <w:bCs w:val="1"/>
          <w:color w:val="auto"/>
        </w:rPr>
      </w:pPr>
    </w:p>
    <w:p>
      <w:pPr>
        <w:jc w:val="both"/>
        <w:ind w:left="660" w:firstLine="644"/>
        <w:spacing w:after="0" w:line="256" w:lineRule="auto"/>
        <w:tabs>
          <w:tab w:leader="none" w:pos="2198"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[If Employee is 40+-years-old:] ADEA Release Requirements Have Been Satisfied</w:t>
      </w:r>
      <w:r>
        <w:rPr>
          <w:rFonts w:ascii="Arial" w:cs="Arial" w:eastAsia="Arial" w:hAnsi="Arial"/>
          <w:sz w:val="18"/>
          <w:szCs w:val="18"/>
          <w:color w:val="auto"/>
        </w:rPr>
        <w:t>: Employee understands</w:t>
      </w:r>
      <w:r>
        <w:rPr>
          <w:rFonts w:ascii="Arial" w:cs="Arial" w:eastAsia="Arial" w:hAnsi="Arial"/>
          <w:sz w:val="18"/>
          <w:szCs w:val="18"/>
          <w:b w:val="1"/>
          <w:bCs w:val="1"/>
          <w:color w:val="auto"/>
        </w:rPr>
        <w:t xml:space="preserve"> </w:t>
      </w:r>
      <w:r>
        <w:rPr>
          <w:rFonts w:ascii="Arial" w:cs="Arial" w:eastAsia="Arial" w:hAnsi="Arial"/>
          <w:sz w:val="18"/>
          <w:szCs w:val="18"/>
          <w:color w:val="auto"/>
        </w:rPr>
        <w:t>that this Agreement has to meet certain requirements to validly release any ADEA claims Employee might have had, and Employee represents and warrants that all such requirements have been satisfied. Employee acknowledges that, before signing this Agreement, he/she was given at least twenty-one (21) days to consider this Agreement. Employee further acknowledges that: (1) he/she took advantage of as much of this period to consider this Agreement as he/she wished before signing it; (2) he/she carefully read this Agreement; (3) he/she fully understands it; (4) he/she entered into this Agreement knowingly and voluntarily (</w:t>
      </w:r>
      <w:r>
        <w:rPr>
          <w:rFonts w:ascii="Arial" w:cs="Arial" w:eastAsia="Arial" w:hAnsi="Arial"/>
          <w:sz w:val="18"/>
          <w:szCs w:val="18"/>
          <w:u w:val="single" w:color="auto"/>
          <w:color w:val="auto"/>
        </w:rPr>
        <w:t>i.e.</w:t>
      </w:r>
      <w:r>
        <w:rPr>
          <w:rFonts w:ascii="Arial" w:cs="Arial" w:eastAsia="Arial" w:hAnsi="Arial"/>
          <w:sz w:val="18"/>
          <w:szCs w:val="18"/>
          <w:color w:val="auto"/>
        </w:rPr>
        <w:t>, free from fraud, duress, coercion, or mistake of fact); (5) this Agreement is in writing and is understandable; (6) in this Agreement, Employee waives current ADEA claims; (7) Employee has not waived future ADEA claims; (8) Employee is receiving valuable consideration in exchange for execution of this Agreement that he/she would not otherwise be entitled to receive such consideration; and (9) Employer hereby encourages and advises Employee in writing to discuss this Agreement with his/her attorney (at his/her own expense) before signing it, and that he/she has done so to the extent he/she deemed appropriate.</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auto"/>
        </w:rPr>
        <w:t>SECTION 4 - CONFIDENTIALITY, NON-SOLICITATION AND NON-COMPETITION</w:t>
      </w:r>
    </w:p>
    <w:p>
      <w:pPr>
        <w:spacing w:after="0" w:line="210" w:lineRule="exact"/>
        <w:rPr>
          <w:sz w:val="20"/>
          <w:szCs w:val="20"/>
          <w:color w:val="auto"/>
        </w:rPr>
      </w:pPr>
    </w:p>
    <w:p>
      <w:pPr>
        <w:jc w:val="both"/>
        <w:ind w:left="660" w:firstLine="644"/>
        <w:spacing w:after="0" w:line="261" w:lineRule="auto"/>
        <w:tabs>
          <w:tab w:leader="none" w:pos="2143"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and Reasonableness of Provisions. </w:t>
      </w:r>
      <w:r>
        <w:rPr>
          <w:rFonts w:ascii="Arial" w:cs="Arial" w:eastAsia="Arial" w:hAnsi="Arial"/>
          <w:sz w:val="18"/>
          <w:szCs w:val="18"/>
          <w:color w:val="auto"/>
        </w:rPr>
        <w:t>Employee acknowledges that the Company and the Parent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referred to hereinafter, where applicable, as the “Protected Parties”) have furnished and may continue to furnish to Employee Trade Secrets and Confidential Information, which, if used by Employee on behalf of, or disclosed to, a competitor of the Protected Parties or other person, could cause substantial detriment to the Protected Parties. Moreover, the parties recognize that Employee, during the term of her employment with the Company, has developed important relationships with customers, agents and others having valuable business relationships with the Company, and that these relationships may continue</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238"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10(iii)A(83)</w:t>
      </w:r>
    </w:p>
    <w:p>
      <w:pPr>
        <w:spacing w:after="0" w:line="200" w:lineRule="exact"/>
        <w:rPr>
          <w:sz w:val="20"/>
          <w:szCs w:val="20"/>
          <w:color w:val="auto"/>
        </w:rPr>
      </w:pPr>
    </w:p>
    <w:p>
      <w:pPr>
        <w:spacing w:after="0" w:line="369" w:lineRule="exact"/>
        <w:rPr>
          <w:sz w:val="20"/>
          <w:szCs w:val="20"/>
          <w:color w:val="auto"/>
        </w:rPr>
      </w:pPr>
    </w:p>
    <w:p>
      <w:pPr>
        <w:jc w:val="both"/>
        <w:ind w:left="4"/>
        <w:spacing w:after="0" w:line="237" w:lineRule="auto"/>
        <w:rPr>
          <w:sz w:val="20"/>
          <w:szCs w:val="20"/>
          <w:color w:val="auto"/>
        </w:rPr>
      </w:pPr>
      <w:r>
        <w:rPr>
          <w:rFonts w:ascii="Arial" w:cs="Arial" w:eastAsia="Arial" w:hAnsi="Arial"/>
          <w:sz w:val="20"/>
          <w:szCs w:val="20"/>
          <w:color w:val="auto"/>
        </w:rPr>
        <w:t>to develop during the Severance Period. In view of the foregoing, Employee acknowledges and agrees that the restrictive covenants contained in this Section 4 are reasonably necessary to protect the Protected Parties’ legitimate business interests, Confidential Information, and good will.</w:t>
      </w:r>
    </w:p>
    <w:p>
      <w:pPr>
        <w:spacing w:after="0" w:line="177" w:lineRule="exact"/>
        <w:rPr>
          <w:sz w:val="20"/>
          <w:szCs w:val="20"/>
          <w:color w:val="auto"/>
        </w:rPr>
      </w:pPr>
    </w:p>
    <w:p>
      <w:pPr>
        <w:jc w:val="both"/>
        <w:ind w:left="4" w:firstLine="644"/>
        <w:spacing w:after="0" w:line="256" w:lineRule="auto"/>
        <w:tabs>
          <w:tab w:leader="none" w:pos="1597"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Trade Secrets and Confidential Information. </w:t>
      </w:r>
      <w:r>
        <w:rPr>
          <w:rFonts w:ascii="Arial" w:cs="Arial" w:eastAsia="Arial" w:hAnsi="Arial"/>
          <w:sz w:val="18"/>
          <w:szCs w:val="18"/>
          <w:color w:val="auto"/>
        </w:rPr>
        <w:t>Employee agrees that he/she shall protect the Protected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Trade Secrets (as defined in Paragraph 4(k)(ii) below) and Confidential Information (as defined in Paragraph 4(k)(i) below) and shall not disclose to any person or entity, or otherwise use or disseminate, except in connection with the performance of his/her duties for the Company, any Trade Secrets or Confidential Information; provided, however, that Employee may make disclosures required by a valid order or subpoena issued by a court or administrative agency of competent jurisdiction, in which event Employee will promptly notify the Protected Parties of such order or subpoena to provide the Protected Parties an opportunity to protect their interests. Employee’s obligations under this Section 4(b) shall apply after his/her Separation Date, shall continue through the Severance Period, and shall survive any expiration or termination of this Agreement, so long as the information or material remains Confidential Information or a Trade Secret, as applicable. Employee further confirms that he/she has not and will not offer, disclose or use on Employee’s own behalf or on behalf of the Company, any information Employee received prior to employment by the Company which was supplied to Employee confidentially or which Employee should reasonably know to be confidential.</w:t>
      </w:r>
    </w:p>
    <w:p>
      <w:pPr>
        <w:spacing w:after="0" w:line="250" w:lineRule="exact"/>
        <w:rPr>
          <w:sz w:val="20"/>
          <w:szCs w:val="20"/>
          <w:color w:val="auto"/>
        </w:rPr>
      </w:pPr>
    </w:p>
    <w:p>
      <w:pPr>
        <w:jc w:val="both"/>
        <w:ind w:left="4" w:firstLine="648"/>
        <w:spacing w:after="0" w:line="260" w:lineRule="auto"/>
        <w:rPr>
          <w:sz w:val="20"/>
          <w:szCs w:val="20"/>
          <w:color w:val="auto"/>
        </w:rPr>
      </w:pPr>
      <w:r>
        <w:rPr>
          <w:rFonts w:ascii="Arial" w:cs="Arial" w:eastAsia="Arial" w:hAnsi="Arial"/>
          <w:sz w:val="19"/>
          <w:szCs w:val="19"/>
          <w:color w:val="auto"/>
        </w:rPr>
        <w:t>Nothing in this Agreement prohibits Employee from reporting possible violations of federal law or regulation to any governmental agency or entity including but not limited to the Department of Justice, the Securities and Exchange Commission, Congress, or any Inspector General, or making other disclosures that are protected under the whistleblower provisions of federal law or regulation. Employee does not need the prior authorization of Employer to make any such reports or disclosures, and Employee is not required to notify Employer that Employee has made such reports or disclosures.</w:t>
      </w:r>
    </w:p>
    <w:p>
      <w:pPr>
        <w:spacing w:after="0" w:line="255" w:lineRule="exact"/>
        <w:rPr>
          <w:sz w:val="20"/>
          <w:szCs w:val="20"/>
          <w:color w:val="auto"/>
        </w:rPr>
      </w:pPr>
    </w:p>
    <w:p>
      <w:pPr>
        <w:jc w:val="both"/>
        <w:ind w:left="4" w:firstLine="644"/>
        <w:spacing w:after="0" w:line="243" w:lineRule="auto"/>
        <w:tabs>
          <w:tab w:leader="none" w:pos="1542" w:val="left"/>
        </w:tabs>
        <w:numPr>
          <w:ilvl w:val="1"/>
          <w:numId w:val="7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Return of Property. </w:t>
      </w:r>
      <w:r>
        <w:rPr>
          <w:rFonts w:ascii="Arial" w:cs="Arial" w:eastAsia="Arial" w:hAnsi="Arial"/>
          <w:sz w:val="19"/>
          <w:szCs w:val="19"/>
          <w:color w:val="auto"/>
        </w:rPr>
        <w:t>Employee agrees to deliver promptly to the Company all files, customer lists, management</w:t>
      </w:r>
      <w:r>
        <w:rPr>
          <w:rFonts w:ascii="Arial" w:cs="Arial" w:eastAsia="Arial" w:hAnsi="Arial"/>
          <w:sz w:val="19"/>
          <w:szCs w:val="19"/>
          <w:b w:val="1"/>
          <w:bCs w:val="1"/>
          <w:color w:val="auto"/>
        </w:rPr>
        <w:t xml:space="preserve"> </w:t>
      </w:r>
      <w:r>
        <w:rPr>
          <w:rFonts w:ascii="Arial" w:cs="Arial" w:eastAsia="Arial" w:hAnsi="Arial"/>
          <w:sz w:val="19"/>
          <w:szCs w:val="19"/>
          <w:color w:val="auto"/>
        </w:rPr>
        <w:t>reports, memoranda, research, Company forms and documents, financial data and reports and other documents (including all such data and documents in electronic form or on flash or external hard drives) of the Protected Parties, supplied to or created by him/her in connection with his/her employment hereunder (including all copies of the foregoing) in his/her possession or control, and all of the Company’s equipment (e.g., mobile devices, laptop, computer, flash or hard drives, etc.) and other materials in his/her possession or control. Employee’s obligations under this Section 4(c) shall survive any expiration or termination of this Agreement. Employee agrees and covenants to permanently delete any such information residing in electronic format to the best of his/her ability and to not attempt to retrieve it.</w:t>
      </w:r>
    </w:p>
    <w:p>
      <w:pPr>
        <w:spacing w:after="0" w:line="255" w:lineRule="exact"/>
        <w:rPr>
          <w:rFonts w:ascii="Arial" w:cs="Arial" w:eastAsia="Arial" w:hAnsi="Arial"/>
          <w:sz w:val="19"/>
          <w:szCs w:val="19"/>
          <w:b w:val="1"/>
          <w:bCs w:val="1"/>
          <w:color w:val="auto"/>
        </w:rPr>
      </w:pPr>
    </w:p>
    <w:p>
      <w:pPr>
        <w:jc w:val="both"/>
        <w:ind w:left="4" w:firstLine="644"/>
        <w:spacing w:after="0" w:line="232" w:lineRule="auto"/>
        <w:tabs>
          <w:tab w:leader="none" w:pos="1531" w:val="left"/>
        </w:tabs>
        <w:numPr>
          <w:ilvl w:val="1"/>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Inventions. </w:t>
      </w:r>
      <w:r>
        <w:rPr>
          <w:rFonts w:ascii="Arial" w:cs="Arial" w:eastAsia="Arial" w:hAnsi="Arial"/>
          <w:sz w:val="20"/>
          <w:szCs w:val="20"/>
          <w:color w:val="auto"/>
        </w:rPr>
        <w:t>Employee does hereby assign to the Company the entire right, title and interest in any Invention</w:t>
      </w:r>
      <w:r>
        <w:rPr>
          <w:rFonts w:ascii="Arial" w:cs="Arial" w:eastAsia="Arial" w:hAnsi="Arial"/>
          <w:sz w:val="20"/>
          <w:szCs w:val="20"/>
          <w:b w:val="1"/>
          <w:bCs w:val="1"/>
          <w:color w:val="auto"/>
        </w:rPr>
        <w:t xml:space="preserve"> </w:t>
      </w:r>
      <w:r>
        <w:rPr>
          <w:rFonts w:ascii="Arial" w:cs="Arial" w:eastAsia="Arial" w:hAnsi="Arial"/>
          <w:sz w:val="20"/>
          <w:szCs w:val="20"/>
          <w:color w:val="auto"/>
        </w:rPr>
        <w:t>which is or was made or conceived, either solely or jointly with others, during his/her employment with the Company, including during the Severance Period. Employee attests that he/she has disclosed (or promptly will disclose, if during the Severance Period) to the Company all such Inventions. Employee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259" w:lineRule="exact"/>
        <w:rPr>
          <w:rFonts w:ascii="Arial" w:cs="Arial" w:eastAsia="Arial" w:hAnsi="Arial"/>
          <w:sz w:val="20"/>
          <w:szCs w:val="20"/>
          <w:b w:val="1"/>
          <w:bCs w:val="1"/>
          <w:color w:val="auto"/>
        </w:rPr>
      </w:pPr>
    </w:p>
    <w:p>
      <w:pPr>
        <w:jc w:val="both"/>
        <w:ind w:left="4" w:firstLine="644"/>
        <w:spacing w:after="0" w:line="233" w:lineRule="auto"/>
        <w:tabs>
          <w:tab w:leader="none" w:pos="1542" w:val="left"/>
        </w:tabs>
        <w:numPr>
          <w:ilvl w:val="1"/>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Non-Competition. </w:t>
      </w:r>
      <w:r>
        <w:rPr>
          <w:rFonts w:ascii="Arial" w:cs="Arial" w:eastAsia="Arial" w:hAnsi="Arial"/>
          <w:sz w:val="20"/>
          <w:szCs w:val="20"/>
          <w:color w:val="auto"/>
        </w:rPr>
        <w:t>Employee acknowledges and agrees that, for twelve (12) months after the last day of his/her</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with the Company, he/she will not, directly or indirectly, engage in, provide, or perform any Executive Services on behalf of any person or entity (or in the case of an entity that is organized into divisions or units, any distinct division or operating unit of such entity) in the Territory (as defined in Section 4(k)(vii) below) that derives income from providing goods or services substantially similar to those which comprise the Company’s Business.</w:t>
      </w:r>
    </w:p>
    <w:p>
      <w:pPr>
        <w:spacing w:after="0" w:line="260" w:lineRule="exact"/>
        <w:rPr>
          <w:rFonts w:ascii="Arial" w:cs="Arial" w:eastAsia="Arial" w:hAnsi="Arial"/>
          <w:sz w:val="20"/>
          <w:szCs w:val="20"/>
          <w:b w:val="1"/>
          <w:bCs w:val="1"/>
          <w:color w:val="auto"/>
        </w:rPr>
      </w:pPr>
    </w:p>
    <w:p>
      <w:pPr>
        <w:ind w:left="1544" w:hanging="896"/>
        <w:spacing w:after="0"/>
        <w:tabs>
          <w:tab w:leader="none" w:pos="1544" w:val="left"/>
        </w:tabs>
        <w:numPr>
          <w:ilvl w:val="1"/>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Non-Solicitation of Customers and Sales Agents. </w:t>
      </w:r>
      <w:r>
        <w:rPr>
          <w:rFonts w:ascii="Arial" w:cs="Arial" w:eastAsia="Arial" w:hAnsi="Arial"/>
          <w:sz w:val="18"/>
          <w:szCs w:val="18"/>
          <w:color w:val="auto"/>
        </w:rPr>
        <w:t>Employee acknowledges and agrees that, for</w:t>
      </w:r>
      <w:r>
        <w:rPr>
          <w:rFonts w:ascii="Arial" w:cs="Arial" w:eastAsia="Arial" w:hAnsi="Arial"/>
          <w:sz w:val="18"/>
          <w:szCs w:val="18"/>
          <w:b w:val="1"/>
          <w:bCs w:val="1"/>
          <w:color w:val="auto"/>
        </w:rPr>
        <w:t xml:space="preserve"> twenty</w:t>
      </w:r>
      <w:r>
        <w:rPr>
          <w:rFonts w:ascii="Arial" w:cs="Arial" w:eastAsia="Arial" w:hAnsi="Arial"/>
          <w:sz w:val="18"/>
          <w:szCs w:val="18"/>
          <w:color w:val="auto"/>
        </w:rPr>
        <w:t>-four</w:t>
      </w:r>
    </w:p>
    <w:p>
      <w:pPr>
        <w:spacing w:after="0" w:line="31" w:lineRule="exact"/>
        <w:rPr>
          <w:rFonts w:ascii="Arial" w:cs="Arial" w:eastAsia="Arial" w:hAnsi="Arial"/>
          <w:sz w:val="18"/>
          <w:szCs w:val="18"/>
          <w:b w:val="1"/>
          <w:bCs w:val="1"/>
          <w:color w:val="auto"/>
        </w:rPr>
      </w:pPr>
    </w:p>
    <w:p>
      <w:pPr>
        <w:ind w:left="4" w:right="20" w:hanging="4"/>
        <w:spacing w:after="0" w:line="234" w:lineRule="auto"/>
        <w:tabs>
          <w:tab w:leader="none" w:pos="396" w:val="left"/>
        </w:tabs>
        <w:numPr>
          <w:ilvl w:val="0"/>
          <w:numId w:val="74"/>
        </w:numPr>
        <w:rPr>
          <w:rFonts w:ascii="Arial" w:cs="Arial" w:eastAsia="Arial" w:hAnsi="Arial"/>
          <w:sz w:val="20"/>
          <w:szCs w:val="20"/>
          <w:color w:val="auto"/>
        </w:rPr>
      </w:pPr>
      <w:r>
        <w:rPr>
          <w:rFonts w:ascii="Arial" w:cs="Arial" w:eastAsia="Arial" w:hAnsi="Arial"/>
          <w:sz w:val="20"/>
          <w:szCs w:val="20"/>
          <w:color w:val="auto"/>
        </w:rPr>
        <w:t>months after the last day of his/her employment with the Company, Employee will not directly or indirectly solicit Customers (as defined in Section 4(k)(v) below) or Sales Agents (as defined in</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84"/>
          </w:cols>
          <w:pgMar w:left="976" w:top="238"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10(iii)A(83)</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4"/>
        <w:spacing w:after="0" w:line="234" w:lineRule="auto"/>
        <w:rPr>
          <w:sz w:val="20"/>
          <w:szCs w:val="20"/>
          <w:color w:val="auto"/>
        </w:rPr>
      </w:pPr>
      <w:r>
        <w:rPr>
          <w:rFonts w:ascii="Arial" w:cs="Arial" w:eastAsia="Arial" w:hAnsi="Arial"/>
          <w:sz w:val="20"/>
          <w:szCs w:val="20"/>
          <w:color w:val="auto"/>
        </w:rPr>
        <w:t>Section 4(k)(ix) below) of the Company and its affiliates with whom he/she had Material Contact (as defined in Section 4(k)(viii) below) for the purpose of providing goods and/or services competitive with the Company’s Business. Notwithstanding the foregoing, this Section shall not prevent Employee, during the course of his/her Severance Period, from soliciting a person or entity that has since discontinued all business communications with the Company.</w:t>
      </w:r>
    </w:p>
    <w:p>
      <w:pPr>
        <w:spacing w:after="0" w:line="258" w:lineRule="exact"/>
        <w:rPr>
          <w:sz w:val="20"/>
          <w:szCs w:val="20"/>
          <w:color w:val="auto"/>
        </w:rPr>
      </w:pPr>
    </w:p>
    <w:p>
      <w:pPr>
        <w:jc w:val="both"/>
        <w:ind w:left="4" w:firstLine="644"/>
        <w:spacing w:after="0" w:line="233" w:lineRule="auto"/>
        <w:tabs>
          <w:tab w:leader="none" w:pos="1520" w:val="left"/>
        </w:tabs>
        <w:numPr>
          <w:ilvl w:val="1"/>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Non-Solicitation of Employees and Agents. </w:t>
      </w:r>
      <w:r>
        <w:rPr>
          <w:rFonts w:ascii="Arial" w:cs="Arial" w:eastAsia="Arial" w:hAnsi="Arial"/>
          <w:sz w:val="20"/>
          <w:szCs w:val="20"/>
          <w:color w:val="auto"/>
        </w:rPr>
        <w:t>Employee acknowledges and agrees that, for twenty-four (24)</w:t>
      </w:r>
      <w:r>
        <w:rPr>
          <w:rFonts w:ascii="Arial" w:cs="Arial" w:eastAsia="Arial" w:hAnsi="Arial"/>
          <w:sz w:val="20"/>
          <w:szCs w:val="20"/>
          <w:b w:val="1"/>
          <w:bCs w:val="1"/>
          <w:color w:val="auto"/>
        </w:rPr>
        <w:t xml:space="preserve"> </w:t>
      </w:r>
      <w:r>
        <w:rPr>
          <w:rFonts w:ascii="Arial" w:cs="Arial" w:eastAsia="Arial" w:hAnsi="Arial"/>
          <w:sz w:val="20"/>
          <w:szCs w:val="20"/>
          <w:color w:val="auto"/>
        </w:rPr>
        <w:t>months after the last day of his/her employment with the Company, Employee will not, directly or indirectly, whether on behalf of Employee or others, solicit, lure or attempt to hire away any of the Company’s or its affiliates’ employees or agents. Notwithstanding the foregoing, this Section shall not prevent Employee from soliciting an employee or agent that has since discontinued all business dealings with the Company.</w:t>
      </w:r>
    </w:p>
    <w:p>
      <w:pPr>
        <w:spacing w:after="0" w:line="260" w:lineRule="exact"/>
        <w:rPr>
          <w:rFonts w:ascii="Arial" w:cs="Arial" w:eastAsia="Arial" w:hAnsi="Arial"/>
          <w:sz w:val="20"/>
          <w:szCs w:val="20"/>
          <w:b w:val="1"/>
          <w:bCs w:val="1"/>
          <w:color w:val="auto"/>
        </w:rPr>
      </w:pPr>
    </w:p>
    <w:p>
      <w:pPr>
        <w:jc w:val="both"/>
        <w:ind w:left="4" w:firstLine="644"/>
        <w:spacing w:after="0" w:line="261" w:lineRule="auto"/>
        <w:tabs>
          <w:tab w:leader="none" w:pos="1509" w:val="left"/>
        </w:tabs>
        <w:numPr>
          <w:ilvl w:val="1"/>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Non-Disparagement</w:t>
      </w:r>
      <w:r>
        <w:rPr>
          <w:rFonts w:ascii="Arial" w:cs="Arial" w:eastAsia="Arial" w:hAnsi="Arial"/>
          <w:sz w:val="18"/>
          <w:szCs w:val="18"/>
          <w:color w:val="auto"/>
        </w:rPr>
        <w:t>: Employee agrees that he/she will not make any disparaging statements or comments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or entity by any medium, whether oral or written, about Employer, any of its affiliates or any of its respective officers, directors, employees, shareholders, agents, representatives or independent contractors. Nor shall Employee communicate to any person or entity by any medium, whether oral or written, any information harmful or adverse to Employer, any of its affiliates or any of its respective officers, directors, employees, shareholders, agents, representatives or independent contractors. Nothing in this section shall prevent Employee from providing truthful testimony pursuant to a lawful subpoena or other court order.</w:t>
      </w:r>
    </w:p>
    <w:p>
      <w:pPr>
        <w:spacing w:after="0" w:line="242" w:lineRule="exact"/>
        <w:rPr>
          <w:rFonts w:ascii="Arial" w:cs="Arial" w:eastAsia="Arial" w:hAnsi="Arial"/>
          <w:sz w:val="18"/>
          <w:szCs w:val="18"/>
          <w:b w:val="1"/>
          <w:bCs w:val="1"/>
          <w:color w:val="auto"/>
        </w:rPr>
      </w:pPr>
    </w:p>
    <w:p>
      <w:pPr>
        <w:jc w:val="both"/>
        <w:ind w:left="4" w:firstLine="644"/>
        <w:spacing w:after="0" w:line="244" w:lineRule="auto"/>
        <w:tabs>
          <w:tab w:leader="none" w:pos="1498" w:val="left"/>
        </w:tabs>
        <w:numPr>
          <w:ilvl w:val="1"/>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Injunctive Relief. </w:t>
      </w:r>
      <w:r>
        <w:rPr>
          <w:rFonts w:ascii="Arial" w:cs="Arial" w:eastAsia="Arial" w:hAnsi="Arial"/>
          <w:sz w:val="19"/>
          <w:szCs w:val="19"/>
          <w:color w:val="auto"/>
        </w:rPr>
        <w:t>Employee acknowledges that if he/she breaches or threatens to breach any of the provisions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Section 4, his/her actions may cause irreparable harm and damage to the Protected Parties which could not be compensated in damages. Accordingly, if Employee breaches or threatens to breach any of the provisions of this Section 4, the Company (or, if applicable, the Protected Parties) shall be entitled to seek injunctive relief, in addition to any other rights or remedies the Company (or, if applicable, the Protected Parties) may have. The existence of any claim or cause of action by Employee against the Company, whether predicated on this Agreement or otherwise, shall not constitute a defense to the enforcement by the Company (or, if applicable, the Protected Parties) of Employee’s agreements under this Section 4.</w:t>
      </w:r>
    </w:p>
    <w:p>
      <w:pPr>
        <w:spacing w:after="0" w:line="254" w:lineRule="exact"/>
        <w:rPr>
          <w:rFonts w:ascii="Arial" w:cs="Arial" w:eastAsia="Arial" w:hAnsi="Arial"/>
          <w:sz w:val="19"/>
          <w:szCs w:val="19"/>
          <w:b w:val="1"/>
          <w:bCs w:val="1"/>
          <w:color w:val="auto"/>
        </w:rPr>
      </w:pPr>
    </w:p>
    <w:p>
      <w:pPr>
        <w:jc w:val="both"/>
        <w:ind w:left="4" w:firstLine="644"/>
        <w:spacing w:after="0" w:line="233" w:lineRule="auto"/>
        <w:tabs>
          <w:tab w:leader="none" w:pos="1542" w:val="left"/>
        </w:tabs>
        <w:numPr>
          <w:ilvl w:val="1"/>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Provisions Severable. </w:t>
      </w:r>
      <w:r>
        <w:rPr>
          <w:rFonts w:ascii="Arial" w:cs="Arial" w:eastAsia="Arial" w:hAnsi="Arial"/>
          <w:sz w:val="20"/>
          <w:szCs w:val="20"/>
          <w:color w:val="auto"/>
        </w:rPr>
        <w:t>If any provision in this Section 4 is determined to be in violation of any law, rule or</w:t>
      </w:r>
      <w:r>
        <w:rPr>
          <w:rFonts w:ascii="Arial" w:cs="Arial" w:eastAsia="Arial" w:hAnsi="Arial"/>
          <w:sz w:val="20"/>
          <w:szCs w:val="20"/>
          <w:b w:val="1"/>
          <w:bCs w:val="1"/>
          <w:color w:val="auto"/>
        </w:rPr>
        <w:t xml:space="preserve"> </w:t>
      </w:r>
      <w:r>
        <w:rPr>
          <w:rFonts w:ascii="Arial" w:cs="Arial" w:eastAsia="Arial" w:hAnsi="Arial"/>
          <w:sz w:val="20"/>
          <w:szCs w:val="20"/>
          <w:color w:val="auto"/>
        </w:rPr>
        <w:t>regulation or otherwise unenforceable, and cannot be modified to be enforceable, such determination shall not affect the validity of any other provisions of this Agreement, but such other provisions shall remain in full force and effect. Each and every provision, paragraph and subparagraph of this Section 4 is severable from the other provisions, paragraphs and subparagraphs and constitutes a separate and distinct covenant.</w:t>
      </w:r>
    </w:p>
    <w:p>
      <w:pPr>
        <w:spacing w:after="0" w:line="260" w:lineRule="exact"/>
        <w:rPr>
          <w:rFonts w:ascii="Arial" w:cs="Arial" w:eastAsia="Arial" w:hAnsi="Arial"/>
          <w:sz w:val="20"/>
          <w:szCs w:val="20"/>
          <w:b w:val="1"/>
          <w:bCs w:val="1"/>
          <w:color w:val="auto"/>
        </w:rPr>
      </w:pPr>
    </w:p>
    <w:p>
      <w:pPr>
        <w:ind w:left="1524" w:hanging="876"/>
        <w:spacing w:after="0"/>
        <w:tabs>
          <w:tab w:leader="none" w:pos="1524" w:val="left"/>
        </w:tabs>
        <w:numPr>
          <w:ilvl w:val="1"/>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329" w:lineRule="exact"/>
        <w:rPr>
          <w:rFonts w:ascii="Arial" w:cs="Arial" w:eastAsia="Arial" w:hAnsi="Arial"/>
          <w:sz w:val="20"/>
          <w:szCs w:val="20"/>
          <w:b w:val="1"/>
          <w:bCs w:val="1"/>
          <w:color w:val="auto"/>
        </w:rPr>
      </w:pPr>
    </w:p>
    <w:p>
      <w:pPr>
        <w:ind w:left="2024" w:hanging="728"/>
        <w:spacing w:after="0"/>
        <w:tabs>
          <w:tab w:leader="none" w:pos="2024" w:val="left"/>
        </w:tabs>
        <w:numPr>
          <w:ilvl w:val="2"/>
          <w:numId w:val="75"/>
        </w:numPr>
        <w:rPr>
          <w:rFonts w:ascii="Arial" w:cs="Arial" w:eastAsia="Arial" w:hAnsi="Arial"/>
          <w:sz w:val="18"/>
          <w:szCs w:val="18"/>
          <w:color w:val="auto"/>
        </w:rPr>
      </w:pPr>
      <w:r>
        <w:rPr>
          <w:rFonts w:ascii="Arial" w:cs="Arial" w:eastAsia="Arial" w:hAnsi="Arial"/>
          <w:sz w:val="20"/>
          <w:szCs w:val="20"/>
          <w:color w:val="auto"/>
        </w:rPr>
        <w:t>Confidential Information” means:</w:t>
      </w:r>
    </w:p>
    <w:p>
      <w:pPr>
        <w:spacing w:after="0" w:line="121" w:lineRule="exact"/>
        <w:rPr>
          <w:rFonts w:ascii="Arial" w:cs="Arial" w:eastAsia="Arial" w:hAnsi="Arial"/>
          <w:sz w:val="18"/>
          <w:szCs w:val="18"/>
          <w:color w:val="auto"/>
        </w:rPr>
      </w:pPr>
    </w:p>
    <w:p>
      <w:pPr>
        <w:jc w:val="both"/>
        <w:ind w:left="4" w:firstLine="1940"/>
        <w:spacing w:after="0" w:line="254" w:lineRule="auto"/>
        <w:tabs>
          <w:tab w:leader="none" w:pos="2746" w:val="left"/>
        </w:tabs>
        <w:numPr>
          <w:ilvl w:val="3"/>
          <w:numId w:val="75"/>
        </w:numPr>
        <w:rPr>
          <w:rFonts w:ascii="Arial" w:cs="Arial" w:eastAsia="Arial" w:hAnsi="Arial"/>
          <w:sz w:val="16"/>
          <w:szCs w:val="16"/>
          <w:color w:val="auto"/>
        </w:rPr>
      </w:pPr>
      <w:r>
        <w:rPr>
          <w:rFonts w:ascii="Arial" w:cs="Arial" w:eastAsia="Arial" w:hAnsi="Arial"/>
          <w:sz w:val="18"/>
          <w:szCs w:val="18"/>
          <w:color w:val="auto"/>
        </w:rPr>
        <w:t>Data and information relating to the Company’s Business; disclosed to Employee or of which Employee became aware of as a consequence of Employee’s relationship with the Company; having value to the employer; not generally known to the competitors for the employer; and which includes trade secrets, methods of operation, names of customers, price lists, financial information and projections, route books, personnel data, and similar information. For purposes of this Agreement, subject to the foregoing, and according to terminology commonly used by the Company, the Company’s Confidential Information shall include, but not be limited to, information pertaining to: (1) Business Opportunities (as defined below); (2) data and compilations of data relating to the Company’s Business; (3) compilations of information about, and communications and agreements with, customers and potential customers of the Company; (4) computer software, hardware, network and internet technology utilized, modified or enhanced by the Company or by Employee in furtherance of Employee’s duties with the Company;</w:t>
      </w:r>
    </w:p>
    <w:p>
      <w:pPr>
        <w:spacing w:after="0" w:line="1" w:lineRule="exact"/>
        <w:rPr>
          <w:rFonts w:ascii="Arial" w:cs="Arial" w:eastAsia="Arial" w:hAnsi="Arial"/>
          <w:sz w:val="16"/>
          <w:szCs w:val="16"/>
          <w:color w:val="auto"/>
        </w:rPr>
      </w:pPr>
    </w:p>
    <w:p>
      <w:pPr>
        <w:ind w:left="284" w:hanging="284"/>
        <w:spacing w:after="0"/>
        <w:tabs>
          <w:tab w:leader="none" w:pos="284"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compilations of data concerning Company products, services, customers, and end users including but not limited to compilations</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84"/>
          </w:cols>
          <w:pgMar w:left="976" w:top="238"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10(iii)A(83)</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concerning projected sales, new project timelines, inventory reports, sales, and cost and expense reports; (6) compilations of information about the Company’s employees and independent contracting consultants; (7) the Company’s financial information, including, without limitation, amounts charged to customers and amounts charged to the Company by its vendors, suppliers, and service providers; (8) proposals submitted to the Company’s customers, potential customers, wholesalers, distributors, vendors, suppliers and service providers; (9) the Company’s marketing strategies and compilations of marketing data; (10) compilations of data or information concerning, and communications and agreements with, vendors, suppliers and licensors to the Company and other sources of technology, products, services or components used in the Company’s Business; (11) any information concerning services requested and services performed on behalf of customers of the Company, including planned products or services; and (12) the Company’s research and development records and data. Confidential Information also includes any summary, extract or analysis of such information together with information that has been received or disclosed to the Company by any third party as to which the Company has an obligation to treat as confidential.</w:t>
      </w:r>
    </w:p>
    <w:p>
      <w:pPr>
        <w:spacing w:after="0" w:line="78" w:lineRule="exact"/>
        <w:rPr>
          <w:sz w:val="20"/>
          <w:szCs w:val="20"/>
          <w:color w:val="auto"/>
        </w:rPr>
      </w:pPr>
    </w:p>
    <w:p>
      <w:pPr>
        <w:ind w:left="3400" w:hanging="800"/>
        <w:spacing w:after="0"/>
        <w:tabs>
          <w:tab w:leader="none" w:pos="3400" w:val="left"/>
        </w:tabs>
        <w:numPr>
          <w:ilvl w:val="0"/>
          <w:numId w:val="77"/>
        </w:numPr>
        <w:rPr>
          <w:rFonts w:ascii="Arial" w:cs="Arial" w:eastAsia="Arial" w:hAnsi="Arial"/>
          <w:sz w:val="18"/>
          <w:szCs w:val="18"/>
          <w:color w:val="auto"/>
        </w:rPr>
      </w:pPr>
      <w:r>
        <w:rPr>
          <w:rFonts w:ascii="Arial" w:cs="Arial" w:eastAsia="Arial" w:hAnsi="Arial"/>
          <w:sz w:val="20"/>
          <w:szCs w:val="20"/>
          <w:color w:val="auto"/>
        </w:rPr>
        <w:t>Confidential Information shall not include:</w:t>
      </w:r>
    </w:p>
    <w:p>
      <w:pPr>
        <w:spacing w:after="0" w:line="121" w:lineRule="exact"/>
        <w:rPr>
          <w:rFonts w:ascii="Arial" w:cs="Arial" w:eastAsia="Arial" w:hAnsi="Arial"/>
          <w:sz w:val="18"/>
          <w:szCs w:val="18"/>
          <w:color w:val="auto"/>
        </w:rPr>
      </w:pPr>
    </w:p>
    <w:p>
      <w:pPr>
        <w:ind w:left="3980" w:hanging="732"/>
        <w:spacing w:after="0"/>
        <w:tabs>
          <w:tab w:leader="none" w:pos="3980" w:val="left"/>
        </w:tabs>
        <w:numPr>
          <w:ilvl w:val="1"/>
          <w:numId w:val="77"/>
        </w:numPr>
        <w:rPr>
          <w:rFonts w:ascii="Arial" w:cs="Arial" w:eastAsia="Arial" w:hAnsi="Arial"/>
          <w:sz w:val="16"/>
          <w:szCs w:val="16"/>
          <w:color w:val="auto"/>
        </w:rPr>
      </w:pPr>
      <w:r>
        <w:rPr>
          <w:rFonts w:ascii="Arial" w:cs="Arial" w:eastAsia="Arial" w:hAnsi="Arial"/>
          <w:sz w:val="18"/>
          <w:szCs w:val="18"/>
          <w:color w:val="auto"/>
        </w:rPr>
        <w:t>Information generally available to the public other than as a result of improper disclosure</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by Employee;</w:t>
      </w:r>
    </w:p>
    <w:p>
      <w:pPr>
        <w:spacing w:after="0" w:line="92" w:lineRule="exact"/>
        <w:rPr>
          <w:sz w:val="20"/>
          <w:szCs w:val="20"/>
          <w:color w:val="auto"/>
        </w:rPr>
      </w:pPr>
    </w:p>
    <w:p>
      <w:pPr>
        <w:ind w:left="660" w:right="20" w:firstLine="2588"/>
        <w:spacing w:after="0" w:line="316" w:lineRule="auto"/>
        <w:tabs>
          <w:tab w:leader="none" w:pos="4030" w:val="left"/>
        </w:tabs>
        <w:numPr>
          <w:ilvl w:val="0"/>
          <w:numId w:val="78"/>
        </w:numPr>
        <w:rPr>
          <w:rFonts w:ascii="Arial" w:cs="Arial" w:eastAsia="Arial" w:hAnsi="Arial"/>
          <w:sz w:val="16"/>
          <w:szCs w:val="16"/>
          <w:color w:val="auto"/>
        </w:rPr>
      </w:pPr>
      <w:r>
        <w:rPr>
          <w:rFonts w:ascii="Arial" w:cs="Arial" w:eastAsia="Arial" w:hAnsi="Arial"/>
          <w:sz w:val="18"/>
          <w:szCs w:val="18"/>
          <w:color w:val="auto"/>
        </w:rPr>
        <w:t>Information that becomes available to Employee from a source other than the Company (provided Employee has no knowledge that such information was obtained from a source in breach of a duty to the Company);</w:t>
      </w:r>
    </w:p>
    <w:p>
      <w:pPr>
        <w:spacing w:after="0" w:line="21" w:lineRule="exact"/>
        <w:rPr>
          <w:rFonts w:ascii="Arial" w:cs="Arial" w:eastAsia="Arial" w:hAnsi="Arial"/>
          <w:sz w:val="16"/>
          <w:szCs w:val="16"/>
          <w:color w:val="auto"/>
        </w:rPr>
      </w:pPr>
    </w:p>
    <w:p>
      <w:pPr>
        <w:ind w:left="4060" w:hanging="812"/>
        <w:spacing w:after="0"/>
        <w:tabs>
          <w:tab w:leader="none" w:pos="4060" w:val="left"/>
        </w:tabs>
        <w:numPr>
          <w:ilvl w:val="0"/>
          <w:numId w:val="78"/>
        </w:numPr>
        <w:rPr>
          <w:rFonts w:ascii="Arial" w:cs="Arial" w:eastAsia="Arial" w:hAnsi="Arial"/>
          <w:sz w:val="16"/>
          <w:szCs w:val="16"/>
          <w:color w:val="auto"/>
        </w:rPr>
      </w:pPr>
      <w:r>
        <w:rPr>
          <w:rFonts w:ascii="Arial" w:cs="Arial" w:eastAsia="Arial" w:hAnsi="Arial"/>
          <w:sz w:val="18"/>
          <w:szCs w:val="18"/>
          <w:color w:val="auto"/>
        </w:rPr>
        <w:t>Information disclosed pursuant to law, regulations or pursuant to a subpoena, court order</w:t>
      </w:r>
    </w:p>
    <w:p>
      <w:pPr>
        <w:spacing w:after="0" w:line="3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or legal process; and/or</w:t>
      </w:r>
    </w:p>
    <w:p>
      <w:pPr>
        <w:spacing w:after="0" w:line="91" w:lineRule="exact"/>
        <w:rPr>
          <w:rFonts w:ascii="Arial" w:cs="Arial" w:eastAsia="Arial" w:hAnsi="Arial"/>
          <w:sz w:val="16"/>
          <w:szCs w:val="16"/>
          <w:color w:val="auto"/>
        </w:rPr>
      </w:pPr>
    </w:p>
    <w:p>
      <w:pPr>
        <w:ind w:left="4060" w:hanging="812"/>
        <w:spacing w:after="0"/>
        <w:tabs>
          <w:tab w:leader="none" w:pos="4060" w:val="left"/>
        </w:tabs>
        <w:numPr>
          <w:ilvl w:val="0"/>
          <w:numId w:val="78"/>
        </w:numPr>
        <w:rPr>
          <w:rFonts w:ascii="Arial" w:cs="Arial" w:eastAsia="Arial" w:hAnsi="Arial"/>
          <w:sz w:val="18"/>
          <w:szCs w:val="18"/>
          <w:color w:val="auto"/>
        </w:rPr>
      </w:pPr>
      <w:r>
        <w:rPr>
          <w:rFonts w:ascii="Arial" w:cs="Arial" w:eastAsia="Arial" w:hAnsi="Arial"/>
          <w:sz w:val="20"/>
          <w:szCs w:val="20"/>
          <w:color w:val="auto"/>
        </w:rPr>
        <w:t>Information obtained in filings with the Securities and Exchange Commission.</w:t>
      </w:r>
    </w:p>
    <w:p>
      <w:pPr>
        <w:sectPr>
          <w:pgSz w:w="11900" w:h="16838" w:orient="portrait"/>
          <w:cols w:equalWidth="0" w:num="1">
            <w:col w:w="11240"/>
          </w:cols>
          <w:pgMar w:left="320" w:top="238" w:right="339" w:bottom="1440" w:gutter="0" w:footer="0" w:header="0"/>
        </w:sectPr>
      </w:pP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10-1-760, </w:t>
      </w:r>
      <w:r>
        <w:rPr>
          <w:rFonts w:ascii="Arial" w:cs="Arial" w:eastAsia="Arial" w:hAnsi="Arial"/>
          <w:sz w:val="20"/>
          <w:szCs w:val="20"/>
          <w:i w:val="1"/>
          <w:iCs w:val="1"/>
          <w:color w:val="auto"/>
        </w:rPr>
        <w:t>et seq</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“Trade Secrets” means Confidential Information constituting a trade secret under Georgia Law, O.C.G.A.</w:t>
      </w:r>
    </w:p>
    <w:p>
      <w:pPr>
        <w:spacing w:after="0" w:line="360" w:lineRule="exact"/>
        <w:rPr>
          <w:sz w:val="20"/>
          <w:szCs w:val="20"/>
          <w:color w:val="auto"/>
        </w:rPr>
      </w:pPr>
    </w:p>
    <w:p>
      <w:pPr>
        <w:sectPr>
          <w:pgSz w:w="11900" w:h="16838" w:orient="portrait"/>
          <w:cols w:equalWidth="0" w:num="2">
            <w:col w:w="2080" w:space="660"/>
            <w:col w:w="8500"/>
          </w:cols>
          <w:pgMar w:left="320" w:top="238" w:right="339" w:bottom="1440" w:gutter="0" w:footer="0" w:header="0"/>
          <w:type w:val="continuous"/>
        </w:sectPr>
      </w:pPr>
    </w:p>
    <w:p>
      <w:pPr>
        <w:jc w:val="both"/>
        <w:ind w:firstLine="1952"/>
        <w:spacing w:after="0" w:line="229" w:lineRule="auto"/>
        <w:tabs>
          <w:tab w:leader="none" w:pos="2806" w:val="left"/>
        </w:tabs>
        <w:numPr>
          <w:ilvl w:val="0"/>
          <w:numId w:val="79"/>
        </w:numPr>
        <w:rPr>
          <w:rFonts w:ascii="Arial" w:cs="Arial" w:eastAsia="Arial" w:hAnsi="Arial"/>
          <w:sz w:val="20"/>
          <w:szCs w:val="20"/>
          <w:color w:val="auto"/>
        </w:rPr>
      </w:pPr>
      <w:r>
        <w:rPr>
          <w:rFonts w:ascii="Arial" w:cs="Arial" w:eastAsia="Arial" w:hAnsi="Arial"/>
          <w:sz w:val="20"/>
          <w:szCs w:val="20"/>
          <w:color w:val="auto"/>
        </w:rPr>
        <w:t>“Executive Services” shall mean the duties and services the Employee performed in his/her executive capacity on behalf of the Company, including anything of the type conducted, authorized, offered, or provided by the Employee in his/her Executive Capacity, within twelve (12) months prior the start of the Severance Period. Employee acknowledges that through the Company’s investment of time, training, money, trust, exposure to the public or exposure to customers, vendors or other business relationships during the course of Employee’s employment with the Company, Employee was an employee who gained a degree of notoriety, fame, reputation as the Company’s representative, as well as a degree of influence or credibility with the employer’s customers, vendors, or other business relationships and is intimately involved in the planning for the direction of the Company’s business or a defined unit of the business of the Company.</w:t>
      </w:r>
    </w:p>
    <w:p>
      <w:pPr>
        <w:spacing w:after="0" w:line="94" w:lineRule="exact"/>
        <w:rPr>
          <w:rFonts w:ascii="Arial" w:cs="Arial" w:eastAsia="Arial" w:hAnsi="Arial"/>
          <w:sz w:val="20"/>
          <w:szCs w:val="20"/>
          <w:color w:val="auto"/>
        </w:rPr>
      </w:pPr>
    </w:p>
    <w:p>
      <w:pPr>
        <w:jc w:val="both"/>
        <w:ind w:firstLine="1952"/>
        <w:spacing w:after="0" w:line="248" w:lineRule="auto"/>
        <w:tabs>
          <w:tab w:leader="none" w:pos="2782" w:val="left"/>
        </w:tabs>
        <w:numPr>
          <w:ilvl w:val="0"/>
          <w:numId w:val="79"/>
        </w:numPr>
        <w:rPr>
          <w:rFonts w:ascii="Arial" w:cs="Arial" w:eastAsia="Arial" w:hAnsi="Arial"/>
          <w:sz w:val="19"/>
          <w:szCs w:val="19"/>
          <w:color w:val="auto"/>
        </w:rPr>
      </w:pPr>
      <w:r>
        <w:rPr>
          <w:rFonts w:ascii="Arial" w:cs="Arial" w:eastAsia="Arial" w:hAnsi="Arial"/>
          <w:sz w:val="19"/>
          <w:szCs w:val="19"/>
          <w:color w:val="auto"/>
        </w:rPr>
        <w:t>“Inventions” means contributions, discoveries, improvements and ideas and works of authorship, whether or not patentable or copyrightable, and: (i) which relate directly to the business of the Company, or (ii) which result from any work performed by Employee or by Employee’s fellow employees for the Company, or (iii) for which equipment, supplies, facilities, Confidential Information or Trade Secrets of the Protected Parties are used, or (iv) which was developed on the Company’s time.</w:t>
      </w:r>
    </w:p>
    <w:p>
      <w:pPr>
        <w:spacing w:after="0" w:line="82" w:lineRule="exact"/>
        <w:rPr>
          <w:rFonts w:ascii="Arial" w:cs="Arial" w:eastAsia="Arial" w:hAnsi="Arial"/>
          <w:sz w:val="19"/>
          <w:szCs w:val="19"/>
          <w:color w:val="auto"/>
        </w:rPr>
      </w:pPr>
    </w:p>
    <w:p>
      <w:pPr>
        <w:jc w:val="both"/>
        <w:ind w:firstLine="1952"/>
        <w:spacing w:after="0" w:line="232" w:lineRule="auto"/>
        <w:tabs>
          <w:tab w:leader="none" w:pos="2727" w:val="left"/>
        </w:tabs>
        <w:numPr>
          <w:ilvl w:val="0"/>
          <w:numId w:val="79"/>
        </w:numPr>
        <w:rPr>
          <w:rFonts w:ascii="Arial" w:cs="Arial" w:eastAsia="Arial" w:hAnsi="Arial"/>
          <w:sz w:val="20"/>
          <w:szCs w:val="20"/>
          <w:color w:val="auto"/>
        </w:rPr>
      </w:pPr>
      <w:r>
        <w:rPr>
          <w:rFonts w:ascii="Arial" w:cs="Arial" w:eastAsia="Arial" w:hAnsi="Arial"/>
          <w:sz w:val="20"/>
          <w:szCs w:val="20"/>
          <w:color w:val="auto"/>
        </w:rPr>
        <w:t>“Customers” means those entities and/or individuals who are customers of Company and/or its affiliates with respect to which, within the two-year period preceding the start of the Severance Period: (i) Employee had Material Contact on behalf of the Company; (ii) Employee acquired, directly or indirectly, Confidential Information or Trade Secrets as a result of his employment with the Company; and/or (iii) Employee exercised oversight or responsibility of subordinates who engaged in Material Contact on behalf of the Company.</w:t>
      </w:r>
    </w:p>
    <w:p>
      <w:pPr>
        <w:spacing w:after="0" w:line="83" w:lineRule="exact"/>
        <w:rPr>
          <w:rFonts w:ascii="Arial" w:cs="Arial" w:eastAsia="Arial" w:hAnsi="Arial"/>
          <w:sz w:val="20"/>
          <w:szCs w:val="20"/>
          <w:color w:val="auto"/>
        </w:rPr>
      </w:pPr>
    </w:p>
    <w:p>
      <w:pPr>
        <w:jc w:val="both"/>
        <w:ind w:firstLine="1952"/>
        <w:spacing w:after="0" w:line="235" w:lineRule="auto"/>
        <w:tabs>
          <w:tab w:leader="none" w:pos="2795" w:val="left"/>
        </w:tabs>
        <w:numPr>
          <w:ilvl w:val="0"/>
          <w:numId w:val="79"/>
        </w:numPr>
        <w:rPr>
          <w:rFonts w:ascii="Arial" w:cs="Arial" w:eastAsia="Arial" w:hAnsi="Arial"/>
          <w:sz w:val="20"/>
          <w:szCs w:val="20"/>
          <w:color w:val="auto"/>
        </w:rPr>
      </w:pPr>
      <w:r>
        <w:rPr>
          <w:rFonts w:ascii="Arial" w:cs="Arial" w:eastAsia="Arial" w:hAnsi="Arial"/>
          <w:sz w:val="20"/>
          <w:szCs w:val="20"/>
          <w:b w:val="1"/>
          <w:bCs w:val="1"/>
          <w:color w:val="auto"/>
        </w:rPr>
        <w:t xml:space="preserve">[To be updated as the business evolves during Executive’s tenure with the Company:] </w:t>
      </w:r>
      <w:r>
        <w:rPr>
          <w:rFonts w:ascii="Arial" w:cs="Arial" w:eastAsia="Arial" w:hAnsi="Arial"/>
          <w:sz w:val="20"/>
          <w:szCs w:val="20"/>
          <w:color w:val="auto"/>
        </w:rPr>
        <w:t>“Company’s</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means the design, manufacture, installation, servicing, and/or sale of one or more of the following and any related products and/or services: lighting fixtures and systems; lighting control components and systems (including but not limited to dimmers, switches, relays, programmable lighting controllers, sensors, timers,</w:t>
      </w:r>
    </w:p>
    <w:p>
      <w:pPr>
        <w:spacing w:after="0" w:line="309"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238" w:right="339" w:bottom="1440" w:gutter="0" w:footer="0" w:header="0"/>
          <w:type w:val="continuous"/>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10(iii)A(83)</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range extenders for lighting and energy management and other purposes); building management and/or control systems; commercial building lighting controls; intelligent building automation and energy management technologies, products, software and solutions with respect to HVAC systems and HVAC controls and sensors; motorized shading and blind controls; building security and access control and monitoring for fire and life safety; emergency lighting fixtures and systems (including but not limited to exit signs, emergency light units, inverters, back-up power battery packs, and combinations thereof); battery powered and/or photovoltaic lighting fixtures; electric lighting track units; hardware for mounting and hanging electrical lighting fixtures; aluminum, steel and fiberglass fixture poles for electric lighting; light fixture lenses; sound and electromagnetic wave receivers and transmitters; flexible and modular wiring systems and components (namely, flexible branch circuits, attachment plugs, receptacles, connectors and fittings); LED drivers and other power supplies; daylighting systems including but not limited to prismatic skylighting and related controls; organic LED products and technology; medical and patient care lighting devices and systems; indoor positioning products and technology; sensor based information networks; distributed software services; and any wired or wireless communications and monitoring hardware or software related to any of the above.</w:t>
      </w:r>
    </w:p>
    <w:p>
      <w:pPr>
        <w:spacing w:after="0" w:line="72" w:lineRule="exact"/>
        <w:rPr>
          <w:sz w:val="20"/>
          <w:szCs w:val="20"/>
          <w:color w:val="auto"/>
        </w:rPr>
      </w:pPr>
    </w:p>
    <w:p>
      <w:pPr>
        <w:jc w:val="both"/>
        <w:ind w:firstLine="1952"/>
        <w:spacing w:after="0" w:line="257" w:lineRule="auto"/>
        <w:tabs>
          <w:tab w:leader="none" w:pos="285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[To be updated based on the scope of geography for which Executive worked while at the Company:] </w:t>
      </w:r>
      <w:r>
        <w:rPr>
          <w:rFonts w:ascii="Arial" w:cs="Arial" w:eastAsia="Arial" w:hAnsi="Arial"/>
          <w:sz w:val="18"/>
          <w:szCs w:val="18"/>
          <w:color w:val="auto"/>
        </w:rPr>
        <w:t>“Territory” means ___________________. Employee acknowledges that the Company is licensed to do business and in fact</w:t>
      </w:r>
      <w:r>
        <w:rPr>
          <w:rFonts w:ascii="Arial" w:cs="Arial" w:eastAsia="Arial" w:hAnsi="Arial"/>
          <w:sz w:val="18"/>
          <w:szCs w:val="18"/>
          <w:b w:val="1"/>
          <w:bCs w:val="1"/>
          <w:color w:val="auto"/>
        </w:rPr>
        <w:t xml:space="preserve"> </w:t>
      </w:r>
      <w:r>
        <w:rPr>
          <w:rFonts w:ascii="Arial" w:cs="Arial" w:eastAsia="Arial" w:hAnsi="Arial"/>
          <w:sz w:val="18"/>
          <w:szCs w:val="18"/>
          <w:color w:val="auto"/>
        </w:rPr>
        <w:t>does business in all fifty states in the United States and all provinces in Canada. Employee further acknowledges that the services he/she has performed on behalf of the Company and its affiliates, including Executive Services, have been at a senior managerial level and were not limited in their territorial scope to any particular city, state, or region, but instead affected the Company’s activity within the entire United States and Canada. Specifically, Employee provided Executive Services on the Company’s behalf, traveled throughout the United States and Canada to attend Company meetings, visited Company factories and distribution centers, met with Company agents and distributors, and attended trade shows. Accordingly, Employee agrees that these restrictions are reasonable and necessary to protect the Confidential Information, trade secrets, business relationships, and goodwill of the Company.</w:t>
      </w:r>
    </w:p>
    <w:p>
      <w:pPr>
        <w:spacing w:after="0" w:line="76" w:lineRule="exact"/>
        <w:rPr>
          <w:rFonts w:ascii="Arial" w:cs="Arial" w:eastAsia="Arial" w:hAnsi="Arial"/>
          <w:sz w:val="18"/>
          <w:szCs w:val="18"/>
          <w:color w:val="auto"/>
        </w:rPr>
      </w:pPr>
    </w:p>
    <w:p>
      <w:pPr>
        <w:jc w:val="both"/>
        <w:ind w:firstLine="1952"/>
        <w:spacing w:after="0" w:line="244" w:lineRule="auto"/>
        <w:tabs>
          <w:tab w:leader="none" w:pos="2905" w:val="left"/>
        </w:tabs>
        <w:numPr>
          <w:ilvl w:val="0"/>
          <w:numId w:val="80"/>
        </w:numPr>
        <w:rPr>
          <w:rFonts w:ascii="Arial" w:cs="Arial" w:eastAsia="Arial" w:hAnsi="Arial"/>
          <w:sz w:val="19"/>
          <w:szCs w:val="19"/>
          <w:color w:val="auto"/>
        </w:rPr>
      </w:pPr>
      <w:r>
        <w:rPr>
          <w:rFonts w:ascii="Arial" w:cs="Arial" w:eastAsia="Arial" w:hAnsi="Arial"/>
          <w:sz w:val="19"/>
          <w:szCs w:val="19"/>
          <w:color w:val="auto"/>
        </w:rPr>
        <w:t>“Material Contact” shall have the meaning set forth in O.C.G.A. § 13-8-51(10), which includes contact between an employee and each customer or potential customer: with whom or which the employee dealt on behalf of the employer; whose dealings with the employer were coordinated or supervised by the employee; about whom the employee obtained confidential information in the ordinary course of business as a result of such employee’s association with the employer; or who receives products or services authorized by the employer, the sale or provision of which results of resulted in compensation, commissions, or earnings for the employee within two years prior to the date of the start of the Severance Period.</w:t>
      </w:r>
    </w:p>
    <w:p>
      <w:pPr>
        <w:spacing w:after="0" w:line="84" w:lineRule="exact"/>
        <w:rPr>
          <w:rFonts w:ascii="Arial" w:cs="Arial" w:eastAsia="Arial" w:hAnsi="Arial"/>
          <w:sz w:val="19"/>
          <w:szCs w:val="19"/>
          <w:color w:val="auto"/>
        </w:rPr>
      </w:pPr>
    </w:p>
    <w:p>
      <w:pPr>
        <w:jc w:val="both"/>
        <w:ind w:firstLine="1952"/>
        <w:spacing w:after="0" w:line="237" w:lineRule="auto"/>
        <w:tabs>
          <w:tab w:leader="none" w:pos="2795" w:val="left"/>
        </w:tabs>
        <w:numPr>
          <w:ilvl w:val="0"/>
          <w:numId w:val="80"/>
        </w:numPr>
        <w:rPr>
          <w:rFonts w:ascii="Arial" w:cs="Arial" w:eastAsia="Arial" w:hAnsi="Arial"/>
          <w:sz w:val="20"/>
          <w:szCs w:val="20"/>
          <w:color w:val="auto"/>
        </w:rPr>
      </w:pPr>
      <w:r>
        <w:rPr>
          <w:rFonts w:ascii="Arial" w:cs="Arial" w:eastAsia="Arial" w:hAnsi="Arial"/>
          <w:sz w:val="20"/>
          <w:szCs w:val="20"/>
          <w:color w:val="auto"/>
        </w:rPr>
        <w:t>“Sales Agent” is any third-party agency and/or systems integrator, and/or its representatives, with which or whom the Company or its affiliates has contracted for the purpose of facilitating the sale of the Company’s or its affiliates’ products or services during the last two years of Employee’s employment with the Company.</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Section 5 - Confidentiality and damages for breach</w:t>
      </w:r>
    </w:p>
    <w:p>
      <w:pPr>
        <w:spacing w:after="0" w:line="200" w:lineRule="exact"/>
        <w:rPr>
          <w:sz w:val="20"/>
          <w:szCs w:val="20"/>
          <w:color w:val="auto"/>
        </w:rPr>
      </w:pPr>
    </w:p>
    <w:p>
      <w:pPr>
        <w:spacing w:after="0" w:line="299" w:lineRule="exact"/>
        <w:rPr>
          <w:sz w:val="20"/>
          <w:szCs w:val="20"/>
          <w:color w:val="auto"/>
        </w:rPr>
      </w:pPr>
    </w:p>
    <w:p>
      <w:pPr>
        <w:jc w:val="both"/>
        <w:ind w:left="660" w:firstLine="644"/>
        <w:spacing w:after="0" w:line="231" w:lineRule="auto"/>
        <w:tabs>
          <w:tab w:leader="none" w:pos="2231" w:val="left"/>
        </w:tabs>
        <w:numPr>
          <w:ilvl w:val="0"/>
          <w:numId w:val="81"/>
        </w:numPr>
        <w:rPr>
          <w:rFonts w:ascii="Arial" w:cs="Arial" w:eastAsia="Arial" w:hAnsi="Arial"/>
          <w:sz w:val="20"/>
          <w:szCs w:val="20"/>
          <w:color w:val="auto"/>
        </w:rPr>
      </w:pPr>
      <w:r>
        <w:rPr>
          <w:rFonts w:ascii="Arial" w:cs="Arial" w:eastAsia="Arial" w:hAnsi="Arial"/>
          <w:sz w:val="20"/>
          <w:szCs w:val="20"/>
          <w:color w:val="auto"/>
        </w:rPr>
        <w:t>Employee represents and warrants that he/she has kept and will keep the nature and content of the discussions related to this Agreement, the existence and/or content of this Agreement, the amount of payment and consideration paid to Employee, and all terms of this Agreement completely confidential. Employee represents and warrants that he/she will not hereafter disclose any information concerning the fact, nature and/or content of the discussions related to this Agreement, the existence and/or content of this Agreement, the amount of payment and consideration paid to Employee, and/or terms of this Agreement to any other person or entity.</w:t>
      </w:r>
    </w:p>
    <w:p>
      <w:pPr>
        <w:spacing w:after="0" w:line="183" w:lineRule="exact"/>
        <w:rPr>
          <w:rFonts w:ascii="Arial" w:cs="Arial" w:eastAsia="Arial" w:hAnsi="Arial"/>
          <w:sz w:val="20"/>
          <w:szCs w:val="20"/>
          <w:color w:val="auto"/>
        </w:rPr>
      </w:pPr>
    </w:p>
    <w:p>
      <w:pPr>
        <w:jc w:val="both"/>
        <w:ind w:left="660" w:firstLine="644"/>
        <w:spacing w:after="0" w:line="232" w:lineRule="auto"/>
        <w:tabs>
          <w:tab w:leader="none" w:pos="2187" w:val="left"/>
        </w:tabs>
        <w:numPr>
          <w:ilvl w:val="0"/>
          <w:numId w:val="81"/>
        </w:numPr>
        <w:rPr>
          <w:rFonts w:ascii="Arial" w:cs="Arial" w:eastAsia="Arial" w:hAnsi="Arial"/>
          <w:sz w:val="20"/>
          <w:szCs w:val="20"/>
          <w:color w:val="auto"/>
        </w:rPr>
      </w:pPr>
      <w:r>
        <w:rPr>
          <w:rFonts w:ascii="Arial" w:cs="Arial" w:eastAsia="Arial" w:hAnsi="Arial"/>
          <w:sz w:val="20"/>
          <w:szCs w:val="20"/>
          <w:color w:val="auto"/>
        </w:rPr>
        <w:t>Excepted from Section 5(a) for Employee shall be: (i) disclosure under seal in an arbitration to enforce this Agreement, but even then only the paragraph(s) at issue in the proceeding; (ii) legal counsel and tax advisors for the purpose of complying with tax laws and regulations for the preparation and filing of all relevant tax returns; and (iii) his/her spouse. Prior to disclosing any information permitted by this Paragraph, Employee must obtain the agreement by the person or entity permitted hereunder to maintain the information</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238" w:right="339" w:bottom="1440" w:gutter="0" w:footer="0" w:header="0"/>
        </w:sectPr>
      </w:pPr>
    </w:p>
    <w:bookmarkStart w:id="132" w:name="page133"/>
    <w:bookmarkEnd w:id="132"/>
    <w:p>
      <w:pPr>
        <w:ind w:left="9680"/>
        <w:spacing w:after="0"/>
        <w:rPr>
          <w:sz w:val="20"/>
          <w:szCs w:val="20"/>
          <w:color w:val="auto"/>
        </w:rPr>
      </w:pPr>
      <w:r>
        <w:rPr>
          <w:rFonts w:ascii="Arial" w:cs="Arial" w:eastAsia="Arial" w:hAnsi="Arial"/>
          <w:sz w:val="17"/>
          <w:szCs w:val="17"/>
          <w:b w:val="1"/>
          <w:bCs w:val="1"/>
          <w:color w:val="auto"/>
        </w:rPr>
        <w:t>Exhibit 10(iii)A(83)</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as Confidential. Any breach of this Confidentiality agreement by any person or entity shall be deemed a breach by Employee.</w:t>
      </w:r>
    </w:p>
    <w:p>
      <w:pPr>
        <w:spacing w:after="0" w:line="202" w:lineRule="exact"/>
        <w:rPr>
          <w:sz w:val="20"/>
          <w:szCs w:val="20"/>
          <w:color w:val="auto"/>
        </w:rPr>
      </w:pPr>
    </w:p>
    <w:p>
      <w:pPr>
        <w:jc w:val="both"/>
        <w:ind w:left="660" w:firstLine="644"/>
        <w:spacing w:after="0" w:line="243" w:lineRule="auto"/>
        <w:tabs>
          <w:tab w:leader="none" w:pos="2187" w:val="left"/>
        </w:tabs>
        <w:numPr>
          <w:ilvl w:val="0"/>
          <w:numId w:val="82"/>
        </w:numPr>
        <w:rPr>
          <w:rFonts w:ascii="Arial" w:cs="Arial" w:eastAsia="Arial" w:hAnsi="Arial"/>
          <w:sz w:val="19"/>
          <w:szCs w:val="19"/>
          <w:color w:val="auto"/>
        </w:rPr>
      </w:pPr>
      <w:r>
        <w:rPr>
          <w:rFonts w:ascii="Arial" w:cs="Arial" w:eastAsia="Arial" w:hAnsi="Arial"/>
          <w:sz w:val="19"/>
          <w:szCs w:val="19"/>
          <w:color w:val="auto"/>
        </w:rPr>
        <w:t>Employee and his/her agents shall not under any circumstances bring to the attention of, solicit or otherwise encourage any person or entity, to solicit or otherwise encourage any inquiry into the fact, nature, and/or content of the discussions related to this Agreement, the existence and/or content of this Agreement, the amount of payment and consideration paid to Employee, and/or any of the terms of this Agreement. If contacted or asked by any person or entity as to the status of the Agreement, the disposition, fact, nature, or content of the discussions related to this Agreement, the existence and/or content of this Agreement, the amount of payment and consideration paid to Employee, and/or any of the terms of this Agreement, Employee agrees that he/she will say only that “I will not comment.”</w:t>
      </w:r>
    </w:p>
    <w:p>
      <w:pPr>
        <w:spacing w:after="0" w:line="179" w:lineRule="exact"/>
        <w:rPr>
          <w:rFonts w:ascii="Arial" w:cs="Arial" w:eastAsia="Arial" w:hAnsi="Arial"/>
          <w:sz w:val="19"/>
          <w:szCs w:val="19"/>
          <w:color w:val="auto"/>
        </w:rPr>
      </w:pPr>
    </w:p>
    <w:p>
      <w:pPr>
        <w:jc w:val="both"/>
        <w:ind w:left="660" w:firstLine="644"/>
        <w:spacing w:after="0" w:line="241" w:lineRule="auto"/>
        <w:tabs>
          <w:tab w:leader="none" w:pos="2176" w:val="left"/>
        </w:tabs>
        <w:numPr>
          <w:ilvl w:val="0"/>
          <w:numId w:val="82"/>
        </w:numPr>
        <w:rPr>
          <w:rFonts w:ascii="Arial" w:cs="Arial" w:eastAsia="Arial" w:hAnsi="Arial"/>
          <w:sz w:val="19"/>
          <w:szCs w:val="19"/>
          <w:color w:val="auto"/>
        </w:rPr>
      </w:pPr>
      <w:r>
        <w:rPr>
          <w:rFonts w:ascii="Arial" w:cs="Arial" w:eastAsia="Arial" w:hAnsi="Arial"/>
          <w:sz w:val="19"/>
          <w:szCs w:val="19"/>
          <w:color w:val="auto"/>
        </w:rPr>
        <w:t>Employee agrees that he/she will not solicit or otherwise encourage any person or entity to seek this Agreement or the terms of this Agreement in any proceeding, agency investigation, litigation or arbitration. Likewise, Employee will not voluntarily participate in any proceeding, litigation or arbitration against Employer. Should Employee receive an enforceable subpoena or an enforceable court order, he/she agrees to provide Employer with prompt notice; and in no event shall such notice be delivered to the Company later than two (2) days after receipt by Employee, providing Employer with the opportunity to object to and/or be present at or participate in the proceeding. Employee agrees to fully cooperate with Employer in opposing any effort by any person or entity to obtain this Agreement or its terms and to refrain from responding or otherwise participating with respect to the disclosure of this Agreement or its terms until a Court of competent jurisdiction has ruled on Employer’s and Employee’s joint objections. Nothing in this Paragraph shall require Employee to disobey a final Court or other final enforceable order to produce this Agreement or disclose its terms.</w:t>
      </w:r>
    </w:p>
    <w:p>
      <w:pPr>
        <w:spacing w:after="0" w:line="182" w:lineRule="exact"/>
        <w:rPr>
          <w:sz w:val="20"/>
          <w:szCs w:val="20"/>
          <w:color w:val="auto"/>
        </w:rPr>
      </w:pPr>
    </w:p>
    <w:p>
      <w:pPr>
        <w:jc w:val="both"/>
        <w:ind w:left="660" w:firstLine="644"/>
        <w:spacing w:after="0" w:line="237" w:lineRule="auto"/>
        <w:tabs>
          <w:tab w:leader="none" w:pos="2263" w:val="left"/>
        </w:tabs>
        <w:numPr>
          <w:ilvl w:val="0"/>
          <w:numId w:val="83"/>
        </w:numPr>
        <w:rPr>
          <w:rFonts w:ascii="Arial" w:cs="Arial" w:eastAsia="Arial" w:hAnsi="Arial"/>
          <w:sz w:val="20"/>
          <w:szCs w:val="20"/>
          <w:color w:val="auto"/>
        </w:rPr>
      </w:pPr>
      <w:r>
        <w:rPr>
          <w:rFonts w:ascii="Arial" w:cs="Arial" w:eastAsia="Arial" w:hAnsi="Arial"/>
          <w:sz w:val="20"/>
          <w:szCs w:val="20"/>
          <w:color w:val="auto"/>
        </w:rPr>
        <w:t>Any disclosure of the terms of this Agreement by Employee or anyone permitted hereunder to any person or entity not permitted by this Agreement shall be deemed a violation by Employee of this Agreement and subject to the damages articulated in Section 5(f) of this Agreement.</w:t>
      </w:r>
    </w:p>
    <w:p>
      <w:pPr>
        <w:spacing w:after="0" w:line="183"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 xml:space="preserve">(ab) In addition to any other remedies or relief that may be available, Employee agrees that Employer will be irreparably harmed by any actual or threatened violation of the Sections 5(a) - 5(d) of this Agreement, and that Employer will be entitled to an injunction prohibiting Employee from committing any such violation. Employee agrees that damages to Employer arising from a breach of this Agreement are likely to be difficult to quantify, and therefore agree that if an arbitrator determines that there has been a breach of this Agreement by Employee, Employer will necessarily have suffered some injury and will be entitled to liquidated minimum damages in the amount of fifteen percent (15%) of the amount paid by Employer to Employee following the execution of this Agreement, </w:t>
      </w:r>
      <w:r>
        <w:rPr>
          <w:rFonts w:ascii="Arial" w:cs="Arial" w:eastAsia="Arial" w:hAnsi="Arial"/>
          <w:sz w:val="18"/>
          <w:szCs w:val="18"/>
          <w:b w:val="1"/>
          <w:bCs w:val="1"/>
          <w:color w:val="auto"/>
        </w:rPr>
        <w:t>per breach</w:t>
      </w:r>
      <w:r>
        <w:rPr>
          <w:rFonts w:ascii="Arial" w:cs="Arial" w:eastAsia="Arial" w:hAnsi="Arial"/>
          <w:sz w:val="18"/>
          <w:szCs w:val="18"/>
          <w:color w:val="auto"/>
        </w:rPr>
        <w:t>, unless Employer proves greater damages. Employee agrees that the amount set forth as liquidated damages is not a penalty, but is instead a minimum amount of damages per incident for a breach of this Agreement. Employee is solely liable and responsible for his/her breach of the Agreement. The amount shall be payable to Employer. In addition, if an arbitrator finds that Employee breached any of the Confidentiality provisions, Sections 5(a) - 5(d), Employee agrees to pay the reasonable attorneys’ fees incurred by each affected entity bringing the action.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Section 6 - Arbitration</w:t>
      </w:r>
    </w:p>
    <w:p>
      <w:pPr>
        <w:spacing w:after="0" w:line="216" w:lineRule="exact"/>
        <w:rPr>
          <w:sz w:val="20"/>
          <w:szCs w:val="20"/>
          <w:color w:val="auto"/>
        </w:rPr>
      </w:pPr>
    </w:p>
    <w:p>
      <w:pPr>
        <w:jc w:val="both"/>
        <w:ind w:left="660" w:firstLine="648"/>
        <w:spacing w:after="0" w:line="243" w:lineRule="auto"/>
        <w:rPr>
          <w:sz w:val="20"/>
          <w:szCs w:val="20"/>
          <w:color w:val="auto"/>
        </w:rPr>
      </w:pPr>
      <w:r>
        <w:rPr>
          <w:rFonts w:ascii="Arial" w:cs="Arial" w:eastAsia="Arial" w:hAnsi="Arial"/>
          <w:sz w:val="19"/>
          <w:szCs w:val="19"/>
          <w:color w:val="auto"/>
        </w:rPr>
        <w:t>(ac) Any dispute relating to the interpretation or enforcement of this Agreement, Employee’s employment with Employer, or the termination thereof will be subject to confidential, binding arbitration under the Federal Arbitration Act and the rules of the American Arbitration Association. Such arbitration will occur in Conyers, GA. Judgment upon the award rendered may be entered in any court of competent jurisdiction. The arbitrator’s fee will be paid by Employer, except that if Employee is the initiating party, he/she will pay $250.00 towards the cost of arbitration. Each side shall otherwise bear their own attorneys’ fees, costs, and expenses incurred during the arbitration. Nothing in this section limits the right of Employer to enjoin in a court of competent jurisdiction any breach of Sections 4 and 5 under this Agreement.</w:t>
      </w:r>
    </w:p>
    <w:p>
      <w:pPr>
        <w:spacing w:after="0" w:line="200" w:lineRule="exact"/>
        <w:rPr>
          <w:sz w:val="20"/>
          <w:szCs w:val="20"/>
          <w:color w:val="auto"/>
        </w:rPr>
      </w:pPr>
    </w:p>
    <w:p>
      <w:pPr>
        <w:spacing w:after="0" w:line="319"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238"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10(iii)A(83)</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color w:val="auto"/>
        </w:rPr>
        <w:t>Section 7 - Miscellaneous</w:t>
      </w:r>
    </w:p>
    <w:p>
      <w:pPr>
        <w:spacing w:after="0" w:line="210" w:lineRule="exact"/>
        <w:rPr>
          <w:sz w:val="20"/>
          <w:szCs w:val="20"/>
          <w:color w:val="auto"/>
        </w:rPr>
      </w:pPr>
    </w:p>
    <w:p>
      <w:pPr>
        <w:jc w:val="both"/>
        <w:ind w:left="660" w:firstLine="648"/>
        <w:spacing w:after="0" w:line="233" w:lineRule="auto"/>
        <w:rPr>
          <w:sz w:val="20"/>
          <w:szCs w:val="20"/>
          <w:color w:val="auto"/>
        </w:rPr>
      </w:pPr>
      <w:r>
        <w:rPr>
          <w:rFonts w:ascii="Arial" w:cs="Arial" w:eastAsia="Arial" w:hAnsi="Arial"/>
          <w:sz w:val="20"/>
          <w:szCs w:val="20"/>
          <w:color w:val="auto"/>
        </w:rPr>
        <w:t xml:space="preserve">(ad) </w:t>
      </w:r>
      <w:r>
        <w:rPr>
          <w:rFonts w:ascii="Arial" w:cs="Arial" w:eastAsia="Arial" w:hAnsi="Arial"/>
          <w:sz w:val="20"/>
          <w:szCs w:val="20"/>
          <w:b w:val="1"/>
          <w:bCs w:val="1"/>
          <w:color w:val="auto"/>
        </w:rPr>
        <w:t>Entire Agreement</w:t>
      </w:r>
      <w:r>
        <w:rPr>
          <w:rFonts w:ascii="Arial" w:cs="Arial" w:eastAsia="Arial" w:hAnsi="Arial"/>
          <w:sz w:val="20"/>
          <w:szCs w:val="20"/>
          <w:color w:val="auto"/>
        </w:rPr>
        <w:t>: This is the entire agreement between the Parties with respect to the subject matter hereto. This Agreement may not be changed, modified, waived, discharged or terminated orally, or in any manner other than by an instrument in writing signed by Employee and an authorized official of Employer. Employee acknowledges that neither Employer nor any of its agents, representatives or attorneys has made any representations or promises to him/her other than those in or expressly referred to by this Agreement.</w:t>
      </w:r>
    </w:p>
    <w:p>
      <w:pPr>
        <w:spacing w:after="0" w:line="180" w:lineRule="exact"/>
        <w:rPr>
          <w:sz w:val="20"/>
          <w:szCs w:val="20"/>
          <w:color w:val="auto"/>
        </w:rPr>
      </w:pPr>
    </w:p>
    <w:p>
      <w:pPr>
        <w:jc w:val="both"/>
        <w:ind w:left="660" w:right="20" w:firstLine="648"/>
        <w:spacing w:after="0" w:line="278" w:lineRule="auto"/>
        <w:rPr>
          <w:sz w:val="20"/>
          <w:szCs w:val="20"/>
          <w:color w:val="auto"/>
        </w:rPr>
      </w:pPr>
      <w:r>
        <w:rPr>
          <w:rFonts w:ascii="Arial" w:cs="Arial" w:eastAsia="Arial" w:hAnsi="Arial"/>
          <w:sz w:val="19"/>
          <w:szCs w:val="19"/>
          <w:color w:val="auto"/>
        </w:rPr>
        <w:t xml:space="preserve">(ae) </w:t>
      </w:r>
      <w:r>
        <w:rPr>
          <w:rFonts w:ascii="Arial" w:cs="Arial" w:eastAsia="Arial" w:hAnsi="Arial"/>
          <w:sz w:val="19"/>
          <w:szCs w:val="19"/>
          <w:b w:val="1"/>
          <w:bCs w:val="1"/>
          <w:color w:val="auto"/>
        </w:rPr>
        <w:t>Nonadmission of Liability</w:t>
      </w:r>
      <w:r>
        <w:rPr>
          <w:rFonts w:ascii="Arial" w:cs="Arial" w:eastAsia="Arial" w:hAnsi="Arial"/>
          <w:sz w:val="19"/>
          <w:szCs w:val="19"/>
          <w:color w:val="auto"/>
        </w:rPr>
        <w:t>: Employee agrees that this Agreement shall not in any way be construed or interpreted as an admission of liability or wrongdoing by Employer, any such liability or wrongdoing being expressly denied.</w:t>
      </w:r>
    </w:p>
    <w:p>
      <w:pPr>
        <w:spacing w:after="0" w:line="142" w:lineRule="exact"/>
        <w:rPr>
          <w:sz w:val="20"/>
          <w:szCs w:val="20"/>
          <w:color w:val="auto"/>
        </w:rPr>
      </w:pPr>
    </w:p>
    <w:p>
      <w:pPr>
        <w:jc w:val="both"/>
        <w:ind w:left="660" w:firstLine="648"/>
        <w:spacing w:after="0" w:line="239" w:lineRule="auto"/>
        <w:rPr>
          <w:sz w:val="20"/>
          <w:szCs w:val="20"/>
          <w:color w:val="auto"/>
        </w:rPr>
      </w:pPr>
      <w:r>
        <w:rPr>
          <w:rFonts w:ascii="Arial" w:cs="Arial" w:eastAsia="Arial" w:hAnsi="Arial"/>
          <w:sz w:val="20"/>
          <w:szCs w:val="20"/>
          <w:b w:val="1"/>
          <w:bCs w:val="1"/>
          <w:color w:val="auto"/>
        </w:rPr>
        <w:t>(af) Successors</w:t>
      </w:r>
      <w:r>
        <w:rPr>
          <w:rFonts w:ascii="Arial" w:cs="Arial" w:eastAsia="Arial" w:hAnsi="Arial"/>
          <w:sz w:val="20"/>
          <w:szCs w:val="20"/>
          <w:color w:val="auto"/>
        </w:rPr>
        <w:t>: Employee agrees that this Agreement binds all of his/her heirs, administrators, representatives,</w:t>
      </w:r>
      <w:r>
        <w:rPr>
          <w:rFonts w:ascii="Arial" w:cs="Arial" w:eastAsia="Arial" w:hAnsi="Arial"/>
          <w:sz w:val="20"/>
          <w:szCs w:val="20"/>
          <w:b w:val="1"/>
          <w:bCs w:val="1"/>
          <w:color w:val="auto"/>
        </w:rPr>
        <w:t xml:space="preserve"> </w:t>
      </w:r>
      <w:r>
        <w:rPr>
          <w:rFonts w:ascii="Arial" w:cs="Arial" w:eastAsia="Arial" w:hAnsi="Arial"/>
          <w:sz w:val="20"/>
          <w:szCs w:val="20"/>
          <w:color w:val="auto"/>
        </w:rPr>
        <w:t>executors, successors, attorneys and assigns, and will inure to the benefit of all Released Parties and their respective heirs, administrators, representatives, executors, successors, and assigns.</w:t>
      </w:r>
    </w:p>
    <w:p>
      <w:pPr>
        <w:spacing w:after="0" w:line="177" w:lineRule="exact"/>
        <w:rPr>
          <w:sz w:val="20"/>
          <w:szCs w:val="20"/>
          <w:color w:val="auto"/>
        </w:rPr>
      </w:pPr>
    </w:p>
    <w:p>
      <w:pPr>
        <w:jc w:val="both"/>
        <w:ind w:left="660" w:firstLine="648"/>
        <w:spacing w:after="0" w:line="235" w:lineRule="auto"/>
        <w:rPr>
          <w:sz w:val="20"/>
          <w:szCs w:val="20"/>
          <w:color w:val="auto"/>
        </w:rPr>
      </w:pPr>
      <w:r>
        <w:rPr>
          <w:rFonts w:ascii="Arial" w:cs="Arial" w:eastAsia="Arial" w:hAnsi="Arial"/>
          <w:sz w:val="20"/>
          <w:szCs w:val="20"/>
          <w:b w:val="1"/>
          <w:bCs w:val="1"/>
          <w:color w:val="auto"/>
        </w:rPr>
        <w:t>(ag) Interpretation</w:t>
      </w:r>
      <w:r>
        <w:rPr>
          <w:rFonts w:ascii="Arial" w:cs="Arial" w:eastAsia="Arial" w:hAnsi="Arial"/>
          <w:sz w:val="20"/>
          <w:szCs w:val="20"/>
          <w:color w:val="auto"/>
        </w:rPr>
        <w:t>: This Agreement shall be construed as a whole according to its fair meaning. It shall not be</w:t>
      </w:r>
      <w:r>
        <w:rPr>
          <w:rFonts w:ascii="Arial" w:cs="Arial" w:eastAsia="Arial" w:hAnsi="Arial"/>
          <w:sz w:val="20"/>
          <w:szCs w:val="20"/>
          <w:b w:val="1"/>
          <w:bCs w:val="1"/>
          <w:color w:val="auto"/>
        </w:rPr>
        <w:t xml:space="preserve"> </w:t>
      </w:r>
      <w:r>
        <w:rPr>
          <w:rFonts w:ascii="Arial" w:cs="Arial" w:eastAsia="Arial" w:hAnsi="Arial"/>
          <w:sz w:val="20"/>
          <w:szCs w:val="20"/>
          <w:color w:val="auto"/>
        </w:rPr>
        <w:t>construed strictly for or against Employee or Employer. Unless the context indicates otherwise, the term “or” shall be deemed to include the term “and” and the singular or plural number shall be deemed to include the other. Captions are intended solely for convenience of reference and shall not be used in the interpretation of this Agreement.</w:t>
      </w:r>
    </w:p>
    <w:p>
      <w:pPr>
        <w:spacing w:after="0" w:line="179" w:lineRule="exact"/>
        <w:rPr>
          <w:sz w:val="20"/>
          <w:szCs w:val="20"/>
          <w:color w:val="auto"/>
        </w:rPr>
      </w:pPr>
    </w:p>
    <w:p>
      <w:pPr>
        <w:jc w:val="both"/>
        <w:ind w:left="660" w:firstLine="648"/>
        <w:spacing w:after="0" w:line="258" w:lineRule="auto"/>
        <w:rPr>
          <w:sz w:val="20"/>
          <w:szCs w:val="20"/>
          <w:color w:val="auto"/>
        </w:rPr>
      </w:pPr>
      <w:r>
        <w:rPr>
          <w:rFonts w:ascii="Arial" w:cs="Arial" w:eastAsia="Arial" w:hAnsi="Arial"/>
          <w:sz w:val="19"/>
          <w:szCs w:val="19"/>
          <w:b w:val="1"/>
          <w:bCs w:val="1"/>
          <w:color w:val="auto"/>
        </w:rPr>
        <w:t>(ah) Waiver</w:t>
      </w:r>
      <w:r>
        <w:rPr>
          <w:rFonts w:ascii="Arial" w:cs="Arial" w:eastAsia="Arial" w:hAnsi="Arial"/>
          <w:sz w:val="19"/>
          <w:szCs w:val="19"/>
          <w:color w:val="auto"/>
        </w:rPr>
        <w:t>: The failure of any party hereto to enforce at any time any of the provisions of this Agreement shall in</w:t>
      </w:r>
      <w:r>
        <w:rPr>
          <w:rFonts w:ascii="Arial" w:cs="Arial" w:eastAsia="Arial" w:hAnsi="Arial"/>
          <w:sz w:val="19"/>
          <w:szCs w:val="19"/>
          <w:b w:val="1"/>
          <w:bCs w:val="1"/>
          <w:color w:val="auto"/>
        </w:rPr>
        <w:t xml:space="preserve"> </w:t>
      </w:r>
      <w:r>
        <w:rPr>
          <w:rFonts w:ascii="Arial" w:cs="Arial" w:eastAsia="Arial" w:hAnsi="Arial"/>
          <w:sz w:val="19"/>
          <w:szCs w:val="19"/>
          <w:color w:val="auto"/>
        </w:rPr>
        <w:t>no way be construed to be a waiver of any such provision or the right of any party thereafter to enforce each and every such provision. No waiver of any breach of this Agreement shall be held to be a waiver of any other or subsequent breach.</w:t>
      </w:r>
    </w:p>
    <w:p>
      <w:pPr>
        <w:spacing w:after="0" w:line="159" w:lineRule="exact"/>
        <w:rPr>
          <w:sz w:val="20"/>
          <w:szCs w:val="20"/>
          <w:color w:val="auto"/>
        </w:rPr>
      </w:pPr>
    </w:p>
    <w:p>
      <w:pPr>
        <w:jc w:val="both"/>
        <w:ind w:left="660" w:firstLine="648"/>
        <w:spacing w:after="0" w:line="235" w:lineRule="auto"/>
        <w:rPr>
          <w:sz w:val="20"/>
          <w:szCs w:val="20"/>
          <w:color w:val="auto"/>
        </w:rPr>
      </w:pPr>
      <w:r>
        <w:rPr>
          <w:rFonts w:ascii="Arial" w:cs="Arial" w:eastAsia="Arial" w:hAnsi="Arial"/>
          <w:sz w:val="20"/>
          <w:szCs w:val="20"/>
          <w:b w:val="1"/>
          <w:bCs w:val="1"/>
          <w:color w:val="auto"/>
        </w:rPr>
        <w:t>(ai) Severability</w:t>
      </w:r>
      <w:r>
        <w:rPr>
          <w:rFonts w:ascii="Arial" w:cs="Arial" w:eastAsia="Arial" w:hAnsi="Arial"/>
          <w:sz w:val="20"/>
          <w:szCs w:val="20"/>
          <w:color w:val="auto"/>
        </w:rPr>
        <w:t>: In the event any section, paragraph, clause, phrase or word of this Agreement is declared or</w:t>
      </w:r>
      <w:r>
        <w:rPr>
          <w:rFonts w:ascii="Arial" w:cs="Arial" w:eastAsia="Arial" w:hAnsi="Arial"/>
          <w:sz w:val="20"/>
          <w:szCs w:val="20"/>
          <w:b w:val="1"/>
          <w:bCs w:val="1"/>
          <w:color w:val="auto"/>
        </w:rPr>
        <w:t xml:space="preserve"> </w:t>
      </w:r>
      <w:r>
        <w:rPr>
          <w:rFonts w:ascii="Arial" w:cs="Arial" w:eastAsia="Arial" w:hAnsi="Arial"/>
          <w:sz w:val="20"/>
          <w:szCs w:val="20"/>
          <w:color w:val="auto"/>
        </w:rPr>
        <w:t>adjudged to be invalid or unenforceable, such declaration or adjudication shall not affect the remaining sections of this Agreement. If any waiver or release contained in this Agreement is determined to be contrary to any applicable law or public policy, such waiver or release shall be effective to the maximum extent permitted by law.</w:t>
      </w:r>
    </w:p>
    <w:p>
      <w:pPr>
        <w:spacing w:after="0" w:line="179" w:lineRule="exact"/>
        <w:rPr>
          <w:sz w:val="20"/>
          <w:szCs w:val="20"/>
          <w:color w:val="auto"/>
        </w:rPr>
      </w:pPr>
    </w:p>
    <w:p>
      <w:pPr>
        <w:jc w:val="both"/>
        <w:ind w:left="660" w:firstLine="648"/>
        <w:spacing w:after="0" w:line="235" w:lineRule="auto"/>
        <w:rPr>
          <w:sz w:val="20"/>
          <w:szCs w:val="20"/>
          <w:color w:val="auto"/>
        </w:rPr>
      </w:pPr>
      <w:r>
        <w:rPr>
          <w:rFonts w:ascii="Arial" w:cs="Arial" w:eastAsia="Arial" w:hAnsi="Arial"/>
          <w:sz w:val="20"/>
          <w:szCs w:val="20"/>
          <w:b w:val="1"/>
          <w:bCs w:val="1"/>
          <w:color w:val="auto"/>
        </w:rPr>
        <w:t>(aj) Counterparts</w:t>
      </w:r>
      <w:r>
        <w:rPr>
          <w:rFonts w:ascii="Arial" w:cs="Arial" w:eastAsia="Arial" w:hAnsi="Arial"/>
          <w:sz w:val="20"/>
          <w:szCs w:val="20"/>
          <w:color w:val="auto"/>
        </w:rPr>
        <w:t>: This Agreement may be signed in two or more identical counterparts, each of which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an original and all of which, together, shall be deemed one and the same instrument. A signature transmitted by facsimile shall be deemed the equivalent of an original signature. This Agreement will not be effective until all parties have duly executed it. The effective date of this Agreement will be the date on which the last of the parties executes it.</w:t>
      </w:r>
    </w:p>
    <w:p>
      <w:pPr>
        <w:spacing w:after="0" w:line="179" w:lineRule="exact"/>
        <w:rPr>
          <w:sz w:val="20"/>
          <w:szCs w:val="20"/>
          <w:color w:val="auto"/>
        </w:rPr>
      </w:pPr>
    </w:p>
    <w:p>
      <w:pPr>
        <w:jc w:val="both"/>
        <w:ind w:left="660" w:firstLine="648"/>
        <w:spacing w:after="0" w:line="233" w:lineRule="auto"/>
        <w:rPr>
          <w:sz w:val="20"/>
          <w:szCs w:val="20"/>
          <w:color w:val="auto"/>
        </w:rPr>
      </w:pPr>
      <w:r>
        <w:rPr>
          <w:rFonts w:ascii="Arial" w:cs="Arial" w:eastAsia="Arial" w:hAnsi="Arial"/>
          <w:sz w:val="20"/>
          <w:szCs w:val="20"/>
          <w:b w:val="1"/>
          <w:bCs w:val="1"/>
          <w:color w:val="auto"/>
        </w:rPr>
        <w:t>(ak) Governing Law</w:t>
      </w:r>
      <w:r>
        <w:rPr>
          <w:rFonts w:ascii="Arial" w:cs="Arial" w:eastAsia="Arial" w:hAnsi="Arial"/>
          <w:sz w:val="20"/>
          <w:szCs w:val="20"/>
          <w:color w:val="auto"/>
        </w:rPr>
        <w:t>: Except to the extent governed by federal law, this Agreement shall be deemed to have been</w:t>
      </w:r>
      <w:r>
        <w:rPr>
          <w:rFonts w:ascii="Arial" w:cs="Arial" w:eastAsia="Arial" w:hAnsi="Arial"/>
          <w:sz w:val="20"/>
          <w:szCs w:val="20"/>
          <w:b w:val="1"/>
          <w:bCs w:val="1"/>
          <w:color w:val="auto"/>
        </w:rPr>
        <w:t xml:space="preserve"> </w:t>
      </w:r>
      <w:r>
        <w:rPr>
          <w:rFonts w:ascii="Arial" w:cs="Arial" w:eastAsia="Arial" w:hAnsi="Arial"/>
          <w:sz w:val="20"/>
          <w:szCs w:val="20"/>
          <w:color w:val="auto"/>
        </w:rPr>
        <w:t>executed in the State of Georgia without giving effect to its conflict of law principles, and all matters pertaining to the validity, construction, interpretation, and effect of this Agreement shall be governed by the laws of the State of Georgia. The language contained in this Agreement shall be deemed to be that negotiated and approved by both Parties and no rule of strict construction shall be applied against either party.</w:t>
      </w:r>
    </w:p>
    <w:p>
      <w:pPr>
        <w:spacing w:after="0" w:line="180"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b w:val="1"/>
          <w:bCs w:val="1"/>
          <w:color w:val="auto"/>
        </w:rPr>
        <w:t xml:space="preserve">(al) [If Employee is 40+-years-old:] Revocation: </w:t>
      </w:r>
      <w:r>
        <w:rPr>
          <w:rFonts w:ascii="Arial" w:cs="Arial" w:eastAsia="Arial" w:hAnsi="Arial"/>
          <w:sz w:val="18"/>
          <w:szCs w:val="18"/>
          <w:color w:val="auto"/>
        </w:rPr>
        <w:t>For a period of at least seven (7) days following the execution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agreement, Employee may revoke this Agreement. If Employee wishes to revoke this Agreement in its entirety, he/she must make a revocation in writing which must be delivered by hand or confirmed facsimile before 5:00 p.m. of the seventh day of the revocation period to Carrie Russell, One Lithonia Way, Conyers, Georgia 30012, otherwise the revocation will not be effective.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w:t>
      </w:r>
      <w:r>
        <w:rPr>
          <w:rFonts w:ascii="Arial" w:cs="Arial" w:eastAsia="Arial" w:hAnsi="Arial"/>
          <w:sz w:val="18"/>
          <w:szCs w:val="18"/>
          <w:u w:val="single" w:color="auto"/>
          <w:color w:val="auto"/>
        </w:rPr>
        <w:t>Employee timely revokes this Agreement, Employer shall retain payments and benefits otherwise payable to Employee under this</w:t>
      </w: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238"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10(iii)A(83)</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Agreement. Employee’s employment shall be immediately terminated, and no further remuneration shall be paid to Employee.</w:t>
      </w:r>
    </w:p>
    <w:p>
      <w:pPr>
        <w:spacing w:after="0" w:line="208"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0"/>
          <w:szCs w:val="20"/>
          <w:b w:val="1"/>
          <w:bCs w:val="1"/>
          <w:color w:val="auto"/>
        </w:rPr>
        <w:t>(am) Access to Independent Legal Counsel; Knowing and Voluntary Execution: EMPLOYEE ACKNOWLEDGES THAT HE/SHE HAS BEEN ADVISED TO SEEK INDEPENDENT LEGAL COUNSEL OF HIS/HER OWN CHOOSING IN CONNECTION WITH ENTERING INTO THIS AGREEMENT. EMPLOYEE FURTHER ACKNOWLEDGES THAT IF DESIRED, HIS/HER LEGAL COUNSEL HAS REVIEWED THIS AGREEMENT, THAT EMPLOYEE FULLY UNDERSTANDS THE TERMS AND CONDITIONS OF THIS AGREEMENT AND THAT EMPLOYEE AGREES TO BE FULLY BOUND BY AND SUBJECT THERETO. EMPLOYEE HAS CAREFULLY READ THIS AGREEMENT AND KNOWS AND UNDERSTANDS THE CONTENTS THEREOF, AND THAT HE/SHE EXECUTES THE SAME AS HIS/HER OWN FREE ACT AND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80"/>
          </w:cols>
          <w:pgMar w:left="980" w:top="238"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10(iii)A(84)</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ACUITY BRANDS,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AGREEMENT</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AMENDMENT made and entered into as of May 28, 2019, by and between ACUITY BRANDS, INC. (the “Company”) and Barry R. Goldman (“Executive”);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Company and Executive entered into a Severance Agreement, dated as of March 28, 2018 (“Severance Agreement”), providing for the payment of certain compensation and benefits to Executive if Executive’s employment is terminated under certain circumstances; and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parties now desire to amend the Severance Agreement in the manner hereinafter provided;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Severance Agreement is hereby amended, as follows:</w:t>
      </w:r>
    </w:p>
    <w:p>
      <w:pPr>
        <w:spacing w:after="0" w:line="341"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is hereby replaced in its entirety by the following:</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2"/>
          <w:szCs w:val="22"/>
          <w:color w:val="auto"/>
        </w:rPr>
        <w:t>2.9  “</w:t>
      </w:r>
      <w:r>
        <w:rPr>
          <w:rFonts w:ascii="Arial" w:cs="Arial" w:eastAsia="Arial" w:hAnsi="Arial"/>
          <w:sz w:val="22"/>
          <w:szCs w:val="22"/>
          <w:u w:val="single" w:color="auto"/>
          <w:color w:val="auto"/>
        </w:rPr>
        <w:t>Severance Period</w:t>
      </w:r>
      <w:r>
        <w:rPr>
          <w:rFonts w:ascii="Arial" w:cs="Arial" w:eastAsia="Arial" w:hAnsi="Arial"/>
          <w:sz w:val="22"/>
          <w:szCs w:val="22"/>
          <w:color w:val="auto"/>
        </w:rPr>
        <w:t>” - A period equal to twelve (12) months from the Executive’s Date of Termination.</w:t>
      </w:r>
    </w:p>
    <w:p>
      <w:pPr>
        <w:spacing w:after="0" w:line="336" w:lineRule="exact"/>
        <w:rPr>
          <w:rFonts w:ascii="Arial" w:cs="Arial" w:eastAsia="Arial" w:hAnsi="Arial"/>
          <w:sz w:val="18"/>
          <w:szCs w:val="18"/>
          <w:color w:val="auto"/>
        </w:rPr>
      </w:pPr>
    </w:p>
    <w:p>
      <w:pPr>
        <w:ind w:left="660" w:hanging="652"/>
        <w:spacing w:after="0" w:line="263"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22"/>
          <w:szCs w:val="22"/>
          <w:color w:val="auto"/>
        </w:rPr>
        <w:t>This Amendment to the Severance Agreement shall be effective as of the date of this Amendment. Except as hereby modified, the Severance Agreement shall remain in full force and effect.</w:t>
      </w:r>
    </w:p>
    <w:p>
      <w:pPr>
        <w:spacing w:after="0" w:line="17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1"/>
          <w:szCs w:val="21"/>
          <w:color w:val="auto"/>
        </w:rPr>
        <w:t>IN WITNESS WHEREOF, the parties have executed this Amendment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5540" w:type="dxa"/>
            <w:vAlign w:val="bottom"/>
            <w:gridSpan w:val="2"/>
          </w:tcPr>
          <w:p>
            <w:pPr>
              <w:ind w:left="340"/>
              <w:spacing w:after="0"/>
              <w:rPr>
                <w:sz w:val="20"/>
                <w:szCs w:val="20"/>
                <w:color w:val="auto"/>
              </w:rPr>
            </w:pPr>
            <w:r>
              <w:rPr>
                <w:rFonts w:ascii="Arial" w:cs="Arial" w:eastAsia="Arial" w:hAnsi="Arial"/>
                <w:sz w:val="18"/>
                <w:szCs w:val="18"/>
                <w:b w:val="1"/>
                <w:bCs w:val="1"/>
                <w:color w:val="auto"/>
              </w:rPr>
              <w:t>COMPANY</w:t>
            </w:r>
          </w:p>
        </w:tc>
      </w:tr>
      <w:tr>
        <w:trPr>
          <w:trHeight w:val="499"/>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EXECUTIVE</w:t>
            </w:r>
          </w:p>
        </w:tc>
        <w:tc>
          <w:tcPr>
            <w:tcW w:w="5540" w:type="dxa"/>
            <w:vAlign w:val="bottom"/>
            <w:gridSpan w:val="2"/>
          </w:tcPr>
          <w:p>
            <w:pPr>
              <w:ind w:left="340"/>
              <w:spacing w:after="0"/>
              <w:rPr>
                <w:sz w:val="20"/>
                <w:szCs w:val="20"/>
                <w:color w:val="auto"/>
              </w:rPr>
            </w:pPr>
            <w:r>
              <w:rPr>
                <w:rFonts w:ascii="Arial" w:cs="Arial" w:eastAsia="Arial" w:hAnsi="Arial"/>
                <w:sz w:val="18"/>
                <w:szCs w:val="18"/>
                <w:b w:val="1"/>
                <w:bCs w:val="1"/>
                <w:color w:val="auto"/>
              </w:rPr>
              <w:t>ACUITY BRANDS, INC.</w:t>
            </w:r>
          </w:p>
        </w:tc>
      </w:tr>
      <w:tr>
        <w:trPr>
          <w:trHeight w:val="486"/>
        </w:trPr>
        <w:tc>
          <w:tcPr>
            <w:tcW w:w="4920" w:type="dxa"/>
            <w:vAlign w:val="bottom"/>
          </w:tcPr>
          <w:p>
            <w:pPr>
              <w:ind w:left="20"/>
              <w:spacing w:after="0"/>
              <w:rPr>
                <w:sz w:val="20"/>
                <w:szCs w:val="20"/>
                <w:color w:val="auto"/>
              </w:rPr>
            </w:pPr>
            <w:r>
              <w:rPr>
                <w:rFonts w:ascii="Arial" w:cs="Arial" w:eastAsia="Arial" w:hAnsi="Arial"/>
                <w:sz w:val="18"/>
                <w:szCs w:val="18"/>
                <w:color w:val="auto"/>
              </w:rPr>
              <w:t>/s/ Barry R. Goldman</w:t>
            </w:r>
          </w:p>
        </w:tc>
        <w:tc>
          <w:tcPr>
            <w:tcW w:w="5540" w:type="dxa"/>
            <w:vAlign w:val="bottom"/>
            <w:gridSpan w:val="2"/>
          </w:tcPr>
          <w:p>
            <w:pPr>
              <w:ind w:left="440"/>
              <w:spacing w:after="0"/>
              <w:rPr>
                <w:sz w:val="20"/>
                <w:szCs w:val="20"/>
                <w:color w:val="auto"/>
              </w:rPr>
            </w:pPr>
            <w:r>
              <w:rPr>
                <w:rFonts w:ascii="Arial" w:cs="Arial" w:eastAsia="Arial" w:hAnsi="Arial"/>
                <w:sz w:val="18"/>
                <w:szCs w:val="18"/>
                <w:color w:val="auto"/>
              </w:rPr>
              <w:t>By: /s/ Vernon J. Nagel</w:t>
            </w:r>
          </w:p>
        </w:tc>
      </w:tr>
      <w:tr>
        <w:trPr>
          <w:trHeight w:val="27"/>
        </w:trPr>
        <w:tc>
          <w:tcPr>
            <w:tcW w:w="492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color w:val="auto"/>
              </w:rPr>
              <w:t>Barry R. Goldman</w:t>
            </w:r>
          </w:p>
        </w:tc>
        <w:tc>
          <w:tcPr>
            <w:tcW w:w="74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VERNON J. NAGEL</w:t>
            </w:r>
          </w:p>
        </w:tc>
      </w:tr>
      <w:tr>
        <w:trPr>
          <w:trHeight w:val="270"/>
        </w:trPr>
        <w:tc>
          <w:tcPr>
            <w:tcW w:w="49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Chairman, President and CEO</w:t>
            </w:r>
          </w:p>
        </w:tc>
      </w:tr>
    </w:tbl>
    <w:p>
      <w:pPr>
        <w:sectPr>
          <w:pgSz w:w="11900" w:h="16838" w:orient="portrait"/>
          <w:cols w:equalWidth="0" w:num="1">
            <w:col w:w="11240"/>
          </w:cols>
          <w:pgMar w:left="320" w:top="238"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10(iii)A(85)</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ACUITY BRANDS,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AGREEMENT</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AMENDMENT made and entered into on the dates set forth below, by and between ACUITY BRANDS, INC. (the “Company”) and Barry R. Goldman (“Executive”);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Company and Executive entered into a Severance Agreement, dated as of March 28, 2019 (“Severance Agreement”) and amended as of May 28, 2019, providing for the payment of certain compensation and benefits to Executive if Executive’s employment is terminated under certain circumstances; and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parties now desire to amend the Severance Agreement in the manner hereinafter provided;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Severance Agreement is hereby amended, as follows:</w:t>
      </w:r>
    </w:p>
    <w:p>
      <w:pPr>
        <w:spacing w:after="0" w:line="341"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22"/>
          <w:szCs w:val="22"/>
          <w:color w:val="auto"/>
        </w:rPr>
        <w:t xml:space="preserve">The following </w:t>
      </w:r>
      <w:r>
        <w:rPr>
          <w:rFonts w:ascii="Arial" w:cs="Arial" w:eastAsia="Arial" w:hAnsi="Arial"/>
          <w:sz w:val="22"/>
          <w:szCs w:val="22"/>
          <w:u w:val="single" w:color="auto"/>
          <w:color w:val="auto"/>
        </w:rPr>
        <w:t>Section 4.10</w:t>
      </w:r>
      <w:r>
        <w:rPr>
          <w:rFonts w:ascii="Arial" w:cs="Arial" w:eastAsia="Arial" w:hAnsi="Arial"/>
          <w:sz w:val="22"/>
          <w:szCs w:val="22"/>
          <w:color w:val="auto"/>
        </w:rPr>
        <w:t xml:space="preserve"> is appended to the end of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thereof:</w:t>
      </w:r>
    </w:p>
    <w:p>
      <w:pPr>
        <w:spacing w:after="0" w:line="21" w:lineRule="exact"/>
        <w:rPr>
          <w:rFonts w:ascii="Arial" w:cs="Arial" w:eastAsia="Arial" w:hAnsi="Arial"/>
          <w:sz w:val="18"/>
          <w:szCs w:val="18"/>
          <w:color w:val="auto"/>
        </w:rPr>
      </w:pPr>
    </w:p>
    <w:p>
      <w:pPr>
        <w:jc w:val="both"/>
        <w:ind w:left="660"/>
        <w:spacing w:after="0" w:line="247" w:lineRule="auto"/>
        <w:rPr>
          <w:rFonts w:ascii="Arial" w:cs="Arial" w:eastAsia="Arial" w:hAnsi="Arial"/>
          <w:sz w:val="18"/>
          <w:szCs w:val="18"/>
          <w:color w:val="auto"/>
        </w:rPr>
      </w:pPr>
      <w:r>
        <w:rPr>
          <w:rFonts w:ascii="Arial" w:cs="Arial" w:eastAsia="Arial" w:hAnsi="Arial"/>
          <w:sz w:val="22"/>
          <w:szCs w:val="22"/>
          <w:color w:val="auto"/>
        </w:rPr>
        <w:t>4.10 “</w:t>
      </w:r>
      <w:r>
        <w:rPr>
          <w:rFonts w:ascii="Arial" w:cs="Arial" w:eastAsia="Arial" w:hAnsi="Arial"/>
          <w:sz w:val="22"/>
          <w:szCs w:val="22"/>
          <w:u w:val="single" w:color="auto"/>
          <w:color w:val="auto"/>
        </w:rPr>
        <w:t>Supplemental Executive Retirement Plan”</w:t>
      </w:r>
      <w:r>
        <w:rPr>
          <w:rFonts w:ascii="Arial" w:cs="Arial" w:eastAsia="Arial" w:hAnsi="Arial"/>
          <w:sz w:val="22"/>
          <w:szCs w:val="22"/>
          <w:color w:val="auto"/>
        </w:rPr>
        <w:t xml:space="preserve"> - If Executive is a participant of the Acuity Brands, Inc. 2002 Supplemental Executive Retirement Plan, as Amended and Restated Effective July 1, 2019, except as otherwise noted (the “SERP”) and Executive’s Date of Termination occurs prior to the date that Executive has three (3) Years of Credited Service (as defined in the SERP), Executive shall be deemed to have earned three (3) years of Credited Service thereunder.</w:t>
      </w:r>
    </w:p>
    <w:p>
      <w:pPr>
        <w:spacing w:after="0" w:line="313" w:lineRule="exact"/>
        <w:rPr>
          <w:rFonts w:ascii="Arial" w:cs="Arial" w:eastAsia="Arial" w:hAnsi="Arial"/>
          <w:sz w:val="18"/>
          <w:szCs w:val="18"/>
          <w:color w:val="auto"/>
        </w:rPr>
      </w:pPr>
    </w:p>
    <w:p>
      <w:pPr>
        <w:ind w:left="660" w:hanging="652"/>
        <w:spacing w:after="0" w:line="251"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22"/>
          <w:szCs w:val="22"/>
          <w:color w:val="auto"/>
        </w:rPr>
        <w:t>This Amendment to the Severance Agreement shall be effective as of August 20, 2019. Except as hereby modified, the Severance Agreement shall remain in full force and effect.</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2"/>
          <w:szCs w:val="22"/>
          <w:color w:val="auto"/>
        </w:rPr>
        <w:t>IN WITNESS WHEREOF, the parties have executed this Amendment on the date(s) written below.</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5500" w:type="dxa"/>
            <w:vAlign w:val="bottom"/>
            <w:gridSpan w:val="2"/>
          </w:tcPr>
          <w:p>
            <w:pPr>
              <w:ind w:left="220"/>
              <w:spacing w:after="0"/>
              <w:rPr>
                <w:sz w:val="20"/>
                <w:szCs w:val="20"/>
                <w:color w:val="auto"/>
              </w:rPr>
            </w:pPr>
            <w:r>
              <w:rPr>
                <w:rFonts w:ascii="Arial" w:cs="Arial" w:eastAsia="Arial" w:hAnsi="Arial"/>
                <w:sz w:val="18"/>
                <w:szCs w:val="18"/>
                <w:b w:val="1"/>
                <w:bCs w:val="1"/>
                <w:color w:val="auto"/>
              </w:rPr>
              <w:t>COMPANY</w:t>
            </w:r>
          </w:p>
        </w:tc>
      </w:tr>
      <w:tr>
        <w:trPr>
          <w:trHeight w:val="500"/>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EXECUTIVE</w:t>
            </w:r>
          </w:p>
        </w:tc>
        <w:tc>
          <w:tcPr>
            <w:tcW w:w="5500" w:type="dxa"/>
            <w:vAlign w:val="bottom"/>
            <w:gridSpan w:val="2"/>
          </w:tcPr>
          <w:p>
            <w:pPr>
              <w:ind w:left="220"/>
              <w:spacing w:after="0"/>
              <w:rPr>
                <w:sz w:val="20"/>
                <w:szCs w:val="20"/>
                <w:color w:val="auto"/>
              </w:rPr>
            </w:pPr>
            <w:r>
              <w:rPr>
                <w:rFonts w:ascii="Arial" w:cs="Arial" w:eastAsia="Arial" w:hAnsi="Arial"/>
                <w:sz w:val="18"/>
                <w:szCs w:val="18"/>
                <w:b w:val="1"/>
                <w:bCs w:val="1"/>
                <w:color w:val="auto"/>
              </w:rPr>
              <w:t>ACUITY BRANDS, INC.</w:t>
            </w:r>
          </w:p>
        </w:tc>
      </w:tr>
      <w:tr>
        <w:trPr>
          <w:trHeight w:val="270"/>
        </w:trPr>
        <w:tc>
          <w:tcPr>
            <w:tcW w:w="4720" w:type="dxa"/>
            <w:vAlign w:val="bottom"/>
          </w:tcPr>
          <w:p>
            <w:pPr>
              <w:ind w:left="20"/>
              <w:spacing w:after="0"/>
              <w:rPr>
                <w:sz w:val="20"/>
                <w:szCs w:val="20"/>
                <w:color w:val="auto"/>
              </w:rPr>
            </w:pPr>
            <w:r>
              <w:rPr>
                <w:rFonts w:ascii="Arial" w:cs="Arial" w:eastAsia="Arial" w:hAnsi="Arial"/>
                <w:sz w:val="18"/>
                <w:szCs w:val="18"/>
                <w:color w:val="auto"/>
              </w:rPr>
              <w:t>/s/ Barry R. Goldman</w:t>
            </w:r>
          </w:p>
        </w:tc>
        <w:tc>
          <w:tcPr>
            <w:tcW w:w="5500" w:type="dxa"/>
            <w:vAlign w:val="bottom"/>
            <w:gridSpan w:val="2"/>
          </w:tcPr>
          <w:p>
            <w:pPr>
              <w:ind w:left="500"/>
              <w:spacing w:after="0"/>
              <w:rPr>
                <w:sz w:val="20"/>
                <w:szCs w:val="20"/>
                <w:color w:val="auto"/>
              </w:rPr>
            </w:pPr>
            <w:r>
              <w:rPr>
                <w:rFonts w:ascii="Arial" w:cs="Arial" w:eastAsia="Arial" w:hAnsi="Arial"/>
                <w:sz w:val="18"/>
                <w:szCs w:val="18"/>
                <w:color w:val="auto"/>
              </w:rPr>
              <w:t>By: /s/ Vernon J. Nagel</w:t>
            </w:r>
          </w:p>
        </w:tc>
      </w:tr>
      <w:tr>
        <w:trPr>
          <w:trHeight w:val="27"/>
        </w:trPr>
        <w:tc>
          <w:tcPr>
            <w:tcW w:w="47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Barry R. Goldman</w:t>
            </w:r>
          </w:p>
        </w:tc>
        <w:tc>
          <w:tcPr>
            <w:tcW w:w="80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VERNON J. NAGEL</w:t>
            </w:r>
          </w:p>
        </w:tc>
      </w:tr>
      <w:tr>
        <w:trPr>
          <w:trHeight w:val="270"/>
        </w:trPr>
        <w:tc>
          <w:tcPr>
            <w:tcW w:w="4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Chairman, 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tabs>
          <w:tab w:leader="none" w:pos="5440" w:val="left"/>
        </w:tabs>
        <w:rPr>
          <w:sz w:val="20"/>
          <w:szCs w:val="20"/>
          <w:color w:val="auto"/>
        </w:rPr>
      </w:pPr>
      <w:r>
        <w:rPr>
          <w:rFonts w:ascii="Arial" w:cs="Arial" w:eastAsia="Arial" w:hAnsi="Arial"/>
          <w:sz w:val="18"/>
          <w:szCs w:val="18"/>
          <w:color w:val="auto"/>
        </w:rPr>
        <w:t>Date:_____________________________</w:t>
      </w:r>
      <w:r>
        <w:rPr>
          <w:sz w:val="20"/>
          <w:szCs w:val="20"/>
          <w:color w:val="auto"/>
        </w:rPr>
        <w:tab/>
      </w:r>
      <w:r>
        <w:rPr>
          <w:rFonts w:ascii="Arial" w:cs="Arial" w:eastAsia="Arial" w:hAnsi="Arial"/>
          <w:sz w:val="16"/>
          <w:szCs w:val="16"/>
          <w:color w:val="auto"/>
        </w:rPr>
        <w:t>Date:__________________________________</w:t>
      </w:r>
    </w:p>
    <w:p>
      <w:pPr>
        <w:sectPr>
          <w:pgSz w:w="11900" w:h="16838" w:orient="portrait"/>
          <w:cols w:equalWidth="0" w:num="1">
            <w:col w:w="11240"/>
          </w:cols>
          <w:pgMar w:left="320" w:top="238" w:right="339" w:bottom="1440" w:gutter="0" w:footer="0" w:header="0"/>
        </w:sectPr>
      </w:pPr>
    </w:p>
    <w:bookmarkStart w:id="137" w:name="page138"/>
    <w:bookmarkEnd w:id="137"/>
    <w:p>
      <w:pPr>
        <w:ind w:left="9680"/>
        <w:spacing w:after="0"/>
        <w:rPr>
          <w:sz w:val="20"/>
          <w:szCs w:val="20"/>
          <w:color w:val="auto"/>
        </w:rPr>
      </w:pPr>
      <w:r>
        <w:rPr>
          <w:rFonts w:ascii="Arial" w:cs="Arial" w:eastAsia="Arial" w:hAnsi="Arial"/>
          <w:sz w:val="17"/>
          <w:szCs w:val="17"/>
          <w:b w:val="1"/>
          <w:bCs w:val="1"/>
          <w:color w:val="auto"/>
        </w:rPr>
        <w:t>Exhibit 10(iii)A(86)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ACUITY BRANDS,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AGREEMENT</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AMENDMENT made and entered into as of October 24, 2019, by and between ACUITY BRANDS, INC. (the “Company”) and Barry R. Goldman (“Executive”);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WHEREAS, the Company and Executive entered into a Severance Agreement, dated as of March 28, 2019 (“Severance Agreement”) and amended as of May 28, 2019 and August 20, 2019, providing for the payment of certain compensation and benefits to Executive if Executive’s employment is terminated under certain circumstances; and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parties now desire to amend the Severance Agreement in the manner hereinafter provided;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Severance Agreement is hereby amended, as follows:</w:t>
      </w:r>
    </w:p>
    <w:p>
      <w:pPr>
        <w:spacing w:after="0" w:line="341"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22"/>
          <w:szCs w:val="22"/>
          <w:color w:val="auto"/>
        </w:rPr>
        <w:t>Section 4.2 is hereby amended by deleting “55%” from clause (i) and substituting “75%” in lieu thereof.</w:t>
      </w:r>
    </w:p>
    <w:p>
      <w:pPr>
        <w:spacing w:after="0" w:line="125" w:lineRule="exact"/>
        <w:rPr>
          <w:rFonts w:ascii="Arial" w:cs="Arial" w:eastAsia="Arial" w:hAnsi="Arial"/>
          <w:sz w:val="18"/>
          <w:szCs w:val="18"/>
          <w:color w:val="auto"/>
        </w:rPr>
      </w:pPr>
    </w:p>
    <w:p>
      <w:pPr>
        <w:ind w:left="660" w:hanging="652"/>
        <w:spacing w:after="0" w:line="251"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22"/>
          <w:szCs w:val="22"/>
          <w:color w:val="auto"/>
        </w:rPr>
        <w:t>This Amendment to the Severance Agreement shall be effective as of the date of this Amendment. Except as hereby modified, the Severance Agreement shall remain in full force and effect.</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2"/>
          <w:szCs w:val="22"/>
          <w:color w:val="auto"/>
        </w:rPr>
        <w:t>IN WITNESS WHEREOF, the parties have executed this Amendment on the date(s) written below.</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5500" w:type="dxa"/>
            <w:vAlign w:val="bottom"/>
            <w:gridSpan w:val="2"/>
          </w:tcPr>
          <w:p>
            <w:pPr>
              <w:ind w:left="220"/>
              <w:spacing w:after="0"/>
              <w:rPr>
                <w:sz w:val="20"/>
                <w:szCs w:val="20"/>
                <w:color w:val="auto"/>
              </w:rPr>
            </w:pPr>
            <w:r>
              <w:rPr>
                <w:rFonts w:ascii="Arial" w:cs="Arial" w:eastAsia="Arial" w:hAnsi="Arial"/>
                <w:sz w:val="18"/>
                <w:szCs w:val="18"/>
                <w:b w:val="1"/>
                <w:bCs w:val="1"/>
                <w:color w:val="auto"/>
              </w:rPr>
              <w:t>COMPANY</w:t>
            </w:r>
          </w:p>
        </w:tc>
      </w:tr>
      <w:tr>
        <w:trPr>
          <w:trHeight w:val="499"/>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EXECUTIVE</w:t>
            </w:r>
          </w:p>
        </w:tc>
        <w:tc>
          <w:tcPr>
            <w:tcW w:w="5500" w:type="dxa"/>
            <w:vAlign w:val="bottom"/>
            <w:gridSpan w:val="2"/>
          </w:tcPr>
          <w:p>
            <w:pPr>
              <w:ind w:left="220"/>
              <w:spacing w:after="0"/>
              <w:rPr>
                <w:sz w:val="20"/>
                <w:szCs w:val="20"/>
                <w:color w:val="auto"/>
              </w:rPr>
            </w:pPr>
            <w:r>
              <w:rPr>
                <w:rFonts w:ascii="Arial" w:cs="Arial" w:eastAsia="Arial" w:hAnsi="Arial"/>
                <w:sz w:val="18"/>
                <w:szCs w:val="18"/>
                <w:b w:val="1"/>
                <w:bCs w:val="1"/>
                <w:color w:val="auto"/>
              </w:rPr>
              <w:t>ACUITY BRANDS, INC.</w:t>
            </w:r>
          </w:p>
        </w:tc>
      </w:tr>
      <w:tr>
        <w:trPr>
          <w:trHeight w:val="270"/>
        </w:trPr>
        <w:tc>
          <w:tcPr>
            <w:tcW w:w="4720" w:type="dxa"/>
            <w:vAlign w:val="bottom"/>
          </w:tcPr>
          <w:p>
            <w:pPr>
              <w:ind w:left="20"/>
              <w:spacing w:after="0"/>
              <w:rPr>
                <w:sz w:val="20"/>
                <w:szCs w:val="20"/>
                <w:color w:val="auto"/>
              </w:rPr>
            </w:pPr>
            <w:r>
              <w:rPr>
                <w:rFonts w:ascii="Arial" w:cs="Arial" w:eastAsia="Arial" w:hAnsi="Arial"/>
                <w:sz w:val="18"/>
                <w:szCs w:val="18"/>
                <w:color w:val="auto"/>
              </w:rPr>
              <w:t>/s/ Barry R. Goldman</w:t>
            </w:r>
          </w:p>
        </w:tc>
        <w:tc>
          <w:tcPr>
            <w:tcW w:w="5500" w:type="dxa"/>
            <w:vAlign w:val="bottom"/>
            <w:gridSpan w:val="2"/>
          </w:tcPr>
          <w:p>
            <w:pPr>
              <w:ind w:left="500"/>
              <w:spacing w:after="0"/>
              <w:rPr>
                <w:sz w:val="20"/>
                <w:szCs w:val="20"/>
                <w:color w:val="auto"/>
              </w:rPr>
            </w:pPr>
            <w:r>
              <w:rPr>
                <w:rFonts w:ascii="Arial" w:cs="Arial" w:eastAsia="Arial" w:hAnsi="Arial"/>
                <w:sz w:val="18"/>
                <w:szCs w:val="18"/>
                <w:color w:val="auto"/>
              </w:rPr>
              <w:t>By: /s/ Vernon J. Nagel</w:t>
            </w:r>
          </w:p>
        </w:tc>
      </w:tr>
      <w:tr>
        <w:trPr>
          <w:trHeight w:val="27"/>
        </w:trPr>
        <w:tc>
          <w:tcPr>
            <w:tcW w:w="47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Barry R. Goldman</w:t>
            </w:r>
          </w:p>
        </w:tc>
        <w:tc>
          <w:tcPr>
            <w:tcW w:w="80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VERNON J. NAGEL</w:t>
            </w:r>
          </w:p>
        </w:tc>
      </w:tr>
      <w:tr>
        <w:trPr>
          <w:trHeight w:val="270"/>
        </w:trPr>
        <w:tc>
          <w:tcPr>
            <w:tcW w:w="4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Chairman and CEO</w:t>
            </w:r>
          </w:p>
        </w:tc>
      </w:tr>
    </w:tbl>
    <w:p>
      <w:pPr>
        <w:sectPr>
          <w:pgSz w:w="11900" w:h="16838" w:orient="portrait"/>
          <w:cols w:equalWidth="0" w:num="1">
            <w:col w:w="11240"/>
          </w:cols>
          <w:pgMar w:left="320" w:top="238" w:right="339" w:bottom="1440" w:gutter="0" w:footer="0" w:header="0"/>
        </w:sectPr>
      </w:pPr>
    </w:p>
    <w:bookmarkStart w:id="138" w:name="page139"/>
    <w:bookmarkEnd w:id="138"/>
    <w:p>
      <w:pPr>
        <w:ind w:left="9680"/>
        <w:spacing w:after="0"/>
        <w:rPr>
          <w:sz w:val="20"/>
          <w:szCs w:val="20"/>
          <w:color w:val="auto"/>
        </w:rPr>
      </w:pPr>
      <w:r>
        <w:rPr>
          <w:rFonts w:ascii="Arial" w:cs="Arial" w:eastAsia="Arial" w:hAnsi="Arial"/>
          <w:sz w:val="17"/>
          <w:szCs w:val="17"/>
          <w:b w:val="1"/>
          <w:bCs w:val="1"/>
          <w:color w:val="auto"/>
        </w:rPr>
        <w:t>Exhibit 10(iii)A(87)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THIS CHANGE IN CONTROL AGREEMENT “(Agreement”) is made as of March 2, 2020, by and between Acuity Brands, Inc. (the “Company”) and </w:t>
      </w:r>
      <w:r>
        <w:rPr>
          <w:rFonts w:ascii="Arial" w:cs="Arial" w:eastAsia="Arial" w:hAnsi="Arial"/>
          <w:sz w:val="22"/>
          <w:szCs w:val="22"/>
          <w:b w:val="1"/>
          <w:bCs w:val="1"/>
          <w:color w:val="auto"/>
        </w:rPr>
        <w:t>Dianne S. Mills</w:t>
      </w:r>
      <w:r>
        <w:rPr>
          <w:rFonts w:ascii="Arial" w:cs="Arial" w:eastAsia="Arial" w:hAnsi="Arial"/>
          <w:sz w:val="22"/>
          <w:szCs w:val="22"/>
          <w:color w:val="auto"/>
        </w:rPr>
        <w:t xml:space="preserve"> (the “Executive”).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Executive is a key management employee of the Company; and</w:t>
      </w:r>
    </w:p>
    <w:p>
      <w:pPr>
        <w:spacing w:after="0" w:line="30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Board of Directors of the Company (the “Board”) recognizes that the possibility of a Change in Control (as hereinafter defined) exists and can result in significant distractions of its key management personnel because of the uncertainties inherent in such a situation; and</w:t>
      </w:r>
    </w:p>
    <w:p>
      <w:pPr>
        <w:spacing w:after="0" w:line="2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WHEREAS, the Board has determined that it is essential and in the best interest of the Company and its stockholders to retain the services of the Executive in the event of a Change in Control and to ensure Executive’s continued dedication and efforts in such event without undue concern for Executive’s personal financial and employment security; and</w:t>
      </w:r>
    </w:p>
    <w:p>
      <w:pPr>
        <w:spacing w:after="0" w:line="21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WHEREAS, in order to continue to induce the Executive to provide services to the Company (including its subsidiary corporations), particularly in the event of a Change in Control, the Company desires to enter into this Agreement with the Executive to provide the Executive with certain benefits in the event Executive’s employment is terminated as a result of, or in connection with, a Change in Control and to provide the Executive with certain other benefits whether or not the Executive’s employment is terminated; and</w:t>
      </w:r>
    </w:p>
    <w:p>
      <w:pPr>
        <w:spacing w:after="0" w:line="2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WHEREAS, this Agreement is not intended to provide for the deferral of compensation within the meaning of Section 409A of the Code, but rather, is intended to satisfy the short-term deferral exemption under Treasury Regulation (“Treas. Reg.”) §1.409A-1(b)(4) in tandem with the separation pay exemption under Treas. Reg. §1.409A-1(b)(9); and</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respective agreements of the parties contained herein, it is agreed as follows:</w:t>
      </w:r>
    </w:p>
    <w:p>
      <w:pPr>
        <w:spacing w:after="0" w:line="256"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w:t>
      </w:r>
    </w:p>
    <w:p>
      <w:pPr>
        <w:spacing w:after="0" w:line="5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7"/>
          <w:szCs w:val="17"/>
          <w:color w:val="auto"/>
        </w:rPr>
        <w:t xml:space="preserve">1.1 </w:t>
      </w:r>
      <w:r>
        <w:rPr>
          <w:rFonts w:ascii="Arial" w:cs="Arial" w:eastAsia="Arial" w:hAnsi="Arial"/>
          <w:sz w:val="20"/>
          <w:szCs w:val="20"/>
          <w:color w:val="auto"/>
        </w:rPr>
        <w:t>This Agreement shall commence on the date hereof and shall continue unless or until terminated as provided</w:t>
      </w:r>
      <w:r>
        <w:rPr>
          <w:rFonts w:ascii="Arial" w:cs="Arial" w:eastAsia="Arial" w:hAnsi="Arial"/>
          <w:sz w:val="17"/>
          <w:szCs w:val="17"/>
          <w:color w:val="auto"/>
        </w:rPr>
        <w:t xml:space="preserve"> </w:t>
      </w:r>
      <w:r>
        <w:rPr>
          <w:rFonts w:ascii="Arial" w:cs="Arial" w:eastAsia="Arial" w:hAnsi="Arial"/>
          <w:sz w:val="20"/>
          <w:szCs w:val="20"/>
          <w:color w:val="auto"/>
        </w:rPr>
        <w:t>herein. This Agreement shall not be considered an employment agreement and in no way guarantees Executive the right to continue in the employment of the Company or its affiliates. Executive’s employment is considered employment at will, subject to Executive’s right to receive payments and benefits upon certain terminations of employment as provided below.</w:t>
      </w:r>
    </w:p>
    <w:p>
      <w:pPr>
        <w:spacing w:after="0" w:line="1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 xml:space="preserve">1.2 </w:t>
      </w:r>
      <w:r>
        <w:rPr>
          <w:rFonts w:ascii="Arial" w:cs="Arial" w:eastAsia="Arial" w:hAnsi="Arial"/>
          <w:sz w:val="20"/>
          <w:szCs w:val="20"/>
          <w:color w:val="auto"/>
        </w:rPr>
        <w:t>Each place in this Agreement where a reference to the “Company” appears that relates to the Executive’s</w:t>
      </w:r>
      <w:r>
        <w:rPr>
          <w:rFonts w:ascii="Arial" w:cs="Arial" w:eastAsia="Arial" w:hAnsi="Arial"/>
          <w:sz w:val="17"/>
          <w:szCs w:val="17"/>
          <w:color w:val="auto"/>
        </w:rPr>
        <w:t xml:space="preserve"> </w:t>
      </w:r>
      <w:r>
        <w:rPr>
          <w:rFonts w:ascii="Arial" w:cs="Arial" w:eastAsia="Arial" w:hAnsi="Arial"/>
          <w:sz w:val="20"/>
          <w:szCs w:val="20"/>
          <w:color w:val="auto"/>
        </w:rPr>
        <w:t>employment, restrictive covenants, termination of employment, or performing services, including the definitions of “Cause” and “Good Reason,” such reference shall mean and include any subsidiary of the Company which is the primary service recipient of the Executive’s services. Further, in each place where this Agreement refers to a benefit plan or program, payment of compensation, compensation arrangement or other similar plan or program maintained by the Company, such reference shall include any plan, program or arrangement maintained or established by a subsidiary of the Company. Notwithstanding the foregoing, the references in the definition of “Change in Control,” and similar references to changes in</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8" w:right="339" w:bottom="1440" w:gutter="0" w:footer="0" w:header="0"/>
        </w:sectPr>
      </w:pPr>
    </w:p>
    <w:bookmarkStart w:id="139" w:name="page140"/>
    <w:bookmarkEnd w:id="139"/>
    <w:p>
      <w:pPr>
        <w:ind w:left="9680"/>
        <w:spacing w:after="0"/>
        <w:rPr>
          <w:sz w:val="20"/>
          <w:szCs w:val="20"/>
          <w:color w:val="auto"/>
        </w:rPr>
      </w:pPr>
      <w:r>
        <w:rPr>
          <w:rFonts w:ascii="Arial" w:cs="Arial" w:eastAsia="Arial" w:hAnsi="Arial"/>
          <w:sz w:val="17"/>
          <w:szCs w:val="17"/>
          <w:b w:val="1"/>
          <w:bCs w:val="1"/>
          <w:color w:val="auto"/>
        </w:rPr>
        <w:t>Exhibit 10(iii)A(87)</w:t>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auto"/>
        </w:rPr>
        <w:t>ownership and control of the Company shall mean and refer only to Acuity Brands, Inc., a Delaware corporation.</w:t>
      </w:r>
    </w:p>
    <w:p>
      <w:pPr>
        <w:spacing w:after="0" w:line="44" w:lineRule="exact"/>
        <w:rPr>
          <w:sz w:val="20"/>
          <w:szCs w:val="20"/>
          <w:color w:val="auto"/>
        </w:rPr>
      </w:pPr>
    </w:p>
    <w:p>
      <w:pPr>
        <w:ind w:left="800" w:hanging="792"/>
        <w:spacing w:after="0"/>
        <w:tabs>
          <w:tab w:leader="none" w:pos="800" w:val="left"/>
        </w:tabs>
        <w:numPr>
          <w:ilvl w:val="0"/>
          <w:numId w:val="88"/>
        </w:numPr>
        <w:rPr>
          <w:rFonts w:ascii="Arial" w:cs="Arial" w:eastAsia="Arial" w:hAnsi="Arial"/>
          <w:sz w:val="18"/>
          <w:szCs w:val="18"/>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5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7"/>
          <w:szCs w:val="17"/>
          <w:color w:val="auto"/>
        </w:rPr>
        <w:t xml:space="preserve">2.1 </w:t>
      </w:r>
      <w:r>
        <w:rPr>
          <w:rFonts w:ascii="Arial" w:cs="Arial" w:eastAsia="Arial" w:hAnsi="Arial"/>
          <w:sz w:val="20"/>
          <w:szCs w:val="20"/>
          <w:u w:val="single" w:color="auto"/>
          <w:color w:val="auto"/>
        </w:rPr>
        <w:t>Cause</w:t>
      </w:r>
      <w:r>
        <w:rPr>
          <w:rFonts w:ascii="Arial" w:cs="Arial" w:eastAsia="Arial" w:hAnsi="Arial"/>
          <w:sz w:val="20"/>
          <w:szCs w:val="20"/>
          <w:color w:val="auto"/>
        </w:rPr>
        <w:t>. For purposes of this Agreement, “Cause” shall mean a reasonable determination by the Company that</w:t>
      </w:r>
      <w:r>
        <w:rPr>
          <w:rFonts w:ascii="Arial" w:cs="Arial" w:eastAsia="Arial" w:hAnsi="Arial"/>
          <w:sz w:val="17"/>
          <w:szCs w:val="17"/>
          <w:color w:val="auto"/>
        </w:rPr>
        <w:t xml:space="preserve"> </w:t>
      </w:r>
      <w:r>
        <w:rPr>
          <w:rFonts w:ascii="Arial" w:cs="Arial" w:eastAsia="Arial" w:hAnsi="Arial"/>
          <w:sz w:val="20"/>
          <w:szCs w:val="20"/>
          <w:color w:val="auto"/>
        </w:rPr>
        <w:t xml:space="preserve">the Executive (a) intentionally and continually failed to substantially perform Executive’s duties with the Company (other than a failure resulting from the Executive’s incapacity due to physical or mental illness) which failure continued for a period of at least thirty (30) days after a written notice of demand for substantial performance has been delivered to the Executive specifying the manner in which the Executive has failed to substantially perform, or (b) intentionally engaged in conduct which is demonstrably and materially injurious to the Company, monetarily or otherwise or was convicted of a misdemeanor or felony involving moral turpitude;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Executive shall not be considered to be terminated for Cause unless the Board has duly adopted a resolution finding that, in the good faith opinion of the Board, the Executive has engaged in the conduct set forth in clauses (a) or (b) and Executive has been provided written notice of the adoption of such resolution. No act, nor failure to act, on the Executive’s part, shall be considered “intentional” unless he has acted, or failed to act, with a lack of good faith and without a reasonable belief that Executive’s action or failure to act was in the best interest of the Company. Notwithstanding anything contained in this Agreement to the contrary, no failure to perform by the Executive after a Notice of Termination is given by the Executive shall constitute Cause for purposes of this Agreement.</w:t>
      </w:r>
    </w:p>
    <w:p>
      <w:pPr>
        <w:spacing w:after="0" w:line="25"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9"/>
          <w:szCs w:val="19"/>
          <w:u w:val="single" w:color="auto"/>
          <w:color w:val="auto"/>
        </w:rPr>
        <w:t>Change in Control</w:t>
      </w:r>
      <w:r>
        <w:rPr>
          <w:rFonts w:ascii="Arial" w:cs="Arial" w:eastAsia="Arial" w:hAnsi="Arial"/>
          <w:sz w:val="19"/>
          <w:szCs w:val="19"/>
          <w:color w:val="auto"/>
        </w:rPr>
        <w:t>. For purposes of this Agreement, a “Change in Control” shall mean any of the following</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events:</w:t>
      </w:r>
    </w:p>
    <w:p>
      <w:pPr>
        <w:spacing w:after="0" w:line="26" w:lineRule="exact"/>
        <w:rPr>
          <w:sz w:val="20"/>
          <w:szCs w:val="20"/>
          <w:color w:val="auto"/>
        </w:rPr>
      </w:pPr>
    </w:p>
    <w:p>
      <w:pPr>
        <w:jc w:val="both"/>
        <w:ind w:left="60" w:firstLine="1298"/>
        <w:spacing w:after="0" w:line="262" w:lineRule="auto"/>
        <w:tabs>
          <w:tab w:leader="none" w:pos="2075" w:val="left"/>
        </w:tabs>
        <w:numPr>
          <w:ilvl w:val="0"/>
          <w:numId w:val="89"/>
        </w:numPr>
        <w:rPr>
          <w:rFonts w:ascii="Arial" w:cs="Arial" w:eastAsia="Arial" w:hAnsi="Arial"/>
          <w:sz w:val="16"/>
          <w:szCs w:val="16"/>
          <w:color w:val="auto"/>
        </w:rPr>
      </w:pPr>
      <w:r>
        <w:rPr>
          <w:rFonts w:ascii="Arial" w:cs="Arial" w:eastAsia="Arial" w:hAnsi="Arial"/>
          <w:sz w:val="19"/>
          <w:szCs w:val="19"/>
          <w:color w:val="auto"/>
        </w:rPr>
        <w:t>The acquisition (other than from the Company in an acquisition that is approved by the Incumbent Board) by any “Person” (as the term person is used for purposes of Sections 13(d) or 14(d) of the Securities Exchange Act of 1934, as amended (the “1934 Act”) of beneficial ownership (within the meaning of Rule 13d-3 promulgated under the 1934 Act) of thirty percent (30%) or more of the combined voting power of the Company’s then outstanding voting securities; or</w:t>
      </w:r>
    </w:p>
    <w:p>
      <w:pPr>
        <w:spacing w:after="0" w:line="4" w:lineRule="exact"/>
        <w:rPr>
          <w:rFonts w:ascii="Arial" w:cs="Arial" w:eastAsia="Arial" w:hAnsi="Arial"/>
          <w:sz w:val="16"/>
          <w:szCs w:val="16"/>
          <w:color w:val="auto"/>
        </w:rPr>
      </w:pPr>
    </w:p>
    <w:p>
      <w:pPr>
        <w:jc w:val="both"/>
        <w:ind w:left="60" w:firstLine="1298"/>
        <w:spacing w:after="0" w:line="218" w:lineRule="auto"/>
        <w:tabs>
          <w:tab w:leader="none" w:pos="2085" w:val="left"/>
        </w:tabs>
        <w:numPr>
          <w:ilvl w:val="0"/>
          <w:numId w:val="89"/>
        </w:numPr>
        <w:rPr>
          <w:rFonts w:ascii="Arial" w:cs="Arial" w:eastAsia="Arial" w:hAnsi="Arial"/>
          <w:sz w:val="18"/>
          <w:szCs w:val="18"/>
          <w:color w:val="auto"/>
        </w:rPr>
      </w:pPr>
      <w:r>
        <w:rPr>
          <w:rFonts w:ascii="Arial" w:cs="Arial" w:eastAsia="Arial" w:hAnsi="Arial"/>
          <w:sz w:val="22"/>
          <w:szCs w:val="22"/>
          <w:color w:val="auto"/>
        </w:rPr>
        <w:t xml:space="preserve">The individuals who, as of the date of this Agreement, are members of the Board (the “Incumbent Board”), cease for any reason to constitute at least fifty percent (50%) of the Board;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the election, or nomination for election by the Company’s stockholders, of any new director was approved by a vote of at least two-thirds of the Incumbent Board, such new director shall, for purposes of this Agreement, be considered as a member of the Incumbent Board; or</w:t>
      </w:r>
    </w:p>
    <w:p>
      <w:pPr>
        <w:spacing w:after="0" w:line="25" w:lineRule="exact"/>
        <w:rPr>
          <w:rFonts w:ascii="Arial" w:cs="Arial" w:eastAsia="Arial" w:hAnsi="Arial"/>
          <w:sz w:val="18"/>
          <w:szCs w:val="18"/>
          <w:color w:val="auto"/>
        </w:rPr>
      </w:pPr>
    </w:p>
    <w:p>
      <w:pPr>
        <w:jc w:val="both"/>
        <w:ind w:left="60" w:firstLine="1298"/>
        <w:spacing w:after="0" w:line="256" w:lineRule="auto"/>
        <w:tabs>
          <w:tab w:leader="none" w:pos="2075" w:val="left"/>
        </w:tabs>
        <w:numPr>
          <w:ilvl w:val="0"/>
          <w:numId w:val="89"/>
        </w:numPr>
        <w:rPr>
          <w:rFonts w:ascii="Arial" w:cs="Arial" w:eastAsia="Arial" w:hAnsi="Arial"/>
          <w:sz w:val="16"/>
          <w:szCs w:val="16"/>
          <w:color w:val="auto"/>
        </w:rPr>
      </w:pPr>
      <w:r>
        <w:rPr>
          <w:rFonts w:ascii="Arial" w:cs="Arial" w:eastAsia="Arial" w:hAnsi="Arial"/>
          <w:sz w:val="19"/>
          <w:szCs w:val="19"/>
          <w:color w:val="auto"/>
        </w:rPr>
        <w:t>Consummation of a merger or consolidation involving the Company if the stockholders of the Company, immediately before such merger or consolidation do not, as a result of such merger or consolidation, own, directly or indirectly, more than sixty percent (60%) of the combined voting power of the then outstanding voting securities of the corporation resulting from such merger or consolidation in substantially the same proportion as their ownership of the combined voting power of the voting securities of the Company outstanding immediately before such merger or consolidation;</w:t>
      </w:r>
    </w:p>
    <w:p>
      <w:pPr>
        <w:spacing w:after="0" w:line="9" w:lineRule="exact"/>
        <w:rPr>
          <w:rFonts w:ascii="Arial" w:cs="Arial" w:eastAsia="Arial" w:hAnsi="Arial"/>
          <w:sz w:val="16"/>
          <w:szCs w:val="16"/>
          <w:color w:val="auto"/>
        </w:rPr>
      </w:pPr>
    </w:p>
    <w:p>
      <w:pPr>
        <w:ind w:left="60" w:firstLine="1298"/>
        <w:spacing w:after="0" w:line="239" w:lineRule="auto"/>
        <w:tabs>
          <w:tab w:leader="none" w:pos="2085" w:val="left"/>
        </w:tabs>
        <w:numPr>
          <w:ilvl w:val="0"/>
          <w:numId w:val="89"/>
        </w:numPr>
        <w:rPr>
          <w:rFonts w:ascii="Arial" w:cs="Arial" w:eastAsia="Arial" w:hAnsi="Arial"/>
          <w:sz w:val="18"/>
          <w:szCs w:val="18"/>
          <w:color w:val="auto"/>
        </w:rPr>
      </w:pPr>
      <w:r>
        <w:rPr>
          <w:rFonts w:ascii="Arial" w:cs="Arial" w:eastAsia="Arial" w:hAnsi="Arial"/>
          <w:sz w:val="22"/>
          <w:szCs w:val="22"/>
          <w:color w:val="auto"/>
        </w:rPr>
        <w:t>Consummation of a complete liquidation or dissolution of the Company or of the sale or other disposition of all or substantially all of the assets of the Company; or</w:t>
      </w:r>
    </w:p>
    <w:p>
      <w:pPr>
        <w:spacing w:after="0" w:line="22" w:lineRule="exact"/>
        <w:rPr>
          <w:rFonts w:ascii="Arial" w:cs="Arial" w:eastAsia="Arial" w:hAnsi="Arial"/>
          <w:sz w:val="18"/>
          <w:szCs w:val="18"/>
          <w:color w:val="auto"/>
        </w:rPr>
      </w:pPr>
    </w:p>
    <w:p>
      <w:pPr>
        <w:jc w:val="both"/>
        <w:ind w:left="60" w:firstLine="1298"/>
        <w:spacing w:after="0" w:line="227" w:lineRule="auto"/>
        <w:tabs>
          <w:tab w:leader="none" w:pos="2075" w:val="left"/>
        </w:tabs>
        <w:numPr>
          <w:ilvl w:val="0"/>
          <w:numId w:val="89"/>
        </w:numPr>
        <w:rPr>
          <w:rFonts w:ascii="Arial" w:cs="Arial" w:eastAsia="Arial" w:hAnsi="Arial"/>
          <w:sz w:val="18"/>
          <w:szCs w:val="18"/>
          <w:color w:val="auto"/>
        </w:rPr>
      </w:pPr>
      <w:r>
        <w:rPr>
          <w:rFonts w:ascii="Arial" w:cs="Arial" w:eastAsia="Arial" w:hAnsi="Arial"/>
          <w:sz w:val="22"/>
          <w:szCs w:val="22"/>
          <w:color w:val="auto"/>
        </w:rPr>
        <w:t>The stockholders of the Company approve the sale of all or substantially all of the assets of the Company or any merger, consolidation, issuance of securities or purchase of assets, the result of which would be the occurrence of any event described in clause (c) or (d) above.</w:t>
      </w:r>
    </w:p>
    <w:p>
      <w:pPr>
        <w:spacing w:after="0" w:line="5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Notwithstanding the foregoing, a Change in Control shall not be deemed to occur pursuant to Section 2.2(a), solely because thirty percent (30%) or more of the combined voting power of the Company’s then outstanding securities is acquired by (i) a trustee or other fiduciary holding securities under one or more employee benefit plans maintained by the Company or any of its subsidiaries or (ii) any corporation which, immediately prior to such acquisition, is owned directly or indirectly by the stockholders of the Company in the same proportion</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8" w:right="339" w:bottom="1440" w:gutter="0" w:footer="0" w:header="0"/>
        </w:sectPr>
      </w:pPr>
    </w:p>
    <w:bookmarkStart w:id="140" w:name="page141"/>
    <w:bookmarkEnd w:id="140"/>
    <w:p>
      <w:pPr>
        <w:ind w:left="9680"/>
        <w:spacing w:after="0"/>
        <w:rPr>
          <w:sz w:val="20"/>
          <w:szCs w:val="20"/>
          <w:color w:val="auto"/>
        </w:rPr>
      </w:pPr>
      <w:r>
        <w:rPr>
          <w:rFonts w:ascii="Arial" w:cs="Arial" w:eastAsia="Arial" w:hAnsi="Arial"/>
          <w:sz w:val="17"/>
          <w:szCs w:val="17"/>
          <w:b w:val="1"/>
          <w:bCs w:val="1"/>
          <w:color w:val="auto"/>
        </w:rPr>
        <w:t>Exhibit 10(iii)A(87)</w:t>
      </w: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as their ownership of stock in the Company immediately prior to such acquisition (hereinafter referred to as “Related Persons”).</w:t>
      </w:r>
    </w:p>
    <w:p>
      <w:pPr>
        <w:spacing w:after="0" w:line="30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9"/>
          <w:szCs w:val="19"/>
          <w:u w:val="single" w:color="auto"/>
          <w:color w:val="auto"/>
        </w:rPr>
        <w:t xml:space="preserve">Code. </w:t>
      </w:r>
      <w:r>
        <w:rPr>
          <w:rFonts w:ascii="Arial" w:cs="Arial" w:eastAsia="Arial" w:hAnsi="Arial"/>
          <w:sz w:val="19"/>
          <w:szCs w:val="19"/>
          <w:color w:val="auto"/>
        </w:rPr>
        <w:t>For purposes of this Agreement, “Code” means the Internal Revenue Code of 1986, as amended.</w:t>
      </w:r>
    </w:p>
    <w:p>
      <w:pPr>
        <w:spacing w:after="0" w:line="9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9"/>
          <w:szCs w:val="19"/>
          <w:u w:val="single" w:color="auto"/>
          <w:color w:val="auto"/>
        </w:rPr>
        <w:t>Company’s Business</w:t>
      </w:r>
      <w:r>
        <w:rPr>
          <w:rFonts w:ascii="Arial" w:cs="Arial" w:eastAsia="Arial" w:hAnsi="Arial"/>
          <w:sz w:val="19"/>
          <w:szCs w:val="19"/>
          <w:color w:val="auto"/>
        </w:rPr>
        <w:t>. For purposes of this Agreement, “Company’s Business” means the design, manufacture,</w:t>
      </w:r>
      <w:r>
        <w:rPr>
          <w:rFonts w:ascii="Arial" w:cs="Arial" w:eastAsia="Arial" w:hAnsi="Arial"/>
          <w:sz w:val="16"/>
          <w:szCs w:val="16"/>
          <w:color w:val="auto"/>
        </w:rPr>
        <w:t xml:space="preserve"> </w:t>
      </w:r>
      <w:r>
        <w:rPr>
          <w:rFonts w:ascii="Arial" w:cs="Arial" w:eastAsia="Arial" w:hAnsi="Arial"/>
          <w:sz w:val="19"/>
          <w:szCs w:val="19"/>
          <w:color w:val="auto"/>
        </w:rPr>
        <w:t>installation, servicing, and/or sale of one or more of the following and any related products and/or services: lighting fixtures and systems; lighting control components and systems (including but not limited to dimmers, switches, relays, programmable lighting controllers, sensors, timers, and range extenders for lighting and energy management and other purposes); building management and/or control systems; commercial building lighting controls; intelligent building automation and energy management technologies, products, software and solutions with respect to HVAC systems and HVAC controls and sensors; motorized shading and blind controls; building security and access control and monitoring for fire and life safety; emergency lighting fixtures and systems (including but not limited to exit signs, emergency light units, inverters, back-up power battery packs, and combinations thereof); battery powered and/or photovoltaic lighting fixtures; electric lighting track units; hardware for mounting and hanging electrical lighting fixtures; aluminum, steel and fiberglass fixture poles for electric lighting; light fixture lenses; sound and electromagnetic wave receivers and transmitters; flexible and modular wiring systems and components (namely, flexible branch circuits, attachment plugs, receptacles, connectors and fittings); LED drivers and other power supplies; daylighting systems including but not limited to prismatic skylighting and related controls; organic LED products and technology; medical and patient care lighting devices and system; indoor positioning products and technology; sensor based information networks; distributed software services; and any wired or wireless communications and monitoring hardware or software related to any of the above.</w:t>
      </w:r>
    </w:p>
    <w:p>
      <w:pPr>
        <w:spacing w:after="0" w:line="30"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For purposes of this Agreement, “Confidential Information” means:</w:t>
      </w:r>
    </w:p>
    <w:p>
      <w:pPr>
        <w:spacing w:after="0" w:line="92" w:lineRule="exact"/>
        <w:rPr>
          <w:sz w:val="20"/>
          <w:szCs w:val="20"/>
          <w:color w:val="auto"/>
        </w:rPr>
      </w:pPr>
    </w:p>
    <w:p>
      <w:pPr>
        <w:jc w:val="both"/>
        <w:ind w:left="60" w:firstLine="1298"/>
        <w:spacing w:after="0" w:line="239" w:lineRule="auto"/>
        <w:tabs>
          <w:tab w:leader="none" w:pos="2075" w:val="left"/>
        </w:tabs>
        <w:numPr>
          <w:ilvl w:val="1"/>
          <w:numId w:val="90"/>
        </w:numPr>
        <w:rPr>
          <w:rFonts w:ascii="Arial" w:cs="Arial" w:eastAsia="Arial" w:hAnsi="Arial"/>
          <w:sz w:val="16"/>
          <w:szCs w:val="16"/>
          <w:color w:val="auto"/>
        </w:rPr>
      </w:pPr>
      <w:r>
        <w:rPr>
          <w:rFonts w:ascii="Arial" w:cs="Arial" w:eastAsia="Arial" w:hAnsi="Arial"/>
          <w:sz w:val="19"/>
          <w:szCs w:val="19"/>
          <w:color w:val="auto"/>
        </w:rPr>
        <w:t>Data and information relating to the Company’s Business; disclosed to Executive or of which Executive became aware of as a consequence of Executive's relationship with the Company; having value to the employer; not generally known to the competitors for the employer; and which includes trade secrets, methods of operation, names of customers, price lists, financial information and projections, route books, personnel data, and similar information For purposes of this Agreement, subject to the foregoing, and according to terminology commonly used by the Company, the Company’s Confidential Information shall include, but not be limited to, information pertaining to: (1) business opportunities; (2) data and compilations of data relating to the Company’s Business; (3) compilations of information about, and communications and agreements with, customers and potential customers of the Company; (4) computer software, hardware, network and internet technology utilized, modified or enhanced by the Company or by Executive in furtherance of Executive’s duties with the Company; (5) compilations of data concerning Company products, services, customers, and end users including but not limited to compilations concerning projected sales, new project timelines, inventory reports, sales, and cost and expense reports; (6) compilations of information about the Company’s employees and independent contracting consultants; (7) the Company’s financial information, including, without limitation, amounts charged to customers and amounts charged to the Company by its vendors, suppliers, and service providers; (8) proposals submitted to the Company’s customers, potential customers, wholesalers, distributors, vendors, suppliers and service providers; (9) the Company’s marketing strategies and compilations of marketing data; (10) compilations of data or information concerning, and communications and agreements with, vendors, suppliers and licensors to the Company and other sources of technology, products, services or components used in the Company’s Business; (11) any information concerning services requested and services performed on behalf of customers of the Company, including planned products or services; and</w:t>
      </w:r>
    </w:p>
    <w:p>
      <w:pPr>
        <w:spacing w:after="0" w:line="3" w:lineRule="exact"/>
        <w:rPr>
          <w:rFonts w:ascii="Arial" w:cs="Arial" w:eastAsia="Arial" w:hAnsi="Arial"/>
          <w:sz w:val="16"/>
          <w:szCs w:val="16"/>
          <w:color w:val="auto"/>
        </w:rPr>
      </w:pPr>
    </w:p>
    <w:p>
      <w:pPr>
        <w:ind w:left="60" w:firstLine="2"/>
        <w:spacing w:after="0" w:line="224" w:lineRule="auto"/>
        <w:tabs>
          <w:tab w:leader="none" w:pos="4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Company’s research and development records and data. Confidential Information also includes any summary, extract or analysis of such information</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8" w:right="339" w:bottom="1440" w:gutter="0" w:footer="0" w:header="0"/>
        </w:sectPr>
      </w:pPr>
    </w:p>
    <w:bookmarkStart w:id="141" w:name="page142"/>
    <w:bookmarkEnd w:id="141"/>
    <w:p>
      <w:pPr>
        <w:ind w:left="9680"/>
        <w:spacing w:after="0"/>
        <w:rPr>
          <w:sz w:val="20"/>
          <w:szCs w:val="20"/>
          <w:color w:val="auto"/>
        </w:rPr>
      </w:pPr>
      <w:r>
        <w:rPr>
          <w:rFonts w:ascii="Arial" w:cs="Arial" w:eastAsia="Arial" w:hAnsi="Arial"/>
          <w:sz w:val="17"/>
          <w:szCs w:val="17"/>
          <w:b w:val="1"/>
          <w:bCs w:val="1"/>
          <w:color w:val="auto"/>
        </w:rPr>
        <w:t>Exhibit 10(iii)A(87)</w:t>
      </w:r>
    </w:p>
    <w:p>
      <w:pPr>
        <w:spacing w:after="0" w:line="305" w:lineRule="exact"/>
        <w:rPr>
          <w:sz w:val="20"/>
          <w:szCs w:val="20"/>
          <w:color w:val="auto"/>
        </w:rPr>
      </w:pPr>
    </w:p>
    <w:p>
      <w:pPr>
        <w:ind w:left="60"/>
        <w:spacing w:after="0" w:line="232" w:lineRule="auto"/>
        <w:rPr>
          <w:sz w:val="20"/>
          <w:szCs w:val="20"/>
          <w:color w:val="auto"/>
        </w:rPr>
      </w:pPr>
      <w:r>
        <w:rPr>
          <w:rFonts w:ascii="Arial" w:cs="Arial" w:eastAsia="Arial" w:hAnsi="Arial"/>
          <w:sz w:val="22"/>
          <w:szCs w:val="22"/>
          <w:color w:val="auto"/>
        </w:rPr>
        <w:t>together with information that has been received or disclosed to the Company by any third party as to which the Company has an obligation to treat as confidential.</w:t>
      </w:r>
    </w:p>
    <w:p>
      <w:pPr>
        <w:spacing w:after="0" w:line="24" w:lineRule="exact"/>
        <w:rPr>
          <w:sz w:val="20"/>
          <w:szCs w:val="20"/>
          <w:color w:val="auto"/>
        </w:rPr>
      </w:pPr>
    </w:p>
    <w:p>
      <w:pPr>
        <w:ind w:left="2080" w:hanging="722"/>
        <w:spacing w:after="0"/>
        <w:tabs>
          <w:tab w:leader="none" w:pos="2080" w:val="left"/>
        </w:tabs>
        <w:numPr>
          <w:ilvl w:val="0"/>
          <w:numId w:val="92"/>
        </w:numPr>
        <w:rPr>
          <w:rFonts w:ascii="Arial" w:cs="Arial" w:eastAsia="Arial" w:hAnsi="Arial"/>
          <w:sz w:val="18"/>
          <w:szCs w:val="18"/>
          <w:color w:val="auto"/>
        </w:rPr>
      </w:pPr>
      <w:r>
        <w:rPr>
          <w:rFonts w:ascii="Arial" w:cs="Arial" w:eastAsia="Arial" w:hAnsi="Arial"/>
          <w:sz w:val="22"/>
          <w:szCs w:val="22"/>
          <w:color w:val="auto"/>
        </w:rPr>
        <w:t>Confidential Information shall not include:</w:t>
      </w:r>
    </w:p>
    <w:p>
      <w:pPr>
        <w:spacing w:after="0" w:line="57"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21"/>
          <w:szCs w:val="21"/>
          <w:color w:val="auto"/>
        </w:rPr>
        <w:t>Information generally available to the public other than as a result of improper disclosure by</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Executive;</w:t>
      </w:r>
    </w:p>
    <w:p>
      <w:pPr>
        <w:spacing w:after="0" w:line="26" w:lineRule="exact"/>
        <w:rPr>
          <w:sz w:val="20"/>
          <w:szCs w:val="20"/>
          <w:color w:val="auto"/>
        </w:rPr>
      </w:pPr>
    </w:p>
    <w:p>
      <w:pPr>
        <w:ind w:firstLine="1952"/>
        <w:spacing w:after="0" w:line="289" w:lineRule="auto"/>
        <w:tabs>
          <w:tab w:leader="none" w:pos="2737" w:val="left"/>
        </w:tabs>
        <w:numPr>
          <w:ilvl w:val="0"/>
          <w:numId w:val="93"/>
        </w:numPr>
        <w:rPr>
          <w:rFonts w:ascii="Arial" w:cs="Arial" w:eastAsia="Arial" w:hAnsi="Arial"/>
          <w:sz w:val="16"/>
          <w:szCs w:val="16"/>
          <w:color w:val="auto"/>
        </w:rPr>
      </w:pPr>
      <w:r>
        <w:rPr>
          <w:rFonts w:ascii="Arial" w:cs="Arial" w:eastAsia="Arial" w:hAnsi="Arial"/>
          <w:sz w:val="19"/>
          <w:szCs w:val="19"/>
          <w:color w:val="auto"/>
        </w:rPr>
        <w:t>Information that becomes available to Executive from a source other than the Company (provided Executive has no knowledge that such information was obtained from a source in breach of a duty to the Company);</w:t>
      </w:r>
    </w:p>
    <w:p>
      <w:pPr>
        <w:ind w:left="2800" w:hanging="848"/>
        <w:spacing w:after="0"/>
        <w:tabs>
          <w:tab w:leader="none" w:pos="2800" w:val="left"/>
        </w:tabs>
        <w:numPr>
          <w:ilvl w:val="0"/>
          <w:numId w:val="93"/>
        </w:numPr>
        <w:rPr>
          <w:rFonts w:ascii="Arial" w:cs="Arial" w:eastAsia="Arial" w:hAnsi="Arial"/>
          <w:sz w:val="16"/>
          <w:szCs w:val="16"/>
          <w:color w:val="auto"/>
        </w:rPr>
      </w:pPr>
      <w:r>
        <w:rPr>
          <w:rFonts w:ascii="Arial" w:cs="Arial" w:eastAsia="Arial" w:hAnsi="Arial"/>
          <w:sz w:val="19"/>
          <w:szCs w:val="19"/>
          <w:color w:val="auto"/>
        </w:rPr>
        <w:t>Information disclosed pursuant to law, regulations or pursuant to a subpoena, court order or legal</w:t>
      </w:r>
    </w:p>
    <w:p>
      <w:pPr>
        <w:spacing w:after="0" w:line="2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process; and/or</w:t>
      </w:r>
    </w:p>
    <w:p>
      <w:pPr>
        <w:spacing w:after="0" w:line="26" w:lineRule="exact"/>
        <w:rPr>
          <w:rFonts w:ascii="Arial" w:cs="Arial" w:eastAsia="Arial" w:hAnsi="Arial"/>
          <w:sz w:val="16"/>
          <w:szCs w:val="16"/>
          <w:color w:val="auto"/>
        </w:rPr>
      </w:pPr>
    </w:p>
    <w:p>
      <w:pPr>
        <w:ind w:left="2780" w:hanging="828"/>
        <w:spacing w:after="0"/>
        <w:tabs>
          <w:tab w:leader="none" w:pos="2780" w:val="left"/>
        </w:tabs>
        <w:numPr>
          <w:ilvl w:val="0"/>
          <w:numId w:val="93"/>
        </w:numPr>
        <w:rPr>
          <w:rFonts w:ascii="Arial" w:cs="Arial" w:eastAsia="Arial" w:hAnsi="Arial"/>
          <w:sz w:val="18"/>
          <w:szCs w:val="18"/>
          <w:color w:val="auto"/>
        </w:rPr>
      </w:pPr>
      <w:r>
        <w:rPr>
          <w:rFonts w:ascii="Arial" w:cs="Arial" w:eastAsia="Arial" w:hAnsi="Arial"/>
          <w:sz w:val="22"/>
          <w:szCs w:val="22"/>
          <w:color w:val="auto"/>
        </w:rPr>
        <w:t>Information obtained in filings with the Securities and Exchange Commission.</w:t>
      </w:r>
    </w:p>
    <w:p>
      <w:pPr>
        <w:spacing w:after="0" w:line="58"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 xml:space="preserve">2.6 </w:t>
      </w:r>
      <w:r>
        <w:rPr>
          <w:rFonts w:ascii="Arial" w:cs="Arial" w:eastAsia="Arial" w:hAnsi="Arial"/>
          <w:sz w:val="21"/>
          <w:szCs w:val="21"/>
          <w:u w:val="single" w:color="auto"/>
          <w:color w:val="auto"/>
        </w:rPr>
        <w:t>Covered Period</w:t>
      </w:r>
      <w:r>
        <w:rPr>
          <w:rFonts w:ascii="Arial" w:cs="Arial" w:eastAsia="Arial" w:hAnsi="Arial"/>
          <w:sz w:val="21"/>
          <w:szCs w:val="21"/>
          <w:color w:val="auto"/>
        </w:rPr>
        <w:t>. For purposes of this Agreement, “Covered Period” means the period of time beginning on the</w:t>
      </w:r>
      <w:r>
        <w:rPr>
          <w:rFonts w:ascii="Arial" w:cs="Arial" w:eastAsia="Arial" w:hAnsi="Arial"/>
          <w:sz w:val="18"/>
          <w:szCs w:val="18"/>
          <w:color w:val="auto"/>
        </w:rPr>
        <w:t xml:space="preserve"> </w:t>
      </w:r>
      <w:r>
        <w:rPr>
          <w:rFonts w:ascii="Arial" w:cs="Arial" w:eastAsia="Arial" w:hAnsi="Arial"/>
          <w:sz w:val="21"/>
          <w:szCs w:val="21"/>
          <w:color w:val="auto"/>
        </w:rPr>
        <w:t>first occurrence of a Change in Control and lasting through the twenty-four month anniversary of the occurrence of the Change in Control. The Covered Period shall also include the six-month period before the occurrence of the Change in Control if a Qualifying Termination occurs during such period at the request of a Third Party in anticipation of the Change in Control and the Change in Control occurs.</w:t>
      </w:r>
    </w:p>
    <w:p>
      <w:pPr>
        <w:spacing w:after="0" w:line="27"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 xml:space="preserve">2.7 </w:t>
      </w:r>
      <w:r>
        <w:rPr>
          <w:rFonts w:ascii="Arial" w:cs="Arial" w:eastAsia="Arial" w:hAnsi="Arial"/>
          <w:sz w:val="20"/>
          <w:szCs w:val="20"/>
          <w:u w:val="single" w:color="auto"/>
          <w:color w:val="auto"/>
        </w:rPr>
        <w:t>Customers.</w:t>
      </w:r>
      <w:r>
        <w:rPr>
          <w:rFonts w:ascii="Arial" w:cs="Arial" w:eastAsia="Arial" w:hAnsi="Arial"/>
          <w:sz w:val="17"/>
          <w:szCs w:val="17"/>
          <w:color w:val="auto"/>
        </w:rPr>
        <w:t xml:space="preserve"> </w:t>
      </w:r>
      <w:r>
        <w:rPr>
          <w:rFonts w:ascii="Arial" w:cs="Arial" w:eastAsia="Arial" w:hAnsi="Arial"/>
          <w:sz w:val="20"/>
          <w:szCs w:val="20"/>
          <w:color w:val="auto"/>
        </w:rPr>
        <w:t>For purposes of this Agreement, “Customers” means those entities and/or individuals who are</w:t>
      </w:r>
      <w:r>
        <w:rPr>
          <w:rFonts w:ascii="Arial" w:cs="Arial" w:eastAsia="Arial" w:hAnsi="Arial"/>
          <w:sz w:val="17"/>
          <w:szCs w:val="17"/>
          <w:color w:val="auto"/>
        </w:rPr>
        <w:t xml:space="preserve"> </w:t>
      </w:r>
      <w:r>
        <w:rPr>
          <w:rFonts w:ascii="Arial" w:cs="Arial" w:eastAsia="Arial" w:hAnsi="Arial"/>
          <w:sz w:val="20"/>
          <w:szCs w:val="20"/>
          <w:color w:val="auto"/>
        </w:rPr>
        <w:t>customers of the Company and/or its affiliates with respect to which, within the two-year period preceding Executive’s Termination Date: (i) Executive had Material Contact on behalf of the Company; (ii) Executive acquired, directly or indirectly, Confidential Information or Trade Secrets as a result of Executive’s employment with the Company; and/or (iii) Executive exercised oversight or responsibility of subordinates who engaged in Material Contact on behalf of the Company</w:t>
      </w:r>
    </w:p>
    <w:p>
      <w:pPr>
        <w:spacing w:after="0" w:line="2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2.8 </w:t>
      </w:r>
      <w:r>
        <w:rPr>
          <w:rFonts w:ascii="Arial" w:cs="Arial" w:eastAsia="Arial" w:hAnsi="Arial"/>
          <w:sz w:val="21"/>
          <w:szCs w:val="21"/>
          <w:u w:val="single" w:color="auto"/>
          <w:color w:val="auto"/>
        </w:rPr>
        <w:t>Disability</w:t>
      </w:r>
      <w:r>
        <w:rPr>
          <w:rFonts w:ascii="Arial" w:cs="Arial" w:eastAsia="Arial" w:hAnsi="Arial"/>
          <w:sz w:val="21"/>
          <w:szCs w:val="21"/>
          <w:color w:val="auto"/>
        </w:rPr>
        <w:t>. For purposes of this Agreement, “Disability” shall have the meaning ascribed to such term in the</w:t>
      </w:r>
      <w:r>
        <w:rPr>
          <w:rFonts w:ascii="Arial" w:cs="Arial" w:eastAsia="Arial" w:hAnsi="Arial"/>
          <w:sz w:val="18"/>
          <w:szCs w:val="18"/>
          <w:color w:val="auto"/>
        </w:rPr>
        <w:t xml:space="preserve"> </w:t>
      </w:r>
      <w:r>
        <w:rPr>
          <w:rFonts w:ascii="Arial" w:cs="Arial" w:eastAsia="Arial" w:hAnsi="Arial"/>
          <w:sz w:val="21"/>
          <w:szCs w:val="21"/>
          <w:color w:val="auto"/>
        </w:rPr>
        <w:t>Company’s long-term disability plan or policy covering the Executive, or in the absence of such plan or policy, a meaning consistent with Code Section 22(e)(3).</w:t>
      </w:r>
    </w:p>
    <w:p>
      <w:pPr>
        <w:spacing w:after="0" w:line="2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color w:val="auto"/>
        </w:rPr>
        <w:t xml:space="preserve">2.9 </w:t>
      </w:r>
      <w:r>
        <w:rPr>
          <w:rFonts w:ascii="Arial" w:cs="Arial" w:eastAsia="Arial" w:hAnsi="Arial"/>
          <w:sz w:val="21"/>
          <w:szCs w:val="21"/>
          <w:u w:val="single" w:color="auto"/>
          <w:color w:val="auto"/>
        </w:rPr>
        <w:t>Good Reason</w:t>
      </w:r>
      <w:r>
        <w:rPr>
          <w:rFonts w:ascii="Arial" w:cs="Arial" w:eastAsia="Arial" w:hAnsi="Arial"/>
          <w:sz w:val="21"/>
          <w:szCs w:val="21"/>
          <w:color w:val="auto"/>
        </w:rPr>
        <w:t>. For purposes of this Agreement, “Good Reason” shall mean the Executive terminated his/her</w:t>
      </w:r>
      <w:r>
        <w:rPr>
          <w:rFonts w:ascii="Arial" w:cs="Arial" w:eastAsia="Arial" w:hAnsi="Arial"/>
          <w:sz w:val="18"/>
          <w:szCs w:val="18"/>
          <w:color w:val="auto"/>
        </w:rPr>
        <w:t xml:space="preserve"> </w:t>
      </w:r>
      <w:r>
        <w:rPr>
          <w:rFonts w:ascii="Arial" w:cs="Arial" w:eastAsia="Arial" w:hAnsi="Arial"/>
          <w:sz w:val="21"/>
          <w:szCs w:val="21"/>
          <w:color w:val="auto"/>
        </w:rPr>
        <w:t>employment with the Company and its subsidiaries because, during the Covered Period, one or more of the following conditions arose and the Executive notified the Company of such condition within ninety (90) days of its occurrence and the Company did not remedy such condition within thirty (30) days:</w:t>
      </w:r>
    </w:p>
    <w:p>
      <w:pPr>
        <w:spacing w:after="0" w:line="25" w:lineRule="exact"/>
        <w:rPr>
          <w:sz w:val="20"/>
          <w:szCs w:val="20"/>
          <w:color w:val="auto"/>
        </w:rPr>
      </w:pPr>
    </w:p>
    <w:p>
      <w:pPr>
        <w:jc w:val="both"/>
        <w:ind w:left="60" w:firstLine="1298"/>
        <w:spacing w:after="0" w:line="227" w:lineRule="auto"/>
        <w:tabs>
          <w:tab w:leader="none" w:pos="2075" w:val="left"/>
        </w:tabs>
        <w:numPr>
          <w:ilvl w:val="0"/>
          <w:numId w:val="94"/>
        </w:numPr>
        <w:rPr>
          <w:rFonts w:ascii="Arial" w:cs="Arial" w:eastAsia="Arial" w:hAnsi="Arial"/>
          <w:sz w:val="18"/>
          <w:szCs w:val="18"/>
          <w:color w:val="auto"/>
        </w:rPr>
      </w:pPr>
      <w:r>
        <w:rPr>
          <w:rFonts w:ascii="Arial" w:cs="Arial" w:eastAsia="Arial" w:hAnsi="Arial"/>
          <w:sz w:val="22"/>
          <w:szCs w:val="22"/>
          <w:color w:val="auto"/>
        </w:rPr>
        <w:t>a material diminution in the Executive’s authority, duties, or responsibilities (including reporting responsibilities) which, in the Executive’s reasonable judgment, represents an adverse change from Executive’s status, title, position or responsibilities as in effect immediately prior thereto;</w:t>
      </w:r>
    </w:p>
    <w:p>
      <w:pPr>
        <w:spacing w:after="0" w:line="24" w:lineRule="exact"/>
        <w:rPr>
          <w:rFonts w:ascii="Arial" w:cs="Arial" w:eastAsia="Arial" w:hAnsi="Arial"/>
          <w:sz w:val="18"/>
          <w:szCs w:val="18"/>
          <w:color w:val="auto"/>
        </w:rPr>
      </w:pPr>
    </w:p>
    <w:p>
      <w:pPr>
        <w:jc w:val="both"/>
        <w:ind w:left="60" w:firstLine="1298"/>
        <w:spacing w:after="0" w:line="238" w:lineRule="auto"/>
        <w:tabs>
          <w:tab w:leader="none" w:pos="2085" w:val="left"/>
        </w:tabs>
        <w:numPr>
          <w:ilvl w:val="0"/>
          <w:numId w:val="94"/>
        </w:numPr>
        <w:rPr>
          <w:rFonts w:ascii="Arial" w:cs="Arial" w:eastAsia="Arial" w:hAnsi="Arial"/>
          <w:sz w:val="17"/>
          <w:szCs w:val="17"/>
          <w:color w:val="auto"/>
        </w:rPr>
      </w:pPr>
      <w:r>
        <w:rPr>
          <w:rFonts w:ascii="Arial" w:cs="Arial" w:eastAsia="Arial" w:hAnsi="Arial"/>
          <w:sz w:val="21"/>
          <w:szCs w:val="21"/>
          <w:color w:val="auto"/>
        </w:rPr>
        <w:t>the Company’s requiring Executive to be based more than 50 miles from the primary workplace where Executive is based immediately prior to the Change in Control, except for reasonably required travel on the Company’s business which is not greater than such travel requirements prior to the Change in Control;</w:t>
      </w:r>
    </w:p>
    <w:p>
      <w:pPr>
        <w:spacing w:after="0" w:line="24" w:lineRule="exact"/>
        <w:rPr>
          <w:rFonts w:ascii="Arial" w:cs="Arial" w:eastAsia="Arial" w:hAnsi="Arial"/>
          <w:sz w:val="17"/>
          <w:szCs w:val="17"/>
          <w:color w:val="auto"/>
        </w:rPr>
      </w:pPr>
    </w:p>
    <w:p>
      <w:pPr>
        <w:ind w:left="60" w:firstLine="1298"/>
        <w:spacing w:after="0" w:line="239" w:lineRule="auto"/>
        <w:tabs>
          <w:tab w:leader="none" w:pos="2075" w:val="left"/>
        </w:tabs>
        <w:numPr>
          <w:ilvl w:val="0"/>
          <w:numId w:val="94"/>
        </w:numPr>
        <w:rPr>
          <w:rFonts w:ascii="Arial" w:cs="Arial" w:eastAsia="Arial" w:hAnsi="Arial"/>
          <w:sz w:val="18"/>
          <w:szCs w:val="18"/>
          <w:color w:val="auto"/>
        </w:rPr>
      </w:pPr>
      <w:r>
        <w:rPr>
          <w:rFonts w:ascii="Arial" w:cs="Arial" w:eastAsia="Arial" w:hAnsi="Arial"/>
          <w:sz w:val="22"/>
          <w:szCs w:val="22"/>
          <w:color w:val="auto"/>
        </w:rPr>
        <w:t>more than a ten percent (10%) reduction, which the parties agree is a material reduction, in Executive’s base salary below the level in effect immediately prior to the Change in Control; or</w:t>
      </w:r>
    </w:p>
    <w:p>
      <w:pPr>
        <w:spacing w:after="0" w:line="22" w:lineRule="exact"/>
        <w:rPr>
          <w:rFonts w:ascii="Arial" w:cs="Arial" w:eastAsia="Arial" w:hAnsi="Arial"/>
          <w:sz w:val="18"/>
          <w:szCs w:val="18"/>
          <w:color w:val="auto"/>
        </w:rPr>
      </w:pPr>
    </w:p>
    <w:p>
      <w:pPr>
        <w:ind w:left="2080" w:hanging="722"/>
        <w:spacing w:after="0"/>
        <w:tabs>
          <w:tab w:leader="none" w:pos="2080" w:val="left"/>
        </w:tabs>
        <w:numPr>
          <w:ilvl w:val="0"/>
          <w:numId w:val="94"/>
        </w:numPr>
        <w:rPr>
          <w:rFonts w:ascii="Arial" w:cs="Arial" w:eastAsia="Arial" w:hAnsi="Arial"/>
          <w:sz w:val="18"/>
          <w:szCs w:val="18"/>
          <w:color w:val="auto"/>
        </w:rPr>
      </w:pPr>
      <w:r>
        <w:rPr>
          <w:rFonts w:ascii="Arial" w:cs="Arial" w:eastAsia="Arial" w:hAnsi="Arial"/>
          <w:sz w:val="22"/>
          <w:szCs w:val="22"/>
          <w:color w:val="auto"/>
        </w:rPr>
        <w:t>any material breach by the Company of any provision of this Agreement.</w:t>
      </w:r>
    </w:p>
    <w:p>
      <w:pPr>
        <w:spacing w:after="0" w:line="85" w:lineRule="exact"/>
        <w:rPr>
          <w:sz w:val="20"/>
          <w:szCs w:val="20"/>
          <w:color w:val="auto"/>
        </w:rPr>
      </w:pPr>
    </w:p>
    <w:p>
      <w:pPr>
        <w:jc w:val="both"/>
        <w:ind w:left="60"/>
        <w:spacing w:after="0" w:line="253" w:lineRule="auto"/>
        <w:rPr>
          <w:sz w:val="20"/>
          <w:szCs w:val="20"/>
          <w:color w:val="auto"/>
        </w:rPr>
      </w:pPr>
      <w:r>
        <w:rPr>
          <w:rFonts w:ascii="Arial" w:cs="Arial" w:eastAsia="Arial" w:hAnsi="Arial"/>
          <w:sz w:val="22"/>
          <w:szCs w:val="22"/>
          <w:color w:val="auto"/>
        </w:rPr>
        <w:t>Any event or condition described in Section 2.9 which occurs during the Covered Period and which the Executive reasonably demonstrates was at the request of a third party who has indicated an intention or taken steps reasonably calculated to effect a Change in Control (a “Third Party”), shall constitute Good</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8" w:right="339" w:bottom="1440" w:gutter="0" w:footer="0" w:header="0"/>
        </w:sectPr>
      </w:pPr>
    </w:p>
    <w:bookmarkStart w:id="142" w:name="page143"/>
    <w:bookmarkEnd w:id="142"/>
    <w:p>
      <w:pPr>
        <w:ind w:left="9680"/>
        <w:spacing w:after="0"/>
        <w:rPr>
          <w:sz w:val="20"/>
          <w:szCs w:val="20"/>
          <w:color w:val="auto"/>
        </w:rPr>
      </w:pPr>
      <w:r>
        <w:rPr>
          <w:rFonts w:ascii="Arial" w:cs="Arial" w:eastAsia="Arial" w:hAnsi="Arial"/>
          <w:sz w:val="17"/>
          <w:szCs w:val="17"/>
          <w:b w:val="1"/>
          <w:bCs w:val="1"/>
          <w:color w:val="auto"/>
        </w:rPr>
        <w:t>Exhibit 10(iii)A(87)</w:t>
      </w:r>
    </w:p>
    <w:p>
      <w:pPr>
        <w:spacing w:after="0" w:line="332" w:lineRule="exact"/>
        <w:rPr>
          <w:sz w:val="20"/>
          <w:szCs w:val="20"/>
          <w:color w:val="auto"/>
        </w:rPr>
      </w:pPr>
    </w:p>
    <w:p>
      <w:pPr>
        <w:ind w:left="60" w:right="20"/>
        <w:spacing w:after="0" w:line="263" w:lineRule="auto"/>
        <w:rPr>
          <w:sz w:val="20"/>
          <w:szCs w:val="20"/>
          <w:color w:val="auto"/>
        </w:rPr>
      </w:pPr>
      <w:r>
        <w:rPr>
          <w:rFonts w:ascii="Arial" w:cs="Arial" w:eastAsia="Arial" w:hAnsi="Arial"/>
          <w:sz w:val="22"/>
          <w:szCs w:val="22"/>
          <w:color w:val="auto"/>
        </w:rPr>
        <w:t>Reason for purposes of this Agreement. The Executive’s right to terminate Executive’s employment pursuant to this Section 2.9 shall not be affected by Executive’s incapacity due to physical or mental illness.</w:t>
      </w:r>
    </w:p>
    <w:p>
      <w:pPr>
        <w:spacing w:after="0" w:line="229" w:lineRule="exact"/>
        <w:rPr>
          <w:sz w:val="20"/>
          <w:szCs w:val="20"/>
          <w:color w:val="auto"/>
        </w:rPr>
      </w:pPr>
    </w:p>
    <w:p>
      <w:pPr>
        <w:jc w:val="both"/>
        <w:ind w:left="660" w:firstLine="648"/>
        <w:spacing w:after="0"/>
        <w:rPr>
          <w:sz w:val="20"/>
          <w:szCs w:val="20"/>
          <w:color w:val="auto"/>
        </w:rPr>
      </w:pPr>
      <w:r>
        <w:rPr>
          <w:rFonts w:ascii="Arial" w:cs="Arial" w:eastAsia="Arial" w:hAnsi="Arial"/>
          <w:sz w:val="17"/>
          <w:szCs w:val="17"/>
          <w:color w:val="auto"/>
        </w:rPr>
        <w:t xml:space="preserve">2.10 </w:t>
      </w:r>
      <w:r>
        <w:rPr>
          <w:rFonts w:ascii="Arial" w:cs="Arial" w:eastAsia="Arial" w:hAnsi="Arial"/>
          <w:sz w:val="20"/>
          <w:szCs w:val="20"/>
          <w:u w:val="single" w:color="auto"/>
          <w:color w:val="auto"/>
        </w:rPr>
        <w:t>Inventions.</w:t>
      </w:r>
      <w:r>
        <w:rPr>
          <w:rFonts w:ascii="Arial" w:cs="Arial" w:eastAsia="Arial" w:hAnsi="Arial"/>
          <w:sz w:val="17"/>
          <w:szCs w:val="17"/>
          <w:color w:val="auto"/>
        </w:rPr>
        <w:t xml:space="preserve"> </w:t>
      </w:r>
      <w:r>
        <w:rPr>
          <w:rFonts w:ascii="Arial" w:cs="Arial" w:eastAsia="Arial" w:hAnsi="Arial"/>
          <w:sz w:val="20"/>
          <w:szCs w:val="20"/>
          <w:color w:val="auto"/>
        </w:rPr>
        <w:t>For purposes of this Agreement, “Inventions” means contributions, discoveries,</w:t>
      </w:r>
      <w:r>
        <w:rPr>
          <w:rFonts w:ascii="Arial" w:cs="Arial" w:eastAsia="Arial" w:hAnsi="Arial"/>
          <w:sz w:val="17"/>
          <w:szCs w:val="17"/>
          <w:color w:val="auto"/>
        </w:rPr>
        <w:t xml:space="preserve"> </w:t>
      </w:r>
      <w:r>
        <w:rPr>
          <w:rFonts w:ascii="Arial" w:cs="Arial" w:eastAsia="Arial" w:hAnsi="Arial"/>
          <w:sz w:val="20"/>
          <w:szCs w:val="20"/>
          <w:color w:val="auto"/>
        </w:rPr>
        <w:t>improvements and ideas and works of authorship, whether or not patentable or copyrightable, and: (i) which relate directly to the business of the Company, or (ii) which result from any work performed by Executive or by Executive’s fellow employees for the Company, or (iii) for which equipment, supplies, facilities, Confidential Information or Trade Secrets of the Company or its affiliates are used, or (iv) which is developed on the Company’s time.</w:t>
      </w:r>
    </w:p>
    <w:p>
      <w:pPr>
        <w:spacing w:after="0" w:line="2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21"/>
          <w:szCs w:val="21"/>
          <w:u w:val="single" w:color="auto"/>
          <w:color w:val="auto"/>
        </w:rPr>
        <w:t>Material Contact.</w:t>
      </w:r>
      <w:r>
        <w:rPr>
          <w:rFonts w:ascii="Arial" w:cs="Arial" w:eastAsia="Arial" w:hAnsi="Arial"/>
          <w:sz w:val="18"/>
          <w:szCs w:val="18"/>
          <w:color w:val="auto"/>
        </w:rPr>
        <w:t xml:space="preserve"> </w:t>
      </w:r>
      <w:r>
        <w:rPr>
          <w:rFonts w:ascii="Arial" w:cs="Arial" w:eastAsia="Arial" w:hAnsi="Arial"/>
          <w:sz w:val="21"/>
          <w:szCs w:val="21"/>
          <w:color w:val="auto"/>
        </w:rPr>
        <w:t>For purposes of this Agreement, “Material Contact” shall have the meaning set forth in</w:t>
      </w:r>
      <w:r>
        <w:rPr>
          <w:rFonts w:ascii="Arial" w:cs="Arial" w:eastAsia="Arial" w:hAnsi="Arial"/>
          <w:sz w:val="18"/>
          <w:szCs w:val="18"/>
          <w:color w:val="auto"/>
        </w:rPr>
        <w:t xml:space="preserve"> </w:t>
      </w:r>
      <w:r>
        <w:rPr>
          <w:rFonts w:ascii="Arial" w:cs="Arial" w:eastAsia="Arial" w:hAnsi="Arial"/>
          <w:sz w:val="21"/>
          <w:szCs w:val="21"/>
          <w:color w:val="auto"/>
        </w:rPr>
        <w:t>O.C.G.A. § 13-8-51(10), which includes contact between an employee and each customer or potential customer: with whom or which the Executive dealt on behalf of the Company; whose dealings with the Company were coordinated or supervised by the Executive; about whom the Executive obtained Confidential Information in the ordinary course of business as a result of Executive’s association with the Company; or who receives products or services authorized by the Company, the sale or provision of which results of resulted in compensation, commissions, or earnings for the Executive within two years prior to the Executive’s Termination Date.</w:t>
      </w:r>
    </w:p>
    <w:p>
      <w:pPr>
        <w:spacing w:after="0" w:line="2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21"/>
          <w:szCs w:val="21"/>
          <w:u w:val="single" w:color="auto"/>
          <w:color w:val="auto"/>
        </w:rPr>
        <w:t>Sales Agent.</w:t>
      </w:r>
      <w:r>
        <w:rPr>
          <w:rFonts w:ascii="Arial" w:cs="Arial" w:eastAsia="Arial" w:hAnsi="Arial"/>
          <w:sz w:val="18"/>
          <w:szCs w:val="18"/>
          <w:color w:val="auto"/>
        </w:rPr>
        <w:t xml:space="preserve"> </w:t>
      </w:r>
      <w:r>
        <w:rPr>
          <w:rFonts w:ascii="Arial" w:cs="Arial" w:eastAsia="Arial" w:hAnsi="Arial"/>
          <w:sz w:val="21"/>
          <w:szCs w:val="21"/>
          <w:color w:val="auto"/>
        </w:rPr>
        <w:t>For purposes of this Agreement, “Sales Agent” is any third-party agency, and/or its</w:t>
      </w:r>
      <w:r>
        <w:rPr>
          <w:rFonts w:ascii="Arial" w:cs="Arial" w:eastAsia="Arial" w:hAnsi="Arial"/>
          <w:sz w:val="18"/>
          <w:szCs w:val="18"/>
          <w:color w:val="auto"/>
        </w:rPr>
        <w:t xml:space="preserve"> </w:t>
      </w:r>
      <w:r>
        <w:rPr>
          <w:rFonts w:ascii="Arial" w:cs="Arial" w:eastAsia="Arial" w:hAnsi="Arial"/>
          <w:sz w:val="21"/>
          <w:szCs w:val="21"/>
          <w:color w:val="auto"/>
        </w:rPr>
        <w:t>representatives, with which or whom the Company has contracted for the purpose of facilitating the sale of the Company’s products.</w:t>
      </w:r>
    </w:p>
    <w:p>
      <w:pPr>
        <w:spacing w:after="0" w:line="2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21"/>
          <w:szCs w:val="21"/>
          <w:u w:val="single" w:color="auto"/>
          <w:color w:val="auto"/>
        </w:rPr>
        <w:t>Termination Date.</w:t>
      </w:r>
      <w:r>
        <w:rPr>
          <w:rFonts w:ascii="Arial" w:cs="Arial" w:eastAsia="Arial" w:hAnsi="Arial"/>
          <w:sz w:val="18"/>
          <w:szCs w:val="18"/>
          <w:color w:val="auto"/>
        </w:rPr>
        <w:t xml:space="preserve"> </w:t>
      </w:r>
      <w:r>
        <w:rPr>
          <w:rFonts w:ascii="Arial" w:cs="Arial" w:eastAsia="Arial" w:hAnsi="Arial"/>
          <w:sz w:val="21"/>
          <w:szCs w:val="21"/>
          <w:color w:val="auto"/>
        </w:rPr>
        <w:t>For purposes of this Agreement, “Termination Date” shall mean the date the Executive</w:t>
      </w:r>
      <w:r>
        <w:rPr>
          <w:rFonts w:ascii="Arial" w:cs="Arial" w:eastAsia="Arial" w:hAnsi="Arial"/>
          <w:sz w:val="18"/>
          <w:szCs w:val="18"/>
          <w:color w:val="auto"/>
        </w:rPr>
        <w:t xml:space="preserve"> </w:t>
      </w:r>
      <w:r>
        <w:rPr>
          <w:rFonts w:ascii="Arial" w:cs="Arial" w:eastAsia="Arial" w:hAnsi="Arial"/>
          <w:sz w:val="21"/>
          <w:szCs w:val="21"/>
          <w:color w:val="auto"/>
        </w:rPr>
        <w:t>ceases employment with the Company and its subsidiaries and has incurred a “Separation from Service” as such is defined under Treas. Reg. § 1.409A-1(h) which means the termination of the Executive's employment with the Company for reasons other than death or Disability. Whether a Separation from Service takes place is determined based on the facts and circumstances surrounding the termination of the Executive's employment and whether the Company and the Executive intended for the Executive to provide significant services for the Company following such termination. A change in the Executive's employment status will not be considered a Separation from Service if:</w:t>
      </w:r>
    </w:p>
    <w:p>
      <w:pPr>
        <w:spacing w:after="0" w:line="29" w:lineRule="exact"/>
        <w:rPr>
          <w:sz w:val="20"/>
          <w:szCs w:val="20"/>
          <w:color w:val="auto"/>
        </w:rPr>
      </w:pPr>
    </w:p>
    <w:p>
      <w:pPr>
        <w:jc w:val="both"/>
        <w:ind w:firstLine="1304"/>
        <w:spacing w:after="0" w:line="218" w:lineRule="auto"/>
        <w:tabs>
          <w:tab w:leader="none" w:pos="2069" w:val="left"/>
        </w:tabs>
        <w:numPr>
          <w:ilvl w:val="0"/>
          <w:numId w:val="95"/>
        </w:numPr>
        <w:rPr>
          <w:rFonts w:ascii="Arial" w:cs="Arial" w:eastAsia="Arial" w:hAnsi="Arial"/>
          <w:sz w:val="18"/>
          <w:szCs w:val="18"/>
          <w:color w:val="auto"/>
        </w:rPr>
      </w:pPr>
      <w:r>
        <w:rPr>
          <w:rFonts w:ascii="Arial" w:cs="Arial" w:eastAsia="Arial" w:hAnsi="Arial"/>
          <w:sz w:val="22"/>
          <w:szCs w:val="22"/>
          <w:color w:val="auto"/>
        </w:rPr>
        <w:t>the Executive continues to provide services as an employee of the Company at an annual rate that is twenty percent (20%) or more of the services rendered, on average, during the immediately preceding three full calendar years of employment (or, if employed less than three years, such lesser period) and the annual remuneration for such services is twenty percent (20%) or more of the average annual remuneration earned during the final three full calendar years of employment (or, if less, such lesser period), or</w:t>
      </w:r>
    </w:p>
    <w:p>
      <w:pPr>
        <w:spacing w:after="0" w:line="25" w:lineRule="exact"/>
        <w:rPr>
          <w:rFonts w:ascii="Arial" w:cs="Arial" w:eastAsia="Arial" w:hAnsi="Arial"/>
          <w:sz w:val="18"/>
          <w:szCs w:val="18"/>
          <w:color w:val="auto"/>
        </w:rPr>
      </w:pPr>
    </w:p>
    <w:p>
      <w:pPr>
        <w:jc w:val="both"/>
        <w:ind w:firstLine="1304"/>
        <w:spacing w:after="0" w:line="228" w:lineRule="auto"/>
        <w:tabs>
          <w:tab w:leader="none" w:pos="2079" w:val="left"/>
        </w:tabs>
        <w:numPr>
          <w:ilvl w:val="0"/>
          <w:numId w:val="95"/>
        </w:numPr>
        <w:rPr>
          <w:rFonts w:ascii="Arial" w:cs="Arial" w:eastAsia="Arial" w:hAnsi="Arial"/>
          <w:sz w:val="17"/>
          <w:szCs w:val="17"/>
          <w:color w:val="auto"/>
        </w:rPr>
      </w:pPr>
      <w:r>
        <w:rPr>
          <w:rFonts w:ascii="Arial" w:cs="Arial" w:eastAsia="Arial" w:hAnsi="Arial"/>
          <w:sz w:val="21"/>
          <w:szCs w:val="21"/>
          <w:color w:val="auto"/>
        </w:rPr>
        <w:t>the Executive continues to provide services to the Company in a capacity other than as an employee of the Company at an annual rate that is fifty percent (50%) or more of the services rendered, on average, during the immediately preceding three full calendar years of employment (or if employed less than three years, such lesser period) and the annual remuneration for such services is fifty percent (50%) or more of the average annual remuneration earned during the final three full calendar years of employment (or if less, such lesser period).</w:t>
      </w:r>
    </w:p>
    <w:p>
      <w:pPr>
        <w:spacing w:after="0" w:line="5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purposes of determining whether a termination of employment has occurred, a reference to the Company shall also be deemed a reference to any affiliate thereof within the contemplation of Code Sections 414(b) and 414(c).</w:t>
      </w:r>
    </w:p>
    <w:p>
      <w:pPr>
        <w:spacing w:after="0" w:line="22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21"/>
          <w:szCs w:val="21"/>
          <w:u w:val="single" w:color="auto"/>
          <w:color w:val="auto"/>
        </w:rPr>
        <w:t>Territory.</w:t>
      </w:r>
      <w:r>
        <w:rPr>
          <w:rFonts w:ascii="Arial" w:cs="Arial" w:eastAsia="Arial" w:hAnsi="Arial"/>
          <w:sz w:val="18"/>
          <w:szCs w:val="18"/>
          <w:color w:val="auto"/>
        </w:rPr>
        <w:t xml:space="preserve"> </w:t>
      </w:r>
      <w:r>
        <w:rPr>
          <w:rFonts w:ascii="Arial" w:cs="Arial" w:eastAsia="Arial" w:hAnsi="Arial"/>
          <w:sz w:val="21"/>
          <w:szCs w:val="21"/>
          <w:color w:val="auto"/>
        </w:rPr>
        <w:t>For purposes of this Agreement, “Territory” means the United States. Executive acknowledges that</w:t>
      </w:r>
      <w:r>
        <w:rPr>
          <w:rFonts w:ascii="Arial" w:cs="Arial" w:eastAsia="Arial" w:hAnsi="Arial"/>
          <w:sz w:val="18"/>
          <w:szCs w:val="18"/>
          <w:color w:val="auto"/>
        </w:rPr>
        <w:t xml:space="preserve"> </w:t>
      </w:r>
      <w:r>
        <w:rPr>
          <w:rFonts w:ascii="Arial" w:cs="Arial" w:eastAsia="Arial" w:hAnsi="Arial"/>
          <w:sz w:val="21"/>
          <w:szCs w:val="21"/>
          <w:color w:val="auto"/>
        </w:rPr>
        <w:t>the Company is licensed to do business and in fact does business in all fifty states in the United States. Executive further acknowledges that the services he has performed and may continue to</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8" w:right="339" w:bottom="1440" w:gutter="0" w:footer="0" w:header="0"/>
        </w:sectPr>
      </w:pPr>
    </w:p>
    <w:bookmarkStart w:id="143" w:name="page144"/>
    <w:bookmarkEnd w:id="143"/>
    <w:p>
      <w:pPr>
        <w:ind w:left="9680"/>
        <w:spacing w:after="0"/>
        <w:rPr>
          <w:sz w:val="20"/>
          <w:szCs w:val="20"/>
          <w:color w:val="auto"/>
        </w:rPr>
      </w:pPr>
      <w:r>
        <w:rPr>
          <w:rFonts w:ascii="Arial" w:cs="Arial" w:eastAsia="Arial" w:hAnsi="Arial"/>
          <w:sz w:val="17"/>
          <w:szCs w:val="17"/>
          <w:b w:val="1"/>
          <w:bCs w:val="1"/>
          <w:color w:val="auto"/>
        </w:rPr>
        <w:t>Exhibit 10(iii)A(87)</w:t>
      </w:r>
    </w:p>
    <w:p>
      <w:pPr>
        <w:spacing w:after="0" w:line="305"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perform on behalf of the Company or its affiliates, including Executive Services, are at a senior managerial level and are not limited in their territorial scope to any particular city, state, or region, but instead affect the Company's activity within the entire United States. Specifically, Executive provides Executive Services on the Company's behalf, travels throughout the United States to attend Company meetings, visit Company factories and distribution centers, meet with Company agents and distributors, and attend trade shows. Accordingly, Executive agrees that these restrictions are reasonable and necessary to protect the Confidential Information, trade secrets, business relationships, and goodwill of the Company.</w:t>
      </w:r>
    </w:p>
    <w:p>
      <w:pPr>
        <w:spacing w:after="0" w:line="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21"/>
          <w:szCs w:val="21"/>
          <w:u w:val="single" w:color="auto"/>
          <w:color w:val="auto"/>
        </w:rPr>
        <w:t>Trade Secrets.</w:t>
      </w:r>
      <w:r>
        <w:rPr>
          <w:rFonts w:ascii="Arial" w:cs="Arial" w:eastAsia="Arial" w:hAnsi="Arial"/>
          <w:sz w:val="18"/>
          <w:szCs w:val="18"/>
          <w:color w:val="auto"/>
        </w:rPr>
        <w:t xml:space="preserve"> </w:t>
      </w:r>
      <w:r>
        <w:rPr>
          <w:rFonts w:ascii="Arial" w:cs="Arial" w:eastAsia="Arial" w:hAnsi="Arial"/>
          <w:sz w:val="21"/>
          <w:szCs w:val="21"/>
          <w:color w:val="auto"/>
        </w:rPr>
        <w:t>For purposes of this Agreement, “</w:t>
      </w:r>
      <w:r>
        <w:rPr>
          <w:rFonts w:ascii="Arial" w:cs="Arial" w:eastAsia="Arial" w:hAnsi="Arial"/>
          <w:sz w:val="21"/>
          <w:szCs w:val="21"/>
          <w:u w:val="single" w:color="auto"/>
          <w:color w:val="auto"/>
        </w:rPr>
        <w:t>Trade Secrets</w:t>
      </w:r>
      <w:r>
        <w:rPr>
          <w:rFonts w:ascii="Arial" w:cs="Arial" w:eastAsia="Arial" w:hAnsi="Arial"/>
          <w:sz w:val="21"/>
          <w:szCs w:val="21"/>
          <w:color w:val="auto"/>
        </w:rPr>
        <w:t>” means Confidential Information constituting a</w:t>
      </w:r>
      <w:r>
        <w:rPr>
          <w:rFonts w:ascii="Arial" w:cs="Arial" w:eastAsia="Arial" w:hAnsi="Arial"/>
          <w:sz w:val="18"/>
          <w:szCs w:val="18"/>
          <w:color w:val="auto"/>
        </w:rPr>
        <w:t xml:space="preserve"> </w:t>
      </w:r>
      <w:r>
        <w:rPr>
          <w:rFonts w:ascii="Arial" w:cs="Arial" w:eastAsia="Arial" w:hAnsi="Arial"/>
          <w:sz w:val="21"/>
          <w:szCs w:val="21"/>
          <w:color w:val="auto"/>
        </w:rPr>
        <w:t xml:space="preserve">trade secret under Georgia Law, O.C.G.A. §§ 10-1-760, </w:t>
      </w:r>
      <w:r>
        <w:rPr>
          <w:rFonts w:ascii="Arial" w:cs="Arial" w:eastAsia="Arial" w:hAnsi="Arial"/>
          <w:sz w:val="21"/>
          <w:szCs w:val="21"/>
          <w:i w:val="1"/>
          <w:iCs w:val="1"/>
          <w:color w:val="auto"/>
        </w:rPr>
        <w:t>et seq</w:t>
      </w:r>
      <w:r>
        <w:rPr>
          <w:rFonts w:ascii="Arial" w:cs="Arial" w:eastAsia="Arial" w:hAnsi="Arial"/>
          <w:sz w:val="21"/>
          <w:szCs w:val="21"/>
          <w:color w:val="auto"/>
        </w:rPr>
        <w:t>.</w:t>
      </w:r>
    </w:p>
    <w:p>
      <w:pPr>
        <w:spacing w:after="0" w:line="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21"/>
          <w:szCs w:val="21"/>
          <w:u w:val="single" w:color="auto"/>
          <w:color w:val="auto"/>
        </w:rPr>
        <w:t>1934 Act</w:t>
      </w:r>
      <w:r>
        <w:rPr>
          <w:rFonts w:ascii="Arial" w:cs="Arial" w:eastAsia="Arial" w:hAnsi="Arial"/>
          <w:sz w:val="21"/>
          <w:szCs w:val="21"/>
          <w:color w:val="auto"/>
        </w:rPr>
        <w:t>. For purposes of this Agreement, “1934 Act” means the Securities Exchange Act of 1934, as</w:t>
      </w:r>
      <w:r>
        <w:rPr>
          <w:rFonts w:ascii="Arial" w:cs="Arial" w:eastAsia="Arial" w:hAnsi="Arial"/>
          <w:sz w:val="18"/>
          <w:szCs w:val="18"/>
          <w:color w:val="auto"/>
        </w:rPr>
        <w:t xml:space="preserve"> </w:t>
      </w:r>
      <w:r>
        <w:rPr>
          <w:rFonts w:ascii="Arial" w:cs="Arial" w:eastAsia="Arial" w:hAnsi="Arial"/>
          <w:sz w:val="21"/>
          <w:szCs w:val="21"/>
          <w:color w:val="auto"/>
        </w:rPr>
        <w:t>amended.</w:t>
      </w:r>
    </w:p>
    <w:p>
      <w:pPr>
        <w:spacing w:after="0" w:line="3" w:lineRule="exact"/>
        <w:rPr>
          <w:sz w:val="20"/>
          <w:szCs w:val="20"/>
          <w:color w:val="auto"/>
        </w:rPr>
      </w:pPr>
    </w:p>
    <w:p>
      <w:pPr>
        <w:ind w:left="800" w:hanging="792"/>
        <w:spacing w:after="0"/>
        <w:tabs>
          <w:tab w:leader="none" w:pos="800" w:val="left"/>
        </w:tabs>
        <w:numPr>
          <w:ilvl w:val="0"/>
          <w:numId w:val="96"/>
        </w:numPr>
        <w:rPr>
          <w:rFonts w:ascii="Arial" w:cs="Arial" w:eastAsia="Arial" w:hAnsi="Arial"/>
          <w:sz w:val="18"/>
          <w:szCs w:val="18"/>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5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color w:val="auto"/>
        </w:rPr>
        <w:t xml:space="preserve">3.1 </w:t>
      </w:r>
      <w:r>
        <w:rPr>
          <w:rFonts w:ascii="Arial" w:cs="Arial" w:eastAsia="Arial" w:hAnsi="Arial"/>
          <w:sz w:val="21"/>
          <w:szCs w:val="21"/>
          <w:color w:val="auto"/>
        </w:rPr>
        <w:t>If, during the term of this Agreement, the Executive’s employment with the Company shall be terminated</w:t>
      </w:r>
      <w:r>
        <w:rPr>
          <w:rFonts w:ascii="Arial" w:cs="Arial" w:eastAsia="Arial" w:hAnsi="Arial"/>
          <w:sz w:val="18"/>
          <w:szCs w:val="18"/>
          <w:color w:val="auto"/>
        </w:rPr>
        <w:t xml:space="preserve"> </w:t>
      </w:r>
      <w:r>
        <w:rPr>
          <w:rFonts w:ascii="Arial" w:cs="Arial" w:eastAsia="Arial" w:hAnsi="Arial"/>
          <w:sz w:val="21"/>
          <w:szCs w:val="21"/>
          <w:color w:val="auto"/>
        </w:rPr>
        <w:t>during the Covered Period, the Executive shall be entitled to the following compensation and benefits depending upon the circumstances of such termination (in addition to any compensation and benefits provided for under any of the Company’s employee benefit plans, policies and practices):</w:t>
      </w:r>
    </w:p>
    <w:p>
      <w:pPr>
        <w:spacing w:after="0" w:line="25" w:lineRule="exact"/>
        <w:rPr>
          <w:sz w:val="20"/>
          <w:szCs w:val="20"/>
          <w:color w:val="auto"/>
        </w:rPr>
      </w:pPr>
    </w:p>
    <w:p>
      <w:pPr>
        <w:jc w:val="both"/>
        <w:ind w:left="60" w:firstLine="1298"/>
        <w:spacing w:after="0" w:line="244" w:lineRule="auto"/>
        <w:tabs>
          <w:tab w:leader="none" w:pos="2075" w:val="left"/>
        </w:tabs>
        <w:numPr>
          <w:ilvl w:val="1"/>
          <w:numId w:val="97"/>
        </w:numPr>
        <w:rPr>
          <w:rFonts w:ascii="Arial" w:cs="Arial" w:eastAsia="Arial" w:hAnsi="Arial"/>
          <w:sz w:val="16"/>
          <w:szCs w:val="16"/>
          <w:color w:val="auto"/>
        </w:rPr>
      </w:pPr>
      <w:r>
        <w:rPr>
          <w:rFonts w:ascii="Arial" w:cs="Arial" w:eastAsia="Arial" w:hAnsi="Arial"/>
          <w:sz w:val="19"/>
          <w:szCs w:val="19"/>
          <w:color w:val="auto"/>
        </w:rPr>
        <w:t>If the Executive’s employment is terminated (1) by the Company for Cause, (2) due to Disability, (3) by reason of the Executive’s death, or (4) by the Executive other than for Good Reason, then the Company shall pay the Executive or his/her estate, as applicable, on the next regular payroll cycle following the Termination Date, all amounts earned or accrued through the Termination Date but not paid as of the Termination Date, including (i) base salary, (ii) reimbursement for reasonable and necessary expenses incurred by the Executive on behalf of the Company during the period ending on the Termination Date,</w:t>
      </w:r>
    </w:p>
    <w:p>
      <w:pPr>
        <w:jc w:val="both"/>
        <w:ind w:left="60" w:firstLine="2"/>
        <w:spacing w:after="0"/>
        <w:tabs>
          <w:tab w:leader="none" w:pos="461" w:val="left"/>
        </w:tabs>
        <w:numPr>
          <w:ilvl w:val="0"/>
          <w:numId w:val="98"/>
        </w:numPr>
        <w:rPr>
          <w:rFonts w:ascii="Arial" w:cs="Arial" w:eastAsia="Arial" w:hAnsi="Arial"/>
          <w:sz w:val="19"/>
          <w:szCs w:val="19"/>
          <w:color w:val="auto"/>
        </w:rPr>
      </w:pPr>
      <w:r>
        <w:rPr>
          <w:rFonts w:ascii="Arial" w:cs="Arial" w:eastAsia="Arial" w:hAnsi="Arial"/>
          <w:sz w:val="19"/>
          <w:szCs w:val="19"/>
          <w:color w:val="auto"/>
        </w:rPr>
        <w:t>vacation pay, and (iv) sick leave (collectively, “Accrued Compensation”). In addition to the foregoing, if the Executive’s employment is terminated by the Company for Disability or by reason of the Executive’s death, the Company shall pay to the Executive or his/her beneficiaries an amount equal to the “Pro Rata Bonus” (as hereinafter defined). The “Pro Rata Bonus” is an amount equal to the Bonus Amount (as hereinafter defined) multiplied by a fraction the numerator of which is the number of days in such fiscal year through the Termination Date and the denominator of which is 365. The term “Bonus Amount” shall mean the greater of (x) the most recent annual bonus paid or payable to the Executive, or, (y) the annual bonus payable at the 100% target level of performance for the fiscal year during which the Termination Date occurs, or, if greater, for the fiscal year during which a Change in Control occurred or (z) the average of the annual bonuses paid or payable during the three full fiscal years ended prior to the Termination Date or, if greater, the three full fiscal years ended prior to the Change in Control (or, in each case, such lesser period for which annual bonuses were paid or payable to the Executive). Executive’s entitlement to any other compensation or benefits shall be determined in accordance with the Company’s employee benefit plans and other applicable programs and practices then in effect. In the event Executive becomes entitled to the Pro Rata Bonus under this Section 3.1 and also to a bonus under the Company’s incentive plan in connection with a Change in Control, Executive shall be entitled to receive whichever bonus amount is greater and Executive shall not receive a duplicate bonus pursuant to such Sections.</w:t>
      </w:r>
    </w:p>
    <w:p>
      <w:pPr>
        <w:spacing w:after="0" w:line="244" w:lineRule="exact"/>
        <w:rPr>
          <w:rFonts w:ascii="Arial" w:cs="Arial" w:eastAsia="Arial" w:hAnsi="Arial"/>
          <w:sz w:val="19"/>
          <w:szCs w:val="19"/>
          <w:color w:val="auto"/>
        </w:rPr>
      </w:pPr>
    </w:p>
    <w:p>
      <w:pPr>
        <w:ind w:left="60" w:firstLine="1298"/>
        <w:spacing w:after="0" w:line="303" w:lineRule="auto"/>
        <w:tabs>
          <w:tab w:leader="none" w:pos="2085" w:val="left"/>
        </w:tabs>
        <w:numPr>
          <w:ilvl w:val="1"/>
          <w:numId w:val="98"/>
        </w:numPr>
        <w:rPr>
          <w:rFonts w:ascii="Arial" w:cs="Arial" w:eastAsia="Arial" w:hAnsi="Arial"/>
          <w:sz w:val="16"/>
          <w:szCs w:val="16"/>
          <w:color w:val="auto"/>
        </w:rPr>
      </w:pPr>
      <w:r>
        <w:rPr>
          <w:rFonts w:ascii="Arial" w:cs="Arial" w:eastAsia="Arial" w:hAnsi="Arial"/>
          <w:sz w:val="19"/>
          <w:szCs w:val="19"/>
          <w:color w:val="auto"/>
        </w:rPr>
        <w:t>If during the Covered Period, the Executive’s employment with the Company is terminated (1) by the Company other than for Cause, or (2) by the Executive for Good Reason, the Executive shall be entitled to the following:</w:t>
      </w:r>
    </w:p>
    <w:p>
      <w:pPr>
        <w:spacing w:after="0" w:line="1" w:lineRule="exact"/>
        <w:rPr>
          <w:rFonts w:ascii="Arial" w:cs="Arial" w:eastAsia="Arial" w:hAnsi="Arial"/>
          <w:sz w:val="16"/>
          <w:szCs w:val="16"/>
          <w:color w:val="auto"/>
        </w:rPr>
      </w:pPr>
    </w:p>
    <w:p>
      <w:pPr>
        <w:ind w:left="2380" w:hanging="428"/>
        <w:spacing w:after="0"/>
        <w:tabs>
          <w:tab w:leader="none" w:pos="2380" w:val="left"/>
        </w:tabs>
        <w:numPr>
          <w:ilvl w:val="2"/>
          <w:numId w:val="98"/>
        </w:numPr>
        <w:rPr>
          <w:rFonts w:ascii="Arial" w:cs="Arial" w:eastAsia="Arial" w:hAnsi="Arial"/>
          <w:sz w:val="21"/>
          <w:szCs w:val="21"/>
          <w:color w:val="auto"/>
        </w:rPr>
      </w:pPr>
      <w:r>
        <w:rPr>
          <w:rFonts w:ascii="Arial" w:cs="Arial" w:eastAsia="Arial" w:hAnsi="Arial"/>
          <w:sz w:val="21"/>
          <w:szCs w:val="21"/>
          <w:color w:val="auto"/>
        </w:rPr>
        <w:t>the Company shall pay the Executive all Accrued Compensation as set forth in Section 3.1(a);</w:t>
      </w:r>
    </w:p>
    <w:p>
      <w:pPr>
        <w:spacing w:after="0" w:line="325" w:lineRule="exact"/>
        <w:rPr>
          <w:rFonts w:ascii="Arial" w:cs="Arial" w:eastAsia="Arial" w:hAnsi="Arial"/>
          <w:sz w:val="21"/>
          <w:szCs w:val="21"/>
          <w:color w:val="auto"/>
        </w:rPr>
      </w:pPr>
    </w:p>
    <w:p>
      <w:pPr>
        <w:ind w:right="20" w:firstLine="1952"/>
        <w:spacing w:after="0" w:line="276" w:lineRule="auto"/>
        <w:tabs>
          <w:tab w:leader="none" w:pos="2443" w:val="left"/>
        </w:tabs>
        <w:numPr>
          <w:ilvl w:val="2"/>
          <w:numId w:val="98"/>
        </w:numPr>
        <w:rPr>
          <w:rFonts w:ascii="Arial" w:cs="Arial" w:eastAsia="Arial" w:hAnsi="Arial"/>
          <w:sz w:val="22"/>
          <w:szCs w:val="22"/>
          <w:color w:val="auto"/>
        </w:rPr>
      </w:pPr>
      <w:r>
        <w:rPr>
          <w:rFonts w:ascii="Arial" w:cs="Arial" w:eastAsia="Arial" w:hAnsi="Arial"/>
          <w:sz w:val="22"/>
          <w:szCs w:val="22"/>
          <w:color w:val="auto"/>
        </w:rPr>
        <w:t>the Company shall pay the Executive as severance pay and in lieu of any further compensation for periods subsequent to the Termination Date, a single payment in an amount (the “Severance</w:t>
      </w:r>
    </w:p>
    <w:p>
      <w:pPr>
        <w:spacing w:after="0" w:line="370"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18" w:right="339" w:bottom="1440" w:gutter="0" w:footer="0" w:header="0"/>
        </w:sectPr>
      </w:pPr>
    </w:p>
    <w:bookmarkStart w:id="144" w:name="page145"/>
    <w:bookmarkEnd w:id="144"/>
    <w:p>
      <w:pPr>
        <w:ind w:left="9680"/>
        <w:spacing w:after="0"/>
        <w:rPr>
          <w:sz w:val="20"/>
          <w:szCs w:val="20"/>
          <w:color w:val="auto"/>
        </w:rPr>
      </w:pPr>
      <w:r>
        <w:rPr>
          <w:rFonts w:ascii="Arial" w:cs="Arial" w:eastAsia="Arial" w:hAnsi="Arial"/>
          <w:sz w:val="17"/>
          <w:szCs w:val="17"/>
          <w:b w:val="1"/>
          <w:bCs w:val="1"/>
          <w:color w:val="auto"/>
        </w:rPr>
        <w:t>Exhibit 10(iii)A(87)</w:t>
      </w:r>
    </w:p>
    <w:p>
      <w:pPr>
        <w:spacing w:after="0" w:line="33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Amount”) in cash equal to one and one-half (1.5) times the sum of (A) the greater of the Executive’s base salary in effect on the Termination Date or at any time during the 90-day period prior to the Change in Control (“Base Salary”) and (B) the Bonus Amount;</w:t>
      </w:r>
    </w:p>
    <w:p>
      <w:pPr>
        <w:spacing w:after="0" w:line="266" w:lineRule="exact"/>
        <w:rPr>
          <w:sz w:val="20"/>
          <w:szCs w:val="20"/>
          <w:color w:val="auto"/>
        </w:rPr>
      </w:pPr>
    </w:p>
    <w:p>
      <w:pPr>
        <w:jc w:val="both"/>
        <w:ind w:firstLine="1952"/>
        <w:spacing w:after="0" w:line="297" w:lineRule="auto"/>
        <w:tabs>
          <w:tab w:leader="none" w:pos="2578" w:val="left"/>
        </w:tabs>
        <w:numPr>
          <w:ilvl w:val="1"/>
          <w:numId w:val="99"/>
        </w:numPr>
        <w:rPr>
          <w:rFonts w:ascii="Arial" w:cs="Arial" w:eastAsia="Arial" w:hAnsi="Arial"/>
          <w:sz w:val="19"/>
          <w:szCs w:val="19"/>
          <w:color w:val="auto"/>
        </w:rPr>
      </w:pPr>
      <w:r>
        <w:rPr>
          <w:rFonts w:ascii="Arial" w:cs="Arial" w:eastAsia="Arial" w:hAnsi="Arial"/>
          <w:sz w:val="19"/>
          <w:szCs w:val="19"/>
          <w:color w:val="auto"/>
        </w:rPr>
        <w:t>If Executive elects continuation coverage under the Company's group medical plan following termination of his/her employment, the Company will pay Executive an amount equal to the Company's subsidy toward the cost of medical coverage for similarly-situated active employees enrolled in the same coverage in which the Executive was enrolled at the time of the Termination Date (the "COBRA Subsidy"), as reduced by any applicable withholding. The Company shall pay the COBRA Subsidy until the earliest of (a) the date Executive qualifies under another employer-sponsored medical plan, (b) the Executive's 65th birthday, or (c) the expiration of COBRA continuation coverage.</w:t>
      </w:r>
    </w:p>
    <w:p>
      <w:pPr>
        <w:spacing w:after="0" w:line="227" w:lineRule="exact"/>
        <w:rPr>
          <w:rFonts w:ascii="Arial" w:cs="Arial" w:eastAsia="Arial" w:hAnsi="Arial"/>
          <w:sz w:val="19"/>
          <w:szCs w:val="19"/>
          <w:color w:val="auto"/>
        </w:rPr>
      </w:pPr>
    </w:p>
    <w:p>
      <w:pPr>
        <w:jc w:val="both"/>
        <w:ind w:firstLine="1952"/>
        <w:spacing w:after="0" w:line="252" w:lineRule="auto"/>
        <w:tabs>
          <w:tab w:leader="none" w:pos="2389" w:val="left"/>
        </w:tabs>
        <w:numPr>
          <w:ilvl w:val="1"/>
          <w:numId w:val="99"/>
        </w:numPr>
        <w:rPr>
          <w:rFonts w:ascii="Arial" w:cs="Arial" w:eastAsia="Arial" w:hAnsi="Arial"/>
          <w:sz w:val="21"/>
          <w:szCs w:val="21"/>
          <w:color w:val="auto"/>
        </w:rPr>
      </w:pPr>
      <w:r>
        <w:rPr>
          <w:rFonts w:ascii="Arial" w:cs="Arial" w:eastAsia="Arial" w:hAnsi="Arial"/>
          <w:sz w:val="21"/>
          <w:szCs w:val="21"/>
          <w:color w:val="auto"/>
        </w:rPr>
        <w:t>the Company shall pay in a single payment an amount in cash as if he had remained employed for an additional one and one-half (1.5) years (or until Executive’s 65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birthday, if earlier), which amount shall be equal to 1.5 times (A) the Executive's Base Salary; (B) the Executive's most recent Bonus Amount; and (C) the maximum amount of employee the Company contributions that could have been made on Executive’s behalf to the Acuity Brands, Inc. 401(k) Plan (assuming Executive participated in such plan at the maximum permissible contribution level) and the Acuity Brands, Inc. 2005 Supplemental Deferred Savings Plan (“SDSP”). For purposes of the SDSP, the Executive shall be credited with a contribution to the Supplemental Subaccount (but not the Matching Subaccount) for such one and one-half (1.5) year period (to the extent Executive is eligible under the SDSP for each such contribution), provided that the requirements of the SDSP that the Executive have a Year of Service for each year and be employed on the last day of the year shall not apply to the eligibility to receive such contributions; and</w:t>
      </w:r>
    </w:p>
    <w:p>
      <w:pPr>
        <w:spacing w:after="0" w:line="267" w:lineRule="exact"/>
        <w:rPr>
          <w:rFonts w:ascii="Arial" w:cs="Arial" w:eastAsia="Arial" w:hAnsi="Arial"/>
          <w:sz w:val="21"/>
          <w:szCs w:val="21"/>
          <w:color w:val="auto"/>
        </w:rPr>
      </w:pPr>
    </w:p>
    <w:p>
      <w:pPr>
        <w:jc w:val="both"/>
        <w:ind w:firstLine="1952"/>
        <w:spacing w:after="0" w:line="300" w:lineRule="auto"/>
        <w:tabs>
          <w:tab w:leader="none" w:pos="2416" w:val="left"/>
        </w:tabs>
        <w:numPr>
          <w:ilvl w:val="1"/>
          <w:numId w:val="99"/>
        </w:numPr>
        <w:rPr>
          <w:rFonts w:ascii="Arial" w:cs="Arial" w:eastAsia="Arial" w:hAnsi="Arial"/>
          <w:sz w:val="19"/>
          <w:szCs w:val="19"/>
          <w:color w:val="auto"/>
        </w:rPr>
      </w:pPr>
      <w:r>
        <w:rPr>
          <w:rFonts w:ascii="Arial" w:cs="Arial" w:eastAsia="Arial" w:hAnsi="Arial"/>
          <w:sz w:val="19"/>
          <w:szCs w:val="19"/>
          <w:color w:val="auto"/>
        </w:rPr>
        <w:t>the restrictions on any outstanding incentive awards (including restricted stock, restricted stock units and granted Performance Shares) granted to the Executive under the Company’s 2012 Omnibus Equity Incentive Plan or under any other long-term incentive plans or arrangements shall lapse and such incentive awards shall become one hundred percent (100%) vested, all stock options and stock appreciation rights granted to the Executive shall become immediately exercisable and shall become 100% vested, and Performance Units granted to Executive shall become 100% vested.</w:t>
      </w:r>
    </w:p>
    <w:p>
      <w:pPr>
        <w:spacing w:after="0" w:line="200" w:lineRule="exact"/>
        <w:rPr>
          <w:rFonts w:ascii="Arial" w:cs="Arial" w:eastAsia="Arial" w:hAnsi="Arial"/>
          <w:sz w:val="19"/>
          <w:szCs w:val="19"/>
          <w:color w:val="auto"/>
        </w:rPr>
      </w:pPr>
    </w:p>
    <w:p>
      <w:pPr>
        <w:jc w:val="both"/>
        <w:ind w:left="60" w:right="20" w:firstLine="1298"/>
        <w:spacing w:after="0" w:line="227" w:lineRule="auto"/>
        <w:tabs>
          <w:tab w:leader="none" w:pos="2075" w:val="left"/>
        </w:tabs>
        <w:numPr>
          <w:ilvl w:val="0"/>
          <w:numId w:val="100"/>
        </w:numPr>
        <w:rPr>
          <w:rFonts w:ascii="Arial" w:cs="Arial" w:eastAsia="Arial" w:hAnsi="Arial"/>
          <w:sz w:val="18"/>
          <w:szCs w:val="18"/>
          <w:color w:val="auto"/>
        </w:rPr>
      </w:pPr>
      <w:r>
        <w:rPr>
          <w:rFonts w:ascii="Arial" w:cs="Arial" w:eastAsia="Arial" w:hAnsi="Arial"/>
          <w:sz w:val="22"/>
          <w:szCs w:val="22"/>
          <w:color w:val="auto"/>
        </w:rPr>
        <w:t>The amounts provided for in Sections 3.1(a) and 3.1(b)(1), (2) and (4), shall be paid within twenty (20) days after the Executive’s Termination Date (and in no event later than March 15</w:t>
      </w:r>
      <w:r>
        <w:rPr>
          <w:rFonts w:ascii="Arial" w:cs="Arial" w:eastAsia="Arial" w:hAnsi="Arial"/>
          <w:sz w:val="14"/>
          <w:szCs w:val="14"/>
          <w:color w:val="auto"/>
        </w:rPr>
        <w:t>th</w:t>
      </w:r>
      <w:r>
        <w:rPr>
          <w:rFonts w:ascii="Arial" w:cs="Arial" w:eastAsia="Arial" w:hAnsi="Arial"/>
          <w:sz w:val="22"/>
          <w:szCs w:val="22"/>
          <w:color w:val="auto"/>
        </w:rPr>
        <w:t xml:space="preserve"> of the year following the Termination Date) and all amounts shall be subject to applicable Federal, state and local tax withholding.</w:t>
      </w:r>
    </w:p>
    <w:p>
      <w:pPr>
        <w:spacing w:after="0" w:line="24" w:lineRule="exact"/>
        <w:rPr>
          <w:rFonts w:ascii="Arial" w:cs="Arial" w:eastAsia="Arial" w:hAnsi="Arial"/>
          <w:sz w:val="18"/>
          <w:szCs w:val="18"/>
          <w:color w:val="auto"/>
        </w:rPr>
      </w:pPr>
    </w:p>
    <w:p>
      <w:pPr>
        <w:jc w:val="both"/>
        <w:ind w:left="60" w:firstLine="1298"/>
        <w:spacing w:after="0" w:line="271" w:lineRule="auto"/>
        <w:tabs>
          <w:tab w:leader="none" w:pos="2085" w:val="left"/>
        </w:tabs>
        <w:numPr>
          <w:ilvl w:val="0"/>
          <w:numId w:val="100"/>
        </w:numPr>
        <w:rPr>
          <w:rFonts w:ascii="Arial" w:cs="Arial" w:eastAsia="Arial" w:hAnsi="Arial"/>
          <w:sz w:val="16"/>
          <w:szCs w:val="16"/>
          <w:color w:val="auto"/>
        </w:rPr>
      </w:pPr>
      <w:r>
        <w:rPr>
          <w:rFonts w:ascii="Arial" w:cs="Arial" w:eastAsia="Arial" w:hAnsi="Arial"/>
          <w:sz w:val="19"/>
          <w:szCs w:val="19"/>
          <w:color w:val="auto"/>
        </w:rPr>
        <w:t>The Executive shall not be required to mitigate the amount of any payment provided for in this Agreement by seeking other employment or otherwise and no such payment shall be offset or reduced by the amount of any compensation or benefits provided to the Executive in any subsequent employment except as provided in Section 3.1(b)(3).</w:t>
      </w:r>
    </w:p>
    <w:p>
      <w:pPr>
        <w:spacing w:after="0" w:line="2"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9"/>
          <w:szCs w:val="19"/>
          <w:u w:val="single" w:color="auto"/>
          <w:color w:val="auto"/>
        </w:rPr>
        <w:t>Code Section 280G</w:t>
      </w:r>
      <w:r>
        <w:rPr>
          <w:rFonts w:ascii="Arial" w:cs="Arial" w:eastAsia="Arial" w:hAnsi="Arial"/>
          <w:sz w:val="19"/>
          <w:szCs w:val="19"/>
          <w:color w:val="auto"/>
        </w:rPr>
        <w:t>.</w:t>
      </w:r>
    </w:p>
    <w:p>
      <w:pPr>
        <w:spacing w:after="0" w:line="92" w:lineRule="exact"/>
        <w:rPr>
          <w:sz w:val="20"/>
          <w:szCs w:val="20"/>
          <w:color w:val="auto"/>
        </w:rPr>
      </w:pPr>
    </w:p>
    <w:p>
      <w:pPr>
        <w:jc w:val="both"/>
        <w:ind w:left="60" w:firstLine="1298"/>
        <w:spacing w:after="0" w:line="249" w:lineRule="auto"/>
        <w:tabs>
          <w:tab w:leader="none" w:pos="2075" w:val="left"/>
        </w:tabs>
        <w:numPr>
          <w:ilvl w:val="0"/>
          <w:numId w:val="101"/>
        </w:numPr>
        <w:rPr>
          <w:rFonts w:ascii="Arial" w:cs="Arial" w:eastAsia="Arial" w:hAnsi="Arial"/>
          <w:sz w:val="16"/>
          <w:szCs w:val="16"/>
          <w:color w:val="auto"/>
        </w:rPr>
      </w:pPr>
      <w:r>
        <w:rPr>
          <w:rFonts w:ascii="Arial" w:cs="Arial" w:eastAsia="Arial" w:hAnsi="Arial"/>
          <w:sz w:val="19"/>
          <w:szCs w:val="19"/>
          <w:color w:val="auto"/>
        </w:rPr>
        <w:t>Notwithstanding any other provision of this Agreement or any other plan, arrangement or agreement to the contrary, if any of the payments or benefits provided or to be provided by the Company or its affiliates to the Executive or for the Executive's benefit pursuant to the terms of this Agreement or otherwise (“Covered Payments”) constitute parachute payments (“Parachute Payments”) within the meaning of Section 280G of the Code and would, but for this Section 3.2 be subject to the excise tax imposed under Section 4999 of the Code (or any successor provision thereto) or any similar tax imposed by state or local law or any interest or penalties with respect to such taxes (collectively, the "Excise Tax"), then prior to making the Covered Payments, a calculation shall be made comparing (i) the Net Benefit (as defined below)</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8" w:right="339" w:bottom="1440" w:gutter="0" w:footer="0" w:header="0"/>
        </w:sectPr>
      </w:pPr>
    </w:p>
    <w:bookmarkStart w:id="145" w:name="page146"/>
    <w:bookmarkEnd w:id="145"/>
    <w:p>
      <w:pPr>
        <w:ind w:left="9680"/>
        <w:spacing w:after="0"/>
        <w:rPr>
          <w:sz w:val="20"/>
          <w:szCs w:val="20"/>
          <w:color w:val="auto"/>
        </w:rPr>
      </w:pPr>
      <w:r>
        <w:rPr>
          <w:rFonts w:ascii="Arial" w:cs="Arial" w:eastAsia="Arial" w:hAnsi="Arial"/>
          <w:sz w:val="17"/>
          <w:szCs w:val="17"/>
          <w:b w:val="1"/>
          <w:bCs w:val="1"/>
          <w:color w:val="auto"/>
        </w:rPr>
        <w:t>Exhibit 10(iii)A(87)</w:t>
      </w:r>
    </w:p>
    <w:p>
      <w:pPr>
        <w:spacing w:after="0" w:line="305" w:lineRule="exact"/>
        <w:rPr>
          <w:sz w:val="20"/>
          <w:szCs w:val="20"/>
          <w:color w:val="auto"/>
        </w:rPr>
      </w:pPr>
    </w:p>
    <w:p>
      <w:pPr>
        <w:jc w:val="both"/>
        <w:ind w:left="60"/>
        <w:spacing w:after="0" w:line="214" w:lineRule="auto"/>
        <w:rPr>
          <w:sz w:val="20"/>
          <w:szCs w:val="20"/>
          <w:color w:val="auto"/>
        </w:rPr>
      </w:pPr>
      <w:r>
        <w:rPr>
          <w:rFonts w:ascii="Arial" w:cs="Arial" w:eastAsia="Arial" w:hAnsi="Arial"/>
          <w:sz w:val="22"/>
          <w:szCs w:val="22"/>
          <w:color w:val="auto"/>
        </w:rPr>
        <w:t>to the Executive of the Covered Payments after payment of the Excise Tax to (ii) the Net Benefit payable to the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"Reduced Amount"). "Net Benefit" shall mean the present value of the Covered Payments net of all federal, state, local, foreign income, employment and excise taxes.</w:t>
      </w:r>
    </w:p>
    <w:p>
      <w:pPr>
        <w:spacing w:after="0" w:line="24" w:lineRule="exact"/>
        <w:rPr>
          <w:sz w:val="20"/>
          <w:szCs w:val="20"/>
          <w:color w:val="auto"/>
        </w:rPr>
      </w:pPr>
    </w:p>
    <w:p>
      <w:pPr>
        <w:jc w:val="both"/>
        <w:ind w:left="60" w:firstLine="1298"/>
        <w:spacing w:after="0" w:line="221" w:lineRule="auto"/>
        <w:tabs>
          <w:tab w:leader="none" w:pos="2085" w:val="left"/>
        </w:tabs>
        <w:numPr>
          <w:ilvl w:val="0"/>
          <w:numId w:val="102"/>
        </w:numPr>
        <w:rPr>
          <w:rFonts w:ascii="Arial" w:cs="Arial" w:eastAsia="Arial" w:hAnsi="Arial"/>
          <w:sz w:val="18"/>
          <w:szCs w:val="18"/>
          <w:color w:val="auto"/>
        </w:rPr>
      </w:pPr>
      <w:r>
        <w:rPr>
          <w:rFonts w:ascii="Arial" w:cs="Arial" w:eastAsia="Arial" w:hAnsi="Arial"/>
          <w:sz w:val="22"/>
          <w:szCs w:val="22"/>
          <w:color w:val="auto"/>
        </w:rPr>
        <w:t>The Covered Payments shall be reduced in a manner that maximizes the Executive's economic position. In applying this principle, the reduction shall be made in a manner consistent with the requirements of Section 409A of the Code, and where two economically equivalent amounts are subject to reduction but payable at different times, such amounts shall be reduced on a pro rata basis but not below zero.</w:t>
      </w:r>
    </w:p>
    <w:p>
      <w:pPr>
        <w:spacing w:after="0" w:line="26" w:lineRule="exact"/>
        <w:rPr>
          <w:rFonts w:ascii="Arial" w:cs="Arial" w:eastAsia="Arial" w:hAnsi="Arial"/>
          <w:sz w:val="18"/>
          <w:szCs w:val="18"/>
          <w:color w:val="auto"/>
        </w:rPr>
      </w:pPr>
    </w:p>
    <w:p>
      <w:pPr>
        <w:jc w:val="both"/>
        <w:ind w:left="60" w:firstLine="1298"/>
        <w:spacing w:after="0" w:line="221" w:lineRule="auto"/>
        <w:tabs>
          <w:tab w:leader="none" w:pos="2075" w:val="left"/>
        </w:tabs>
        <w:numPr>
          <w:ilvl w:val="0"/>
          <w:numId w:val="102"/>
        </w:numPr>
        <w:rPr>
          <w:rFonts w:ascii="Arial" w:cs="Arial" w:eastAsia="Arial" w:hAnsi="Arial"/>
          <w:sz w:val="18"/>
          <w:szCs w:val="18"/>
          <w:color w:val="auto"/>
        </w:rPr>
      </w:pPr>
      <w:r>
        <w:rPr>
          <w:rFonts w:ascii="Arial" w:cs="Arial" w:eastAsia="Arial" w:hAnsi="Arial"/>
          <w:sz w:val="22"/>
          <w:szCs w:val="22"/>
          <w:color w:val="auto"/>
        </w:rPr>
        <w:t>Any determination required under this Section 3.2, including whether any payments or benefits are parachute payments, shall be made by the Company in its sole discretion. The Executive shall provide the Company with such information and documents as the Company may reasonably request in order to make a determination under this Section 3.2. The Company's determination shall be final and binding on the Executive.</w:t>
      </w:r>
    </w:p>
    <w:p>
      <w:pPr>
        <w:spacing w:after="0" w:line="26" w:lineRule="exact"/>
        <w:rPr>
          <w:rFonts w:ascii="Arial" w:cs="Arial" w:eastAsia="Arial" w:hAnsi="Arial"/>
          <w:sz w:val="18"/>
          <w:szCs w:val="18"/>
          <w:color w:val="auto"/>
        </w:rPr>
      </w:pPr>
    </w:p>
    <w:p>
      <w:pPr>
        <w:jc w:val="both"/>
        <w:ind w:left="60" w:firstLine="1298"/>
        <w:spacing w:after="0" w:line="227" w:lineRule="auto"/>
        <w:tabs>
          <w:tab w:leader="none" w:pos="2085" w:val="left"/>
        </w:tabs>
        <w:numPr>
          <w:ilvl w:val="0"/>
          <w:numId w:val="102"/>
        </w:numPr>
        <w:rPr>
          <w:rFonts w:ascii="Arial" w:cs="Arial" w:eastAsia="Arial" w:hAnsi="Arial"/>
          <w:sz w:val="18"/>
          <w:szCs w:val="18"/>
          <w:color w:val="auto"/>
        </w:rPr>
      </w:pPr>
      <w:r>
        <w:rPr>
          <w:rFonts w:ascii="Arial" w:cs="Arial" w:eastAsia="Arial" w:hAnsi="Arial"/>
          <w:sz w:val="22"/>
          <w:szCs w:val="22"/>
          <w:color w:val="auto"/>
        </w:rPr>
        <w:t>It is possible that after the determinations and selections made pursuant to this Section 3.2 the Executive will receive Covered Payments that are in the aggregate more than the amount provided under this Section 3.2 (“Overpayment”) or less than the amount provided under this Section 3.2 (“Underpayment”).</w:t>
      </w:r>
    </w:p>
    <w:p>
      <w:pPr>
        <w:spacing w:after="0" w:line="24" w:lineRule="exact"/>
        <w:rPr>
          <w:rFonts w:ascii="Arial" w:cs="Arial" w:eastAsia="Arial" w:hAnsi="Arial"/>
          <w:sz w:val="18"/>
          <w:szCs w:val="18"/>
          <w:color w:val="auto"/>
        </w:rPr>
      </w:pPr>
    </w:p>
    <w:p>
      <w:pPr>
        <w:jc w:val="both"/>
        <w:ind w:firstLine="1952"/>
        <w:spacing w:after="0" w:line="262" w:lineRule="auto"/>
        <w:tabs>
          <w:tab w:leader="none" w:pos="2687" w:val="left"/>
        </w:tabs>
        <w:numPr>
          <w:ilvl w:val="1"/>
          <w:numId w:val="102"/>
        </w:numPr>
        <w:rPr>
          <w:rFonts w:ascii="Arial" w:cs="Arial" w:eastAsia="Arial" w:hAnsi="Arial"/>
          <w:sz w:val="16"/>
          <w:szCs w:val="16"/>
          <w:color w:val="auto"/>
        </w:rPr>
      </w:pPr>
      <w:r>
        <w:rPr>
          <w:rFonts w:ascii="Arial" w:cs="Arial" w:eastAsia="Arial" w:hAnsi="Arial"/>
          <w:sz w:val="19"/>
          <w:szCs w:val="19"/>
          <w:color w:val="auto"/>
        </w:rPr>
        <w:t>In the event that it is established pursuant to a final determination of a court or an Internal Revenue Service proceeding that has been finally and conclusively resolved that an Overpayment has been made, then the Executive shall pay any such Overpayment to the Company together with interest at the applicable federal rate (as defined in Section 7872(f)(2)(A) of the Code) from the date of the Executive's receipt of the Overpayment until the date of repayment.</w:t>
      </w:r>
    </w:p>
    <w:p>
      <w:pPr>
        <w:spacing w:after="0" w:line="4" w:lineRule="exact"/>
        <w:rPr>
          <w:rFonts w:ascii="Arial" w:cs="Arial" w:eastAsia="Arial" w:hAnsi="Arial"/>
          <w:sz w:val="16"/>
          <w:szCs w:val="16"/>
          <w:color w:val="auto"/>
        </w:rPr>
      </w:pPr>
    </w:p>
    <w:p>
      <w:pPr>
        <w:jc w:val="both"/>
        <w:ind w:firstLine="1952"/>
        <w:spacing w:after="0" w:line="221" w:lineRule="auto"/>
        <w:tabs>
          <w:tab w:leader="none" w:pos="2737" w:val="left"/>
        </w:tabs>
        <w:numPr>
          <w:ilvl w:val="1"/>
          <w:numId w:val="102"/>
        </w:numPr>
        <w:rPr>
          <w:rFonts w:ascii="Arial" w:cs="Arial" w:eastAsia="Arial" w:hAnsi="Arial"/>
          <w:sz w:val="18"/>
          <w:szCs w:val="18"/>
          <w:color w:val="auto"/>
        </w:rPr>
      </w:pPr>
      <w:r>
        <w:rPr>
          <w:rFonts w:ascii="Arial" w:cs="Arial" w:eastAsia="Arial" w:hAnsi="Arial"/>
          <w:sz w:val="22"/>
          <w:szCs w:val="22"/>
          <w:color w:val="auto"/>
        </w:rPr>
        <w:t>In the event that a court of competent jurisdiction determines that an Underpayment has occurred, any such Underpayment will be paid promptly by the Company to or for the benefit of the Executive together with interest at the applicable federal rate (as defined in Section 7872(f)(2)(A) of the Code) from the date the amount would have otherwise been paid to the Executive until the payment date.</w:t>
      </w:r>
    </w:p>
    <w:p>
      <w:pPr>
        <w:spacing w:after="0" w:line="2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color w:val="auto"/>
        </w:rPr>
        <w:t xml:space="preserve">3.3 </w:t>
      </w:r>
      <w:r>
        <w:rPr>
          <w:rFonts w:ascii="Arial" w:cs="Arial" w:eastAsia="Arial" w:hAnsi="Arial"/>
          <w:sz w:val="20"/>
          <w:szCs w:val="20"/>
          <w:color w:val="auto"/>
        </w:rPr>
        <w:t>If, as a result of Executive’s termination of employment, Executive becomes entitled to compensation and</w:t>
      </w:r>
      <w:r>
        <w:rPr>
          <w:rFonts w:ascii="Arial" w:cs="Arial" w:eastAsia="Arial" w:hAnsi="Arial"/>
          <w:sz w:val="17"/>
          <w:szCs w:val="17"/>
          <w:color w:val="auto"/>
        </w:rPr>
        <w:t xml:space="preserve"> </w:t>
      </w:r>
      <w:r>
        <w:rPr>
          <w:rFonts w:ascii="Arial" w:cs="Arial" w:eastAsia="Arial" w:hAnsi="Arial"/>
          <w:sz w:val="20"/>
          <w:szCs w:val="20"/>
          <w:color w:val="auto"/>
        </w:rPr>
        <w:t>benefits under this Agreement and under any Severance Agreement between Executive and the Company or under any severance plan provided by the Company, there shall be no duplication of benefits and Executive shall only be entitled to receive benefits under whichever agreement or plan provides Executive the greater aggregate amount. The Executive will be fully bound by all of the terms and conditions of the agreement under which he receives benefits. Except as provided in the preceding sentences, the severance pay and benefits provided for in Sections 3.1(a) and 3.1(b) shall be in lieu of any other severance pay to which the Executive may be entitled under any Company severance plan, program or arrangement for a termination of employment covered by such circumstances, except that if the severance pay of the type referenced in Section 3.1(b)(2) provided under such other plans, programs or arrangements is greater than the amount calculated under Section 3.1(b)(2), then that greater amount and not the amount under Section 3.1(b)(2) shall be paid.</w:t>
      </w:r>
    </w:p>
    <w:p>
      <w:pPr>
        <w:spacing w:after="0" w:line="5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To the extent applicable, this Agreement is intended to provide for compensation which satisfies the short-term deferral exemption under Treas. Reg. §1.409A-1(b)(4) and/or the separation pay exemption under Treas. Reg. §1.409A-1(b)(9). To the extent any benefits hereunder may be deferred compensation within the meaning</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8" w:right="339" w:bottom="1440" w:gutter="0" w:footer="0" w:header="0"/>
        </w:sectPr>
      </w:pPr>
    </w:p>
    <w:bookmarkStart w:id="146" w:name="page147"/>
    <w:bookmarkEnd w:id="146"/>
    <w:p>
      <w:pPr>
        <w:ind w:left="9680"/>
        <w:spacing w:after="0"/>
        <w:rPr>
          <w:sz w:val="20"/>
          <w:szCs w:val="20"/>
          <w:color w:val="auto"/>
        </w:rPr>
      </w:pPr>
      <w:r>
        <w:rPr>
          <w:rFonts w:ascii="Arial" w:cs="Arial" w:eastAsia="Arial" w:hAnsi="Arial"/>
          <w:sz w:val="17"/>
          <w:szCs w:val="17"/>
          <w:b w:val="1"/>
          <w:bCs w:val="1"/>
          <w:color w:val="auto"/>
        </w:rPr>
        <w:t>Exhibit 10(iii)A(87)</w:t>
      </w:r>
    </w:p>
    <w:p>
      <w:pPr>
        <w:spacing w:after="0" w:line="33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of Section 409A, the Company shall have authority to take action, or refrain from taking any action, with respect to the payments of such benefits under this Agreement that is reasonably necessary to comply with Section 409A. Specifically, the Company shall have the authority to delay the commencement of payments to “key employees” of the Company (as determined by the Company in accordance with procedures established by the Company that are consistent with Section 409A) to a date which is six months after the date of Executive’s Termination Date (and on such date the payments that would otherwise have been made during such six-month period shall be made) to the extent such delay is required under the provisions of Section 409A.</w:t>
      </w:r>
    </w:p>
    <w:p>
      <w:pPr>
        <w:spacing w:after="0" w:line="203"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 xml:space="preserve">3.4 </w:t>
      </w:r>
      <w:r>
        <w:rPr>
          <w:rFonts w:ascii="Arial" w:cs="Arial" w:eastAsia="Arial" w:hAnsi="Arial"/>
          <w:sz w:val="21"/>
          <w:szCs w:val="21"/>
          <w:u w:val="single" w:color="auto"/>
          <w:color w:val="auto"/>
        </w:rPr>
        <w:t>Notice of Termination</w:t>
      </w:r>
      <w:r>
        <w:rPr>
          <w:rFonts w:ascii="Arial" w:cs="Arial" w:eastAsia="Arial" w:hAnsi="Arial"/>
          <w:sz w:val="21"/>
          <w:szCs w:val="21"/>
          <w:color w:val="auto"/>
        </w:rPr>
        <w:t>. During the Covered Period, any purported termination by the Company or by the</w:t>
      </w:r>
      <w:r>
        <w:rPr>
          <w:rFonts w:ascii="Arial" w:cs="Arial" w:eastAsia="Arial" w:hAnsi="Arial"/>
          <w:sz w:val="18"/>
          <w:szCs w:val="18"/>
          <w:color w:val="auto"/>
        </w:rPr>
        <w:t xml:space="preserve"> </w:t>
      </w:r>
      <w:r>
        <w:rPr>
          <w:rFonts w:ascii="Arial" w:cs="Arial" w:eastAsia="Arial" w:hAnsi="Arial"/>
          <w:sz w:val="21"/>
          <w:szCs w:val="21"/>
          <w:color w:val="auto"/>
        </w:rPr>
        <w:t>Executive shall be communicated by written Notice of Termination to the other. For purposes of this Agreement, a “Notice of Termination” shall mean a notice which indicates the specific termination provision in this Agreement relied upon and shall set forth in reasonable detail the facts and circumstances claimed to provide a basis for termination of the Executive’s employment under the provision so indicated. For purposes of this Agreement, no such purported termination shall be effective without such Notice of Termination.</w:t>
      </w:r>
    </w:p>
    <w:p>
      <w:pPr>
        <w:spacing w:after="0" w:line="2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9"/>
          <w:szCs w:val="19"/>
          <w:u w:val="single" w:color="auto"/>
          <w:color w:val="auto"/>
        </w:rPr>
        <w:t>Trade Secrets and Confidential Information, Non-Disparagement</w:t>
      </w:r>
      <w:r>
        <w:rPr>
          <w:rFonts w:ascii="Arial" w:cs="Arial" w:eastAsia="Arial" w:hAnsi="Arial"/>
          <w:sz w:val="19"/>
          <w:szCs w:val="19"/>
          <w:color w:val="auto"/>
        </w:rPr>
        <w:t>.</w:t>
      </w:r>
    </w:p>
    <w:p>
      <w:pPr>
        <w:spacing w:after="0" w:line="92" w:lineRule="exact"/>
        <w:rPr>
          <w:sz w:val="20"/>
          <w:szCs w:val="20"/>
          <w:color w:val="auto"/>
        </w:rPr>
      </w:pPr>
    </w:p>
    <w:p>
      <w:pPr>
        <w:jc w:val="both"/>
        <w:ind w:left="60" w:firstLine="1298"/>
        <w:spacing w:after="0" w:line="222" w:lineRule="auto"/>
        <w:tabs>
          <w:tab w:leader="none" w:pos="2075" w:val="left"/>
        </w:tabs>
        <w:numPr>
          <w:ilvl w:val="0"/>
          <w:numId w:val="103"/>
        </w:numPr>
        <w:rPr>
          <w:rFonts w:ascii="Arial" w:cs="Arial" w:eastAsia="Arial" w:hAnsi="Arial"/>
          <w:sz w:val="17"/>
          <w:szCs w:val="17"/>
          <w:color w:val="auto"/>
        </w:rPr>
      </w:pPr>
      <w:r>
        <w:rPr>
          <w:rFonts w:ascii="Arial" w:cs="Arial" w:eastAsia="Arial" w:hAnsi="Arial"/>
          <w:sz w:val="21"/>
          <w:szCs w:val="21"/>
          <w:color w:val="auto"/>
        </w:rPr>
        <w:t>Executive agrees that he/she shall protect the Company’s and its affiliates’ Trade Secrets and Confidential Information and shall not disclose to any person or entity, or otherwise use or disseminate, except in connection with the performance of his/her duties for the Company, any Trade Secrets or Confidential Information; provided, however, that Executive may make disclosures required by a valid order or subpoena issued by a court or administrative agency of competent jurisdiction, in which event Executive will promptly notify the Company or its affiliates of such order or subpoena to provide the Company or its affiliates an opportunity to protect their interests. Executive’s obligations under this Section 3.5 shall apply during his/her employment and after his/her Termination Date, shall continue through any severance period, and shall survive any expiration or termination of this Agreement, so long as the information or material remains Confidential Information or a Trade Secret, as applicable.</w:t>
      </w:r>
    </w:p>
    <w:p>
      <w:pPr>
        <w:spacing w:after="0" w:line="28" w:lineRule="exact"/>
        <w:rPr>
          <w:rFonts w:ascii="Arial" w:cs="Arial" w:eastAsia="Arial" w:hAnsi="Arial"/>
          <w:sz w:val="17"/>
          <w:szCs w:val="17"/>
          <w:color w:val="auto"/>
        </w:rPr>
      </w:pPr>
    </w:p>
    <w:p>
      <w:pPr>
        <w:jc w:val="both"/>
        <w:ind w:left="60" w:firstLine="1298"/>
        <w:spacing w:after="0" w:line="221" w:lineRule="auto"/>
        <w:tabs>
          <w:tab w:leader="none" w:pos="2085" w:val="left"/>
        </w:tabs>
        <w:numPr>
          <w:ilvl w:val="0"/>
          <w:numId w:val="103"/>
        </w:numPr>
        <w:rPr>
          <w:rFonts w:ascii="Arial" w:cs="Arial" w:eastAsia="Arial" w:hAnsi="Arial"/>
          <w:sz w:val="18"/>
          <w:szCs w:val="18"/>
          <w:color w:val="auto"/>
        </w:rPr>
      </w:pPr>
      <w:r>
        <w:rPr>
          <w:rFonts w:ascii="Arial" w:cs="Arial" w:eastAsia="Arial" w:hAnsi="Arial"/>
          <w:sz w:val="22"/>
          <w:szCs w:val="22"/>
          <w:color w:val="auto"/>
        </w:rPr>
        <w:t>Executive further confirms that during his/her employment with the Company, he/she has not and will not offer, disclose or use on Executive’s own behalf or on behalf of the Company, any information Executive received prior to employment by the Company which was supplied to Executive confidentially or which Executive should reasonably know to be confidential.</w:t>
      </w:r>
    </w:p>
    <w:p>
      <w:pPr>
        <w:spacing w:after="0" w:line="26" w:lineRule="exact"/>
        <w:rPr>
          <w:rFonts w:ascii="Arial" w:cs="Arial" w:eastAsia="Arial" w:hAnsi="Arial"/>
          <w:sz w:val="18"/>
          <w:szCs w:val="18"/>
          <w:color w:val="auto"/>
        </w:rPr>
      </w:pPr>
    </w:p>
    <w:p>
      <w:pPr>
        <w:jc w:val="both"/>
        <w:ind w:left="60" w:firstLine="1298"/>
        <w:spacing w:after="0" w:line="216" w:lineRule="auto"/>
        <w:tabs>
          <w:tab w:leader="none" w:pos="2075" w:val="left"/>
        </w:tabs>
        <w:numPr>
          <w:ilvl w:val="0"/>
          <w:numId w:val="103"/>
        </w:numPr>
        <w:rPr>
          <w:rFonts w:ascii="Arial" w:cs="Arial" w:eastAsia="Arial" w:hAnsi="Arial"/>
          <w:sz w:val="18"/>
          <w:szCs w:val="18"/>
          <w:color w:val="auto"/>
        </w:rPr>
      </w:pPr>
      <w:r>
        <w:rPr>
          <w:rFonts w:ascii="Arial" w:cs="Arial" w:eastAsia="Arial" w:hAnsi="Arial"/>
          <w:sz w:val="22"/>
          <w:szCs w:val="22"/>
          <w:color w:val="auto"/>
        </w:rPr>
        <w:t>Nothing in this Agreement prohibits Executive from reporting possible violations of federal law or regulation to any governmental agency or entity including but not limited to the Department of Justice, the Securities and Exchange Commission, Congress, or any Inspector General, or making other disclosures that are protected under the whistleblower provisions of federal law or regulation. Executive does not need the prior authorization of Company to make any such reports or disclosures, and Executive is not required to notify Company that Executive has made such reports or disclosures.</w:t>
      </w:r>
    </w:p>
    <w:p>
      <w:pPr>
        <w:spacing w:after="0" w:line="24" w:lineRule="exact"/>
        <w:rPr>
          <w:rFonts w:ascii="Arial" w:cs="Arial" w:eastAsia="Arial" w:hAnsi="Arial"/>
          <w:sz w:val="18"/>
          <w:szCs w:val="18"/>
          <w:color w:val="auto"/>
        </w:rPr>
      </w:pPr>
    </w:p>
    <w:p>
      <w:pPr>
        <w:jc w:val="both"/>
        <w:ind w:left="60" w:firstLine="1298"/>
        <w:spacing w:after="0" w:line="252" w:lineRule="auto"/>
        <w:tabs>
          <w:tab w:leader="none" w:pos="2085" w:val="left"/>
        </w:tabs>
        <w:numPr>
          <w:ilvl w:val="0"/>
          <w:numId w:val="103"/>
        </w:numPr>
        <w:rPr>
          <w:rFonts w:ascii="Arial" w:cs="Arial" w:eastAsia="Arial" w:hAnsi="Arial"/>
          <w:sz w:val="16"/>
          <w:szCs w:val="16"/>
          <w:color w:val="auto"/>
        </w:rPr>
      </w:pPr>
      <w:r>
        <w:rPr>
          <w:rFonts w:ascii="Arial" w:cs="Arial" w:eastAsia="Arial" w:hAnsi="Arial"/>
          <w:sz w:val="19"/>
          <w:szCs w:val="19"/>
          <w:color w:val="auto"/>
        </w:rPr>
        <w:t>Executive agrees that he/she will not make any disparaging statements or comments to any person or entity by any medium, whether oral or written, about Company, any of its affiliates or any of its respective officers, directors, employees, shareholders, agents, representatives or independent contractors. Nor shall Executive communicate to any person or entity by any medium, whether oral or written, any information harmful or adverse to Company, any of its affiliates or any of its respective officers, directors, employees, shareholders, agents, representatives or independent contractors. Nothing in this section shall prevent Executive from providing truthful testimony pursuant to a lawful subpoena or other court order</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8"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10(iii)A(87)</w:t>
      </w:r>
    </w:p>
    <w:p>
      <w:pPr>
        <w:spacing w:after="0" w:line="293" w:lineRule="exact"/>
        <w:rPr>
          <w:sz w:val="20"/>
          <w:szCs w:val="20"/>
          <w:color w:val="auto"/>
        </w:rPr>
      </w:pPr>
    </w:p>
    <w:p>
      <w:pPr>
        <w:ind w:left="800" w:hanging="792"/>
        <w:spacing w:after="0"/>
        <w:tabs>
          <w:tab w:leader="none" w:pos="800" w:val="left"/>
        </w:tabs>
        <w:numPr>
          <w:ilvl w:val="0"/>
          <w:numId w:val="104"/>
        </w:numPr>
        <w:rPr>
          <w:rFonts w:ascii="Arial" w:cs="Arial" w:eastAsia="Arial" w:hAnsi="Arial"/>
          <w:sz w:val="18"/>
          <w:szCs w:val="18"/>
          <w:color w:val="auto"/>
        </w:rPr>
      </w:pPr>
      <w:r>
        <w:rPr>
          <w:rFonts w:ascii="Arial" w:cs="Arial" w:eastAsia="Arial" w:hAnsi="Arial"/>
          <w:sz w:val="22"/>
          <w:szCs w:val="22"/>
          <w:u w:val="single" w:color="auto"/>
          <w:color w:val="auto"/>
        </w:rPr>
        <w:t>Non-Competition, Non-Solicitation, Inventions</w:t>
      </w:r>
      <w:r>
        <w:rPr>
          <w:rFonts w:ascii="Arial" w:cs="Arial" w:eastAsia="Arial" w:hAnsi="Arial"/>
          <w:sz w:val="22"/>
          <w:szCs w:val="22"/>
          <w:color w:val="auto"/>
        </w:rPr>
        <w:t>.</w:t>
      </w:r>
    </w:p>
    <w:p>
      <w:pPr>
        <w:spacing w:after="0" w:line="5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21"/>
          <w:szCs w:val="21"/>
          <w:color w:val="auto"/>
        </w:rPr>
        <w:t>Executive acknowledges and agrees that both during his/her employment and for twelve (12) months after the</w:t>
      </w:r>
      <w:r>
        <w:rPr>
          <w:rFonts w:ascii="Arial" w:cs="Arial" w:eastAsia="Arial" w:hAnsi="Arial"/>
          <w:sz w:val="18"/>
          <w:szCs w:val="18"/>
          <w:color w:val="auto"/>
        </w:rPr>
        <w:t xml:space="preserve"> </w:t>
      </w:r>
      <w:r>
        <w:rPr>
          <w:rFonts w:ascii="Arial" w:cs="Arial" w:eastAsia="Arial" w:hAnsi="Arial"/>
          <w:sz w:val="21"/>
          <w:szCs w:val="21"/>
          <w:color w:val="auto"/>
        </w:rPr>
        <w:t>Termination Date, he/she has not and will not, directly or indirectly, engage in, provide, or perform any duties or services of the type conducted, authorized, offered, or provided by Executive in his/her capacity as an employee on behalf of the Company within the twelve (12) months prior to the Termination Date, on behalf of any person or entity (or in the case of an entity that is organized into divisions or units, any distinct division or operating unit of such entity) in the Territory that derives income from providing goods or services substantially similar to those which comprise the Company's Business.</w:t>
      </w:r>
    </w:p>
    <w:p>
      <w:pPr>
        <w:spacing w:after="0" w:line="2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21"/>
          <w:szCs w:val="21"/>
          <w:color w:val="auto"/>
        </w:rPr>
        <w:t>Executive acknowledges and agrees that both during his/her employment and for twenty-four (24) months after</w:t>
      </w:r>
      <w:r>
        <w:rPr>
          <w:rFonts w:ascii="Arial" w:cs="Arial" w:eastAsia="Arial" w:hAnsi="Arial"/>
          <w:sz w:val="18"/>
          <w:szCs w:val="18"/>
          <w:color w:val="auto"/>
        </w:rPr>
        <w:t xml:space="preserve"> </w:t>
      </w:r>
      <w:r>
        <w:rPr>
          <w:rFonts w:ascii="Arial" w:cs="Arial" w:eastAsia="Arial" w:hAnsi="Arial"/>
          <w:sz w:val="21"/>
          <w:szCs w:val="21"/>
          <w:color w:val="auto"/>
        </w:rPr>
        <w:t>the last day of his/her employment with the Company, Executive has not and will not directly or indirectly solicit Customers or Sales Agents with whom he/she had Material Contact for the purpose of providing goods and/or services competitive with the Company’s Business.</w:t>
      </w:r>
    </w:p>
    <w:p>
      <w:pPr>
        <w:spacing w:after="0" w:line="2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 xml:space="preserve">4.3 </w:t>
      </w:r>
      <w:r>
        <w:rPr>
          <w:rFonts w:ascii="Arial" w:cs="Arial" w:eastAsia="Arial" w:hAnsi="Arial"/>
          <w:sz w:val="21"/>
          <w:szCs w:val="21"/>
          <w:color w:val="auto"/>
        </w:rPr>
        <w:t>Executive acknowledges and agrees that both during his/her employment and for twenty-four (24) months after</w:t>
      </w:r>
      <w:r>
        <w:rPr>
          <w:rFonts w:ascii="Arial" w:cs="Arial" w:eastAsia="Arial" w:hAnsi="Arial"/>
          <w:sz w:val="18"/>
          <w:szCs w:val="18"/>
          <w:color w:val="auto"/>
        </w:rPr>
        <w:t xml:space="preserve"> </w:t>
      </w:r>
      <w:r>
        <w:rPr>
          <w:rFonts w:ascii="Arial" w:cs="Arial" w:eastAsia="Arial" w:hAnsi="Arial"/>
          <w:sz w:val="21"/>
          <w:szCs w:val="21"/>
          <w:color w:val="auto"/>
        </w:rPr>
        <w:t>the last day of his/her employment with the Company, Executive has not and will not, directly or indirectly, whether on behalf of Executive or others, solicit, lure or attempt to hire away any of the Company's or its affiliates’ employees or agents. Notwithstanding the foregoing, this Section shall not prevent Executive from soliciting an employee or agent that has since discontinued all business dealings with the Company.</w:t>
      </w:r>
    </w:p>
    <w:p>
      <w:pPr>
        <w:spacing w:after="0" w:line="27"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 xml:space="preserve">4.4 </w:t>
      </w:r>
      <w:r>
        <w:rPr>
          <w:rFonts w:ascii="Arial" w:cs="Arial" w:eastAsia="Arial" w:hAnsi="Arial"/>
          <w:sz w:val="21"/>
          <w:szCs w:val="21"/>
          <w:color w:val="auto"/>
        </w:rPr>
        <w:t>Executive does hereby assign to the Company the entire right, title and interest in any Invention which is or was</w:t>
      </w:r>
      <w:r>
        <w:rPr>
          <w:rFonts w:ascii="Arial" w:cs="Arial" w:eastAsia="Arial" w:hAnsi="Arial"/>
          <w:sz w:val="18"/>
          <w:szCs w:val="18"/>
          <w:color w:val="auto"/>
        </w:rPr>
        <w:t xml:space="preserve"> </w:t>
      </w:r>
      <w:r>
        <w:rPr>
          <w:rFonts w:ascii="Arial" w:cs="Arial" w:eastAsia="Arial" w:hAnsi="Arial"/>
          <w:sz w:val="21"/>
          <w:szCs w:val="21"/>
          <w:color w:val="auto"/>
        </w:rPr>
        <w:t>made or conceived, either solely or jointly with others, during his/her employment with the Company. Executive attests that he/she has disclosed to the Company all such Inventions. Executive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27" w:lineRule="exact"/>
        <w:rPr>
          <w:sz w:val="20"/>
          <w:szCs w:val="20"/>
          <w:color w:val="auto"/>
        </w:rPr>
      </w:pPr>
    </w:p>
    <w:p>
      <w:pPr>
        <w:ind w:left="800" w:hanging="792"/>
        <w:spacing w:after="0"/>
        <w:tabs>
          <w:tab w:leader="none" w:pos="800" w:val="left"/>
        </w:tabs>
        <w:numPr>
          <w:ilvl w:val="0"/>
          <w:numId w:val="105"/>
        </w:numPr>
        <w:rPr>
          <w:rFonts w:ascii="Arial" w:cs="Arial" w:eastAsia="Arial" w:hAnsi="Arial"/>
          <w:sz w:val="18"/>
          <w:szCs w:val="18"/>
          <w:color w:val="auto"/>
        </w:rPr>
      </w:pPr>
      <w:r>
        <w:rPr>
          <w:rFonts w:ascii="Arial" w:cs="Arial" w:eastAsia="Arial" w:hAnsi="Arial"/>
          <w:sz w:val="22"/>
          <w:szCs w:val="22"/>
          <w:u w:val="single" w:color="auto"/>
          <w:color w:val="auto"/>
        </w:rPr>
        <w:t>Successors; Binding Agreement</w:t>
      </w:r>
      <w:r>
        <w:rPr>
          <w:rFonts w:ascii="Arial" w:cs="Arial" w:eastAsia="Arial" w:hAnsi="Arial"/>
          <w:sz w:val="22"/>
          <w:szCs w:val="22"/>
          <w:color w:val="auto"/>
        </w:rPr>
        <w:t>.</w:t>
      </w:r>
    </w:p>
    <w:p>
      <w:pPr>
        <w:spacing w:after="0" w:line="5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9"/>
          <w:szCs w:val="19"/>
          <w:color w:val="auto"/>
        </w:rPr>
        <w:t>This Agreement shall be binding upon and shall inure to the benefit of the Company, its successors and assigns</w:t>
      </w:r>
      <w:r>
        <w:rPr>
          <w:rFonts w:ascii="Arial" w:cs="Arial" w:eastAsia="Arial" w:hAnsi="Arial"/>
          <w:sz w:val="16"/>
          <w:szCs w:val="16"/>
          <w:color w:val="auto"/>
        </w:rPr>
        <w:t xml:space="preserve"> </w:t>
      </w:r>
      <w:r>
        <w:rPr>
          <w:rFonts w:ascii="Arial" w:cs="Arial" w:eastAsia="Arial" w:hAnsi="Arial"/>
          <w:sz w:val="19"/>
          <w:szCs w:val="19"/>
          <w:color w:val="auto"/>
        </w:rPr>
        <w:t>and the Company shall require any successor or assign to expressly assume and agree to perform this Agreement in the same manner and to the same extent that the Company would be required to perform it if no such succession or assignment had taken place. Failure of the Company to obtain such assumption and agreement prior to the effectiveness of any such succession shall be a breach of this Agreement and shall entitle the Executive to compensation from the Company in the same amount and on the same terms as the Executive would be entitled to hereunder if the Executive were to terminate the Executive’s employment for Good Reason, except that, for purposes of implementing the foregoing, the date on which any such succession becomes effective shall be deemed the Termination Date. The term “the Company” as used herein shall include such successors and assigns. The term “successors and assigns” as used herein shall mean a corporation or other entity acquiring all or substantially all the assets and business of the Company (including this Agreement), whether by operation of law or otherwise.</w:t>
      </w:r>
    </w:p>
    <w:p>
      <w:pPr>
        <w:spacing w:after="0" w:line="2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21"/>
          <w:szCs w:val="21"/>
          <w:color w:val="auto"/>
        </w:rPr>
        <w:t>Neither this Agreement nor any right or interest hereunder shall be assignable or transferable by the Executive,</w:t>
      </w:r>
      <w:r>
        <w:rPr>
          <w:rFonts w:ascii="Arial" w:cs="Arial" w:eastAsia="Arial" w:hAnsi="Arial"/>
          <w:sz w:val="18"/>
          <w:szCs w:val="18"/>
          <w:color w:val="auto"/>
        </w:rPr>
        <w:t xml:space="preserve"> </w:t>
      </w:r>
      <w:r>
        <w:rPr>
          <w:rFonts w:ascii="Arial" w:cs="Arial" w:eastAsia="Arial" w:hAnsi="Arial"/>
          <w:sz w:val="21"/>
          <w:szCs w:val="21"/>
          <w:color w:val="auto"/>
        </w:rPr>
        <w:t>his/her beneficiaries or legal representatives, except by will or by the laws of descent and distribution. This Agreement shall inure to the benefit of and be enforceable by the Executive’s legal personal representative.</w:t>
      </w:r>
    </w:p>
    <w:p>
      <w:pPr>
        <w:spacing w:after="0" w:line="24" w:lineRule="exact"/>
        <w:rPr>
          <w:sz w:val="20"/>
          <w:szCs w:val="20"/>
          <w:color w:val="auto"/>
        </w:rPr>
      </w:pPr>
    </w:p>
    <w:p>
      <w:pPr>
        <w:ind w:left="800" w:hanging="792"/>
        <w:spacing w:after="0"/>
        <w:tabs>
          <w:tab w:leader="none" w:pos="800" w:val="left"/>
        </w:tabs>
        <w:numPr>
          <w:ilvl w:val="0"/>
          <w:numId w:val="106"/>
        </w:numPr>
        <w:rPr>
          <w:rFonts w:ascii="Arial" w:cs="Arial" w:eastAsia="Arial" w:hAnsi="Arial"/>
          <w:sz w:val="18"/>
          <w:szCs w:val="18"/>
          <w:color w:val="auto"/>
        </w:rPr>
      </w:pPr>
      <w:r>
        <w:rPr>
          <w:rFonts w:ascii="Arial" w:cs="Arial" w:eastAsia="Arial" w:hAnsi="Arial"/>
          <w:sz w:val="22"/>
          <w:szCs w:val="22"/>
          <w:u w:val="single" w:color="auto"/>
          <w:color w:val="auto"/>
        </w:rPr>
        <w:t>Disputes, Legal Fees</w:t>
      </w:r>
      <w:r>
        <w:rPr>
          <w:rFonts w:ascii="Arial" w:cs="Arial" w:eastAsia="Arial" w:hAnsi="Arial"/>
          <w:sz w:val="22"/>
          <w:szCs w:val="22"/>
          <w:color w:val="auto"/>
        </w:rPr>
        <w:t>.</w:t>
      </w:r>
    </w:p>
    <w:p>
      <w:pPr>
        <w:spacing w:after="0" w:line="5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color w:val="auto"/>
        </w:rPr>
        <w:t xml:space="preserve">6.1 </w:t>
      </w:r>
      <w:r>
        <w:rPr>
          <w:rFonts w:ascii="Arial" w:cs="Arial" w:eastAsia="Arial" w:hAnsi="Arial"/>
          <w:sz w:val="21"/>
          <w:szCs w:val="21"/>
          <w:color w:val="auto"/>
        </w:rPr>
        <w:t>All claims by Executive for compensation and benefits under this Agreement shall be in writing and shall be</w:t>
      </w:r>
      <w:r>
        <w:rPr>
          <w:rFonts w:ascii="Arial" w:cs="Arial" w:eastAsia="Arial" w:hAnsi="Arial"/>
          <w:sz w:val="18"/>
          <w:szCs w:val="18"/>
          <w:color w:val="auto"/>
        </w:rPr>
        <w:t xml:space="preserve"> </w:t>
      </w:r>
      <w:r>
        <w:rPr>
          <w:rFonts w:ascii="Arial" w:cs="Arial" w:eastAsia="Arial" w:hAnsi="Arial"/>
          <w:sz w:val="21"/>
          <w:szCs w:val="21"/>
          <w:color w:val="auto"/>
        </w:rPr>
        <w:t>directed to and be determined by the Board or a Committee of the Board (the Board or such Committee is hereinafter referred to as the “Administrator”). Any denial by the Administrator of a claim for benefits under this Agreement shall be provided in writing to Executive within thirty (30) days of such</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18"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10(iii)A(87)</w:t>
      </w:r>
    </w:p>
    <w:p>
      <w:pPr>
        <w:spacing w:after="0" w:line="293"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decision and shall set forth the specific reasons for the denial and the specific provisions of this Agreement relied upon. The Administrator shall afford a reasonable opportunity to Executive for a review of its decision denying a claim and shall further allow Executive to request in writing that the Administrator reconsider the denial of the claim within sixty (60) days after notification by the Administrator that Executive’s claim has been denied.</w:t>
      </w:r>
    </w:p>
    <w:p>
      <w:pPr>
        <w:spacing w:after="0" w:line="2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20"/>
          <w:szCs w:val="20"/>
          <w:color w:val="auto"/>
        </w:rPr>
        <w:t>If the Company involuntarily terminates Executive without Cause or Executive terminates his/her employment</w:t>
      </w:r>
      <w:r>
        <w:rPr>
          <w:rFonts w:ascii="Arial" w:cs="Arial" w:eastAsia="Arial" w:hAnsi="Arial"/>
          <w:sz w:val="17"/>
          <w:szCs w:val="17"/>
          <w:color w:val="auto"/>
        </w:rPr>
        <w:t xml:space="preserve"> </w:t>
      </w:r>
      <w:r>
        <w:rPr>
          <w:rFonts w:ascii="Arial" w:cs="Arial" w:eastAsia="Arial" w:hAnsi="Arial"/>
          <w:sz w:val="20"/>
          <w:szCs w:val="20"/>
          <w:color w:val="auto"/>
        </w:rPr>
        <w:t>for Good Reason, then, in the event Executive incurs legal fees and other expenses in seeking to obtain or to enforce any rights or benefits provided by this Agreement and is successful to a significant extent in obtaining or enforcing any such rights or benefits through settlement, mediation, arbitration or otherwise, the Company shall promptly pay Executive’s reasonable legal fees and expenses and related costs incurred in enforcing this Agreement including, without limitation, attorneys fees and expenses, experts fees and expenses, and investigative fees. Except to the extent provided in the preceding sentence, each party shall pay its own legal fees and other expenses associated with any dispute under this Agreement.</w:t>
      </w:r>
    </w:p>
    <w:p>
      <w:pPr>
        <w:spacing w:after="0" w:line="23" w:lineRule="exact"/>
        <w:rPr>
          <w:sz w:val="20"/>
          <w:szCs w:val="20"/>
          <w:color w:val="auto"/>
        </w:rPr>
      </w:pPr>
    </w:p>
    <w:p>
      <w:pPr>
        <w:jc w:val="both"/>
        <w:ind w:firstLine="8"/>
        <w:spacing w:after="0" w:line="252" w:lineRule="auto"/>
        <w:tabs>
          <w:tab w:leader="none" w:pos="783" w:val="left"/>
        </w:tabs>
        <w:numPr>
          <w:ilvl w:val="0"/>
          <w:numId w:val="107"/>
        </w:numPr>
        <w:rPr>
          <w:rFonts w:ascii="Arial" w:cs="Arial" w:eastAsia="Arial" w:hAnsi="Arial"/>
          <w:sz w:val="16"/>
          <w:szCs w:val="16"/>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For the purposes of this Agreement, notices and all other communications provided for in the Agreement (including the Notice of Termination) shall be in writing and shall be deemed to have been duly given when personally delivered or sent by certified mail, return receipt requested, postage prepaid, addressed to the respective addresses last given by each party to the other, provided that all notices to the Company shall be directed to the attention of the Board with a copy to the Secretary of the Company. All notices and communications shall be deemed to have been received on the date of delivery thereof or on the third business day after the mailing thereof, except that notice of change of address shall be effective only upon receipt.</w:t>
      </w:r>
    </w:p>
    <w:p>
      <w:pPr>
        <w:spacing w:after="0" w:line="14" w:lineRule="exact"/>
        <w:rPr>
          <w:rFonts w:ascii="Arial" w:cs="Arial" w:eastAsia="Arial" w:hAnsi="Arial"/>
          <w:sz w:val="16"/>
          <w:szCs w:val="16"/>
          <w:color w:val="auto"/>
        </w:rPr>
      </w:pPr>
    </w:p>
    <w:p>
      <w:pPr>
        <w:jc w:val="both"/>
        <w:ind w:firstLine="8"/>
        <w:spacing w:after="0" w:line="252" w:lineRule="auto"/>
        <w:tabs>
          <w:tab w:leader="none" w:pos="783" w:val="left"/>
        </w:tabs>
        <w:numPr>
          <w:ilvl w:val="0"/>
          <w:numId w:val="107"/>
        </w:numPr>
        <w:rPr>
          <w:rFonts w:ascii="Arial" w:cs="Arial" w:eastAsia="Arial" w:hAnsi="Arial"/>
          <w:sz w:val="16"/>
          <w:szCs w:val="16"/>
          <w:color w:val="auto"/>
        </w:rPr>
      </w:pPr>
      <w:r>
        <w:rPr>
          <w:rFonts w:ascii="Arial" w:cs="Arial" w:eastAsia="Arial" w:hAnsi="Arial"/>
          <w:sz w:val="19"/>
          <w:szCs w:val="19"/>
          <w:u w:val="single" w:color="auto"/>
          <w:color w:val="auto"/>
        </w:rPr>
        <w:t>Non-Exclusivity of Rights</w:t>
      </w:r>
      <w:r>
        <w:rPr>
          <w:rFonts w:ascii="Arial" w:cs="Arial" w:eastAsia="Arial" w:hAnsi="Arial"/>
          <w:sz w:val="19"/>
          <w:szCs w:val="19"/>
          <w:color w:val="auto"/>
        </w:rPr>
        <w:t>. Except as otherwise specifically provided herein, nothing in this Agreement shall prevent or limit the Executive’s continuing or future participation in any benefit, bonus, incentive or other plan or program provided by the Company or any of its subsidiaries and for which the Executive may qualify, nor shall anything herein limit or reduce such rights as the Executive may have under any other agreements with the Company or any of its subsidiaries. Amounts which are vested benefits or which the Executive is otherwise entitled to receive under any plan or program of the Company or any of its subsidiaries shall be payable in accordance with such plan or program, except as explicitly modified by this Agreement.</w:t>
      </w:r>
    </w:p>
    <w:p>
      <w:pPr>
        <w:spacing w:after="0" w:line="14" w:lineRule="exact"/>
        <w:rPr>
          <w:rFonts w:ascii="Arial" w:cs="Arial" w:eastAsia="Arial" w:hAnsi="Arial"/>
          <w:sz w:val="16"/>
          <w:szCs w:val="16"/>
          <w:color w:val="auto"/>
        </w:rPr>
      </w:pPr>
    </w:p>
    <w:p>
      <w:pPr>
        <w:jc w:val="both"/>
        <w:ind w:firstLine="8"/>
        <w:spacing w:after="0" w:line="271" w:lineRule="auto"/>
        <w:tabs>
          <w:tab w:leader="none" w:pos="783" w:val="left"/>
        </w:tabs>
        <w:numPr>
          <w:ilvl w:val="0"/>
          <w:numId w:val="107"/>
        </w:numPr>
        <w:rPr>
          <w:rFonts w:ascii="Arial" w:cs="Arial" w:eastAsia="Arial" w:hAnsi="Arial"/>
          <w:sz w:val="16"/>
          <w:szCs w:val="16"/>
          <w:color w:val="auto"/>
        </w:rPr>
      </w:pPr>
      <w:r>
        <w:rPr>
          <w:rFonts w:ascii="Arial" w:cs="Arial" w:eastAsia="Arial" w:hAnsi="Arial"/>
          <w:sz w:val="19"/>
          <w:szCs w:val="19"/>
          <w:u w:val="single" w:color="auto"/>
          <w:color w:val="auto"/>
        </w:rPr>
        <w:t>Settlement of Claims</w:t>
      </w:r>
      <w:r>
        <w:rPr>
          <w:rFonts w:ascii="Arial" w:cs="Arial" w:eastAsia="Arial" w:hAnsi="Arial"/>
          <w:sz w:val="19"/>
          <w:szCs w:val="19"/>
          <w:color w:val="auto"/>
        </w:rPr>
        <w:t>. The Company’s obligation to make the payments provided for in this Agreement and otherwise to perform its obligations hereunder shall not be affected by any circumstances, including, without limitation, any set-off, counterclaim, recoupment, defense or other right which the Company may have against the Executive or others.</w:t>
      </w:r>
    </w:p>
    <w:p>
      <w:pPr>
        <w:spacing w:after="0" w:line="2" w:lineRule="exact"/>
        <w:rPr>
          <w:rFonts w:ascii="Arial" w:cs="Arial" w:eastAsia="Arial" w:hAnsi="Arial"/>
          <w:sz w:val="16"/>
          <w:szCs w:val="16"/>
          <w:color w:val="auto"/>
        </w:rPr>
      </w:pPr>
    </w:p>
    <w:p>
      <w:pPr>
        <w:jc w:val="both"/>
        <w:ind w:firstLine="8"/>
        <w:spacing w:after="0" w:line="252" w:lineRule="auto"/>
        <w:tabs>
          <w:tab w:leader="none" w:pos="873" w:val="left"/>
        </w:tabs>
        <w:numPr>
          <w:ilvl w:val="0"/>
          <w:numId w:val="107"/>
        </w:numPr>
        <w:rPr>
          <w:rFonts w:ascii="Arial" w:cs="Arial" w:eastAsia="Arial" w:hAnsi="Arial"/>
          <w:sz w:val="16"/>
          <w:szCs w:val="16"/>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No provision of this Agreement may be modified, waived or discharged unless such waiver, modification or discharge is agreed to in writing and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w:t>
      </w:r>
    </w:p>
    <w:p>
      <w:pPr>
        <w:spacing w:after="0" w:line="14" w:lineRule="exact"/>
        <w:rPr>
          <w:rFonts w:ascii="Arial" w:cs="Arial" w:eastAsia="Arial" w:hAnsi="Arial"/>
          <w:sz w:val="16"/>
          <w:szCs w:val="16"/>
          <w:color w:val="auto"/>
        </w:rPr>
      </w:pPr>
    </w:p>
    <w:p>
      <w:pPr>
        <w:jc w:val="both"/>
        <w:ind w:firstLine="8"/>
        <w:spacing w:after="0" w:line="252" w:lineRule="auto"/>
        <w:tabs>
          <w:tab w:leader="none" w:pos="866" w:val="left"/>
        </w:tabs>
        <w:numPr>
          <w:ilvl w:val="0"/>
          <w:numId w:val="107"/>
        </w:numPr>
        <w:rPr>
          <w:rFonts w:ascii="Arial" w:cs="Arial" w:eastAsia="Arial" w:hAnsi="Arial"/>
          <w:sz w:val="16"/>
          <w:szCs w:val="16"/>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During the term of this Agreement and for a period of three (3) years after Executive’s termination, the Company shall indemnify Executive and hold Executive harmless from and against any claim, loss or cause of action arising from or out of Executive’s performance as an officer, director or employee of the Company or any of its subsidiaries or other affiliates or in any other capacity, including any fiduciary capacity, in which Executive serves at the Company’s request, in each case to the maximum extent permitted by law and under the Company’s Articles of Incorporation and By-Laws (the “Governing Documents”), provided that in no event shall the protection afforded to Executive hereunder be less than that afforded under</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18"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10(iii)A(87)</w:t>
      </w:r>
    </w:p>
    <w:p>
      <w:pPr>
        <w:spacing w:after="0" w:line="293"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Governing Documents as in effect on the date of this Agreement except from changes mandated by law. During the Term and for a period of three (3) years, Executive shall be covered by any policy of directors’ and officers’ liability insurance maintained by the Company for the benefit of its then officers and directors.</w:t>
      </w:r>
    </w:p>
    <w:p>
      <w:pPr>
        <w:spacing w:after="0" w:line="24" w:lineRule="exact"/>
        <w:rPr>
          <w:sz w:val="20"/>
          <w:szCs w:val="20"/>
          <w:color w:val="auto"/>
        </w:rPr>
      </w:pPr>
    </w:p>
    <w:p>
      <w:pPr>
        <w:ind w:firstLine="8"/>
        <w:spacing w:after="0" w:line="239" w:lineRule="auto"/>
        <w:tabs>
          <w:tab w:leader="none" w:pos="873" w:val="left"/>
        </w:tabs>
        <w:numPr>
          <w:ilvl w:val="0"/>
          <w:numId w:val="108"/>
        </w:numPr>
        <w:rPr>
          <w:rFonts w:ascii="Arial" w:cs="Arial" w:eastAsia="Arial" w:hAnsi="Arial"/>
          <w:sz w:val="18"/>
          <w:szCs w:val="18"/>
          <w:color w:val="auto"/>
        </w:rPr>
      </w:pPr>
      <w:r>
        <w:rPr>
          <w:rFonts w:ascii="Arial" w:cs="Arial" w:eastAsia="Arial" w:hAnsi="Arial"/>
          <w:sz w:val="22"/>
          <w:szCs w:val="22"/>
          <w:u w:val="single" w:color="auto"/>
          <w:color w:val="auto"/>
        </w:rPr>
        <w:t>Termination, Amendments and Modifications</w:t>
      </w:r>
      <w:r>
        <w:rPr>
          <w:rFonts w:ascii="Arial" w:cs="Arial" w:eastAsia="Arial" w:hAnsi="Arial"/>
          <w:sz w:val="22"/>
          <w:szCs w:val="22"/>
          <w:color w:val="auto"/>
        </w:rPr>
        <w:t>. This Agreement may be terminated, amended or modified only by a writing signed by both parties hereto, which makes specific reference to this Agreement.</w:t>
      </w:r>
    </w:p>
    <w:p>
      <w:pPr>
        <w:spacing w:after="0" w:line="22" w:lineRule="exact"/>
        <w:rPr>
          <w:rFonts w:ascii="Arial" w:cs="Arial" w:eastAsia="Arial" w:hAnsi="Arial"/>
          <w:sz w:val="18"/>
          <w:szCs w:val="18"/>
          <w:color w:val="auto"/>
        </w:rPr>
      </w:pPr>
    </w:p>
    <w:p>
      <w:pPr>
        <w:jc w:val="both"/>
        <w:ind w:firstLine="8"/>
        <w:spacing w:after="0" w:line="271" w:lineRule="auto"/>
        <w:tabs>
          <w:tab w:leader="none" w:pos="873" w:val="left"/>
        </w:tabs>
        <w:numPr>
          <w:ilvl w:val="0"/>
          <w:numId w:val="108"/>
        </w:numPr>
        <w:rPr>
          <w:rFonts w:ascii="Arial" w:cs="Arial" w:eastAsia="Arial" w:hAnsi="Arial"/>
          <w:sz w:val="16"/>
          <w:szCs w:val="16"/>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and construed and enforced in accordance with the laws of the State of Georgia without giving effect to the conflict of laws principles thereof. Any action brought by any party to this Agreement shall be brought and maintained in a court of competent jurisdiction in Fulton County in the State of Georgia.</w:t>
      </w:r>
    </w:p>
    <w:p>
      <w:pPr>
        <w:spacing w:after="0" w:line="2" w:lineRule="exact"/>
        <w:rPr>
          <w:rFonts w:ascii="Arial" w:cs="Arial" w:eastAsia="Arial" w:hAnsi="Arial"/>
          <w:sz w:val="16"/>
          <w:szCs w:val="16"/>
          <w:color w:val="auto"/>
        </w:rPr>
      </w:pPr>
    </w:p>
    <w:p>
      <w:pPr>
        <w:ind w:right="20" w:firstLine="8"/>
        <w:spacing w:after="0" w:line="239" w:lineRule="auto"/>
        <w:tabs>
          <w:tab w:leader="none" w:pos="873" w:val="left"/>
        </w:tabs>
        <w:numPr>
          <w:ilvl w:val="0"/>
          <w:numId w:val="108"/>
        </w:numPr>
        <w:rPr>
          <w:rFonts w:ascii="Arial" w:cs="Arial" w:eastAsia="Arial" w:hAnsi="Arial"/>
          <w:sz w:val="18"/>
          <w:szCs w:val="18"/>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shall be deemed severable and the invalidity or unenforceability of any provision shall not affect the validity or enforceability of the other provisions hereof.</w:t>
      </w:r>
    </w:p>
    <w:p>
      <w:pPr>
        <w:spacing w:after="0" w:line="22" w:lineRule="exact"/>
        <w:rPr>
          <w:rFonts w:ascii="Arial" w:cs="Arial" w:eastAsia="Arial" w:hAnsi="Arial"/>
          <w:sz w:val="18"/>
          <w:szCs w:val="18"/>
          <w:color w:val="auto"/>
        </w:rPr>
      </w:pPr>
    </w:p>
    <w:p>
      <w:pPr>
        <w:jc w:val="both"/>
        <w:ind w:firstLine="8"/>
        <w:spacing w:after="0" w:line="248" w:lineRule="auto"/>
        <w:tabs>
          <w:tab w:leader="none" w:pos="873" w:val="left"/>
        </w:tabs>
        <w:numPr>
          <w:ilvl w:val="0"/>
          <w:numId w:val="108"/>
        </w:numPr>
        <w:rPr>
          <w:rFonts w:ascii="Arial" w:cs="Arial" w:eastAsia="Arial" w:hAnsi="Arial"/>
          <w:sz w:val="16"/>
          <w:szCs w:val="16"/>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encompasses the entire agreement of the parties with respect to the subject matter hereto and supersedes all previous understandings and agreements between them with respect to the subject matter hereto, whether oral or written, except that the restrictive covenants in this Agreement shall not supersede any restrictive covenants set forth in any other agreement between the Company and Executive (“Other Restrictive Covenants”). To the extent that the Other Restrictive Covenants conflict with the provisions contained in this Agreement, the provisions that are more restrictive on Executive will control. The parties hereby acknowledge and represent, that they have not relied on any representation, assertion, guarantee, warranty, collateral contract or other assurance, except those set out in this Agreement, made by or on behalf of any other party or any other person or entity whatsoever, prior to the execution of this Agreement.</w:t>
      </w:r>
    </w:p>
    <w:p>
      <w:pPr>
        <w:spacing w:after="0" w:line="4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the Company has caused this Agreement to be executed by its duly authorized officer and the Executive has executed this Agreement as of the day and year first above written.</w:t>
      </w:r>
    </w:p>
    <w:p>
      <w:pPr>
        <w:spacing w:after="0" w:line="200" w:lineRule="exact"/>
        <w:rPr>
          <w:sz w:val="20"/>
          <w:szCs w:val="20"/>
          <w:color w:val="auto"/>
        </w:rPr>
      </w:pPr>
    </w:p>
    <w:p>
      <w:pPr>
        <w:spacing w:after="0" w:line="207"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ACUITY BRANDS, INC.</w:t>
      </w:r>
    </w:p>
    <w:p>
      <w:pPr>
        <w:spacing w:after="0" w:line="63" w:lineRule="exact"/>
        <w:rPr>
          <w:sz w:val="20"/>
          <w:szCs w:val="20"/>
          <w:color w:val="auto"/>
        </w:rPr>
      </w:pPr>
    </w:p>
    <w:p>
      <w:pPr>
        <w:ind w:left="6660"/>
        <w:spacing w:after="0"/>
        <w:tabs>
          <w:tab w:leader="none" w:pos="726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34290</wp:posOffset>
            </wp:positionV>
            <wp:extent cx="25374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62">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6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Neil M. Ashe</w:t>
      </w:r>
    </w:p>
    <w:p>
      <w:pPr>
        <w:spacing w:after="0" w:line="6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EXECUTIVE</w:t>
      </w:r>
    </w:p>
    <w:p>
      <w:pPr>
        <w:spacing w:after="0" w:line="6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Dianne S.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31750</wp:posOffset>
            </wp:positionV>
            <wp:extent cx="29229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63">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53"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Dianne S. Mills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18" w:right="339" w:bottom="1440" w:gutter="0" w:footer="0" w:header="0"/>
        </w:sectPr>
      </w:pPr>
    </w:p>
    <w:bookmarkStart w:id="150" w:name="page151"/>
    <w:bookmarkEnd w:id="150"/>
    <w:p>
      <w:pPr>
        <w:spacing w:after="0" w:line="200" w:lineRule="exact"/>
        <w:rPr>
          <w:sz w:val="20"/>
          <w:szCs w:val="20"/>
          <w:color w:val="auto"/>
        </w:rPr>
      </w:pPr>
    </w:p>
    <w:p>
      <w:pPr>
        <w:spacing w:after="0" w:line="321" w:lineRule="exact"/>
        <w:rPr>
          <w:sz w:val="20"/>
          <w:szCs w:val="20"/>
          <w:color w:val="auto"/>
        </w:rPr>
      </w:pPr>
    </w:p>
    <w:p>
      <w:pPr>
        <w:jc w:val="center"/>
        <w:ind w:left="1180"/>
        <w:spacing w:after="0"/>
        <w:rPr>
          <w:sz w:val="20"/>
          <w:szCs w:val="20"/>
          <w:color w:val="auto"/>
        </w:rPr>
      </w:pPr>
      <w:r>
        <w:rPr>
          <w:rFonts w:ascii="Arial" w:cs="Arial" w:eastAsia="Arial" w:hAnsi="Arial"/>
          <w:sz w:val="22"/>
          <w:szCs w:val="22"/>
          <w:b w:val="1"/>
          <w:bCs w:val="1"/>
          <w:color w:val="auto"/>
        </w:rPr>
        <w:t>APPENDIX A</w:t>
      </w:r>
    </w:p>
    <w:p>
      <w:pPr>
        <w:spacing w:after="0" w:line="301" w:lineRule="exact"/>
        <w:rPr>
          <w:sz w:val="20"/>
          <w:szCs w:val="20"/>
          <w:color w:val="auto"/>
        </w:rPr>
      </w:pPr>
    </w:p>
    <w:p>
      <w:pPr>
        <w:jc w:val="center"/>
        <w:ind w:left="1180"/>
        <w:spacing w:after="0"/>
        <w:rPr>
          <w:sz w:val="20"/>
          <w:szCs w:val="20"/>
          <w:color w:val="auto"/>
        </w:rPr>
      </w:pPr>
      <w:r>
        <w:rPr>
          <w:rFonts w:ascii="Arial" w:cs="Arial" w:eastAsia="Arial" w:hAnsi="Arial"/>
          <w:sz w:val="22"/>
          <w:szCs w:val="22"/>
          <w:b w:val="1"/>
          <w:bCs w:val="1"/>
          <w:color w:val="auto"/>
        </w:rPr>
        <w:t>BENEFIT PLANS AND AGREEMENTS</w:t>
      </w:r>
    </w:p>
    <w:p>
      <w:pPr>
        <w:spacing w:after="0" w:line="30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(Applicable to the Extent Executive Participates in Such Plans and Agreements)</w:t>
      </w:r>
    </w:p>
    <w:p>
      <w:pPr>
        <w:spacing w:after="0" w:line="200" w:lineRule="exact"/>
        <w:rPr>
          <w:sz w:val="20"/>
          <w:szCs w:val="20"/>
          <w:color w:val="auto"/>
        </w:rPr>
      </w:pPr>
    </w:p>
    <w:p>
      <w:pPr>
        <w:spacing w:after="0" w:line="398" w:lineRule="exact"/>
        <w:rPr>
          <w:sz w:val="20"/>
          <w:szCs w:val="20"/>
          <w:color w:val="auto"/>
        </w:rPr>
      </w:pPr>
    </w:p>
    <w:p>
      <w:pPr>
        <w:ind w:left="320" w:hanging="320"/>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22"/>
          <w:szCs w:val="22"/>
          <w:color w:val="auto"/>
        </w:rPr>
        <w:t>Management Cash Incentive Plan (or similar plan covering the Executive)</w:t>
      </w:r>
    </w:p>
    <w:p>
      <w:pPr>
        <w:spacing w:after="0" w:line="84" w:lineRule="exact"/>
        <w:rPr>
          <w:rFonts w:ascii="Arial" w:cs="Arial" w:eastAsia="Arial" w:hAnsi="Arial"/>
          <w:sz w:val="18"/>
          <w:szCs w:val="18"/>
          <w:color w:val="auto"/>
        </w:rPr>
      </w:pPr>
    </w:p>
    <w:p>
      <w:pPr>
        <w:ind w:left="320" w:hanging="320"/>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22"/>
          <w:szCs w:val="22"/>
          <w:color w:val="auto"/>
        </w:rPr>
        <w:t>Supplemental Deferred Savings Plan (or similar plan covering the Executive)</w:t>
      </w:r>
    </w:p>
    <w:p>
      <w:pPr>
        <w:spacing w:after="0" w:line="84" w:lineRule="exact"/>
        <w:rPr>
          <w:rFonts w:ascii="Arial" w:cs="Arial" w:eastAsia="Arial" w:hAnsi="Arial"/>
          <w:sz w:val="18"/>
          <w:szCs w:val="18"/>
          <w:color w:val="auto"/>
        </w:rPr>
      </w:pPr>
    </w:p>
    <w:p>
      <w:pPr>
        <w:ind w:left="320" w:right="100" w:hanging="320"/>
        <w:spacing w:after="0" w:line="432" w:lineRule="auto"/>
        <w:tabs>
          <w:tab w:leader="none" w:pos="320" w:val="left"/>
        </w:tabs>
        <w:numPr>
          <w:ilvl w:val="0"/>
          <w:numId w:val="109"/>
        </w:numPr>
        <w:rPr>
          <w:rFonts w:ascii="Arial" w:cs="Arial" w:eastAsia="Arial" w:hAnsi="Arial"/>
          <w:sz w:val="16"/>
          <w:szCs w:val="16"/>
          <w:color w:val="auto"/>
        </w:rPr>
      </w:pPr>
      <w:r>
        <w:rPr>
          <w:rFonts w:ascii="Arial" w:cs="Arial" w:eastAsia="Arial" w:hAnsi="Arial"/>
          <w:sz w:val="19"/>
          <w:szCs w:val="19"/>
          <w:color w:val="auto"/>
        </w:rPr>
        <w:t>Omnibus Stock Incentive Compensation Plan (or similar plan covering the Executive) 401(k) Plan (or similar tax qualified deferred compensation plan covering the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Exhibit 10(iii)A(87)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2">
            <w:col w:w="8100" w:space="600"/>
            <w:col w:w="1560"/>
          </w:cols>
          <w:pgMar w:left="1300" w:top="118" w:right="339" w:bottom="1440" w:gutter="0" w:footer="0" w:header="0"/>
        </w:sectPr>
      </w:pPr>
    </w:p>
    <w:bookmarkStart w:id="151" w:name="page152"/>
    <w:bookmarkEnd w:id="151"/>
    <w:p>
      <w:pPr>
        <w:ind w:left="9680"/>
        <w:spacing w:after="0"/>
        <w:rPr>
          <w:sz w:val="20"/>
          <w:szCs w:val="20"/>
          <w:color w:val="auto"/>
        </w:rPr>
      </w:pPr>
      <w:r>
        <w:rPr>
          <w:rFonts w:ascii="Arial" w:cs="Arial" w:eastAsia="Arial" w:hAnsi="Arial"/>
          <w:sz w:val="17"/>
          <w:szCs w:val="17"/>
          <w:b w:val="1"/>
          <w:bCs w:val="1"/>
          <w:color w:val="auto"/>
        </w:rPr>
        <w:t>Exhibit 10(iii)A(88)</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ACUITY BRANDS, INC.</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SEVERANCE AGREEMENT</w:t>
      </w:r>
    </w:p>
    <w:p>
      <w:pPr>
        <w:spacing w:after="0" w:line="384"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THIS SEVERANCE AGREEMENT (the “Agreement”) is made and entered into as of March 2, 2020, by and between ACUITY BRANDS, INC., a Delaware corporation (the “Company”), and </w:t>
      </w:r>
      <w:r>
        <w:rPr>
          <w:rFonts w:ascii="Arial" w:cs="Arial" w:eastAsia="Arial" w:hAnsi="Arial"/>
          <w:sz w:val="20"/>
          <w:szCs w:val="20"/>
          <w:b w:val="1"/>
          <w:bCs w:val="1"/>
          <w:color w:val="auto"/>
        </w:rPr>
        <w:t>Dianne S. Mills</w:t>
      </w:r>
      <w:r>
        <w:rPr>
          <w:rFonts w:ascii="Arial" w:cs="Arial" w:eastAsia="Arial" w:hAnsi="Arial"/>
          <w:sz w:val="20"/>
          <w:szCs w:val="20"/>
          <w:color w:val="auto"/>
        </w:rPr>
        <w:t xml:space="preserve"> (“Executive”).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WITNESSETH:</w:t>
      </w:r>
    </w:p>
    <w:p>
      <w:pPr>
        <w:spacing w:after="0" w:line="3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Executive is a key employee of the Company and an integral part of the Company’s management;</w:t>
      </w:r>
    </w:p>
    <w:p>
      <w:pPr>
        <w:spacing w:after="0" w:line="37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WHEREAS, the Company desires to provide the Executive with certain benefits if the Executive’s employment is terminated involuntarily under certain circumstances;</w:t>
      </w:r>
    </w:p>
    <w:p>
      <w:pPr>
        <w:spacing w:after="0" w:line="3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and the Executive have determined it is in their mutual best interests to enter into this Agreement; and</w:t>
      </w: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parties hereby agree as follows:</w:t>
      </w:r>
    </w:p>
    <w:p>
      <w:pPr>
        <w:spacing w:after="0" w:line="372"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20"/>
          <w:szCs w:val="20"/>
          <w:b w:val="1"/>
          <w:bCs w:val="1"/>
          <w:color w:val="auto"/>
        </w:rPr>
        <w:t>TERM OF AGREEMENT.</w:t>
      </w:r>
    </w:p>
    <w:p>
      <w:pPr>
        <w:spacing w:after="0" w:line="8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Agreement shall commence on the date hereof and shall continue unless or until terminated as provided herein. This Agreement shall not be considered an employment agreement and in no way guarantees Executive the right to continue in the employment of the Company or its affiliates. Executive’s employment is considered employment at will, subject to Executive’s right to receive payments and benefits upon certain terminations of employment as provided below.</w:t>
      </w:r>
    </w:p>
    <w:p>
      <w:pPr>
        <w:spacing w:after="0" w:line="353"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As of the date hereof, to the extent that the Executive and the Company have previously entered into a severance agreement related to the terms and conditions addressed in this Agreement, such agreement is superseded and replaced in its entirety by this Agreement. Unless it is specifically provided otherwise, this Agreement does not supersede any Change in Control Agreement between the parties that relates specifically to termination and severance benefits in connection with a “change in control” (as defined in such Change in Control Agreement) of the Company.</w:t>
      </w:r>
    </w:p>
    <w:p>
      <w:pPr>
        <w:spacing w:after="0" w:line="350"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20"/>
          <w:szCs w:val="20"/>
          <w:b w:val="1"/>
          <w:bCs w:val="1"/>
          <w:color w:val="auto"/>
        </w:rPr>
        <w:t>DEFINITIONS.</w:t>
      </w:r>
    </w:p>
    <w:p>
      <w:pPr>
        <w:spacing w:after="0" w:line="8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For purposes of this Agreement, the following terms shall have the meanings specified below:</w:t>
      </w:r>
    </w:p>
    <w:p>
      <w:pPr>
        <w:spacing w:after="0" w:line="29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or “</w:t>
      </w:r>
      <w:r>
        <w:rPr>
          <w:rFonts w:ascii="Arial" w:cs="Arial" w:eastAsia="Arial" w:hAnsi="Arial"/>
          <w:sz w:val="18"/>
          <w:szCs w:val="18"/>
          <w:b w:val="1"/>
          <w:bCs w:val="1"/>
          <w:color w:val="auto"/>
        </w:rPr>
        <w:t>Board of Directors”</w:t>
      </w:r>
      <w:r>
        <w:rPr>
          <w:rFonts w:ascii="Arial" w:cs="Arial" w:eastAsia="Arial" w:hAnsi="Arial"/>
          <w:sz w:val="18"/>
          <w:szCs w:val="18"/>
          <w:color w:val="auto"/>
        </w:rPr>
        <w:t>. The Board of Directors of Acuity Brands, Inc., or its successor.</w:t>
      </w:r>
    </w:p>
    <w:p>
      <w:pPr>
        <w:spacing w:after="0" w:line="104"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The involuntary termination of Executive by the Company for the following reasons shall constitute a</w:t>
      </w:r>
      <w:r>
        <w:rPr>
          <w:rFonts w:ascii="Arial" w:cs="Arial" w:eastAsia="Arial" w:hAnsi="Arial"/>
          <w:sz w:val="18"/>
          <w:szCs w:val="18"/>
          <w:color w:val="auto"/>
        </w:rPr>
        <w:t xml:space="preserve"> </w:t>
      </w:r>
      <w:r>
        <w:rPr>
          <w:rFonts w:ascii="Arial" w:cs="Arial" w:eastAsia="Arial" w:hAnsi="Arial"/>
          <w:sz w:val="19"/>
          <w:szCs w:val="19"/>
          <w:color w:val="auto"/>
        </w:rPr>
        <w:t>termination for Cause:</w:t>
      </w:r>
    </w:p>
    <w:p>
      <w:pPr>
        <w:spacing w:after="0" w:line="1" w:lineRule="exact"/>
        <w:rPr>
          <w:sz w:val="20"/>
          <w:szCs w:val="20"/>
          <w:color w:val="auto"/>
        </w:rPr>
      </w:pPr>
    </w:p>
    <w:p>
      <w:pPr>
        <w:ind w:left="660" w:firstLine="644"/>
        <w:spacing w:after="0" w:line="260" w:lineRule="auto"/>
        <w:tabs>
          <w:tab w:leader="none" w:pos="2156" w:val="left"/>
        </w:tabs>
        <w:numPr>
          <w:ilvl w:val="0"/>
          <w:numId w:val="112"/>
        </w:numPr>
        <w:rPr>
          <w:rFonts w:ascii="Arial" w:cs="Arial" w:eastAsia="Arial" w:hAnsi="Arial"/>
          <w:sz w:val="18"/>
          <w:szCs w:val="18"/>
          <w:color w:val="auto"/>
        </w:rPr>
      </w:pPr>
      <w:r>
        <w:rPr>
          <w:rFonts w:ascii="Arial" w:cs="Arial" w:eastAsia="Arial" w:hAnsi="Arial"/>
          <w:sz w:val="20"/>
          <w:szCs w:val="20"/>
          <w:color w:val="auto"/>
        </w:rPr>
        <w:t>If termination shall have been the result of an act or acts by the Executive which have been found in an applicable court of law to constitute a felony (other than traffic-related offenses);</w:t>
      </w:r>
    </w:p>
    <w:p>
      <w:pPr>
        <w:spacing w:after="0" w:line="28" w:lineRule="exact"/>
        <w:rPr>
          <w:rFonts w:ascii="Arial" w:cs="Arial" w:eastAsia="Arial" w:hAnsi="Arial"/>
          <w:sz w:val="18"/>
          <w:szCs w:val="18"/>
          <w:color w:val="auto"/>
        </w:rPr>
      </w:pPr>
    </w:p>
    <w:p>
      <w:pPr>
        <w:ind w:left="660" w:firstLine="644"/>
        <w:spacing w:after="0" w:line="316" w:lineRule="auto"/>
        <w:tabs>
          <w:tab w:leader="none" w:pos="2166" w:val="left"/>
        </w:tabs>
        <w:numPr>
          <w:ilvl w:val="0"/>
          <w:numId w:val="112"/>
        </w:numPr>
        <w:rPr>
          <w:rFonts w:ascii="Arial" w:cs="Arial" w:eastAsia="Arial" w:hAnsi="Arial"/>
          <w:sz w:val="16"/>
          <w:szCs w:val="16"/>
          <w:color w:val="auto"/>
        </w:rPr>
      </w:pPr>
      <w:r>
        <w:rPr>
          <w:rFonts w:ascii="Arial" w:cs="Arial" w:eastAsia="Arial" w:hAnsi="Arial"/>
          <w:sz w:val="18"/>
          <w:szCs w:val="18"/>
          <w:color w:val="auto"/>
        </w:rPr>
        <w:t>If termination shall have been the result of an act or acts by the Executive which are in the good faith judgment of the Company to be in violation of law or of written policies of the Company and which result in material injury to the Company;</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8" w:right="339" w:bottom="1440" w:gutter="0" w:footer="0" w:header="0"/>
        </w:sectPr>
      </w:pPr>
    </w:p>
    <w:bookmarkStart w:id="152" w:name="page153"/>
    <w:bookmarkEnd w:id="152"/>
    <w:p>
      <w:pPr>
        <w:ind w:left="9680"/>
        <w:spacing w:after="0"/>
        <w:rPr>
          <w:sz w:val="20"/>
          <w:szCs w:val="20"/>
          <w:color w:val="auto"/>
        </w:rPr>
      </w:pPr>
      <w:r>
        <w:rPr>
          <w:rFonts w:ascii="Arial" w:cs="Arial" w:eastAsia="Arial" w:hAnsi="Arial"/>
          <w:sz w:val="17"/>
          <w:szCs w:val="17"/>
          <w:b w:val="1"/>
          <w:bCs w:val="1"/>
          <w:color w:val="auto"/>
        </w:rPr>
        <w:t>Exhibit 10(iii)A(88)</w:t>
      </w:r>
    </w:p>
    <w:p>
      <w:pPr>
        <w:spacing w:after="0" w:line="323" w:lineRule="exact"/>
        <w:rPr>
          <w:sz w:val="20"/>
          <w:szCs w:val="20"/>
          <w:color w:val="auto"/>
        </w:rPr>
      </w:pPr>
    </w:p>
    <w:p>
      <w:pPr>
        <w:ind w:left="660" w:firstLine="644"/>
        <w:spacing w:after="0" w:line="287" w:lineRule="auto"/>
        <w:tabs>
          <w:tab w:leader="none" w:pos="2156" w:val="left"/>
        </w:tabs>
        <w:numPr>
          <w:ilvl w:val="0"/>
          <w:numId w:val="113"/>
        </w:numPr>
        <w:rPr>
          <w:rFonts w:ascii="Arial" w:cs="Arial" w:eastAsia="Arial" w:hAnsi="Arial"/>
          <w:sz w:val="17"/>
          <w:szCs w:val="17"/>
          <w:color w:val="auto"/>
        </w:rPr>
      </w:pPr>
      <w:r>
        <w:rPr>
          <w:rFonts w:ascii="Arial" w:cs="Arial" w:eastAsia="Arial" w:hAnsi="Arial"/>
          <w:sz w:val="19"/>
          <w:szCs w:val="19"/>
          <w:color w:val="auto"/>
        </w:rPr>
        <w:t>If termination shall have been the result of an act or acts of dishonesty by the Executive resulting or intended to result directly or indirectly in gain or personal enrichment to the Executive at the expense of the Company; or</w:t>
      </w:r>
    </w:p>
    <w:p>
      <w:pPr>
        <w:spacing w:after="0" w:line="3" w:lineRule="exact"/>
        <w:rPr>
          <w:rFonts w:ascii="Arial" w:cs="Arial" w:eastAsia="Arial" w:hAnsi="Arial"/>
          <w:sz w:val="17"/>
          <w:szCs w:val="17"/>
          <w:color w:val="auto"/>
        </w:rPr>
      </w:pPr>
    </w:p>
    <w:p>
      <w:pPr>
        <w:jc w:val="both"/>
        <w:ind w:left="660" w:firstLine="644"/>
        <w:spacing w:after="0" w:line="249" w:lineRule="auto"/>
        <w:tabs>
          <w:tab w:leader="none" w:pos="2166" w:val="left"/>
        </w:tabs>
        <w:numPr>
          <w:ilvl w:val="0"/>
          <w:numId w:val="113"/>
        </w:numPr>
        <w:rPr>
          <w:rFonts w:ascii="Arial" w:cs="Arial" w:eastAsia="Arial" w:hAnsi="Arial"/>
          <w:sz w:val="17"/>
          <w:szCs w:val="17"/>
          <w:color w:val="auto"/>
        </w:rPr>
      </w:pPr>
      <w:r>
        <w:rPr>
          <w:rFonts w:ascii="Arial" w:cs="Arial" w:eastAsia="Arial" w:hAnsi="Arial"/>
          <w:sz w:val="19"/>
          <w:szCs w:val="19"/>
          <w:color w:val="auto"/>
        </w:rPr>
        <w:t>Upon the continued failure by the Executive substantially to perform the duties reasonably assigned to Executive given Executive’s training and experience (other than any such failure resulting from incapacity due to mental or physical illness not constituting a Disability, as defined herein), after a demand in writing for substantial performance of such duties is delivered by the Company, which demand specifically identifies the manner in which the Company believes that the Executive has not substantially performed his/her duties and such failure results in material injury to the Company.</w:t>
      </w:r>
    </w:p>
    <w:p>
      <w:pPr>
        <w:spacing w:after="0" w:line="4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If Executive’s employment is terminated for any reason, the supervising executive to whom Executive directly reports (the “Supervising Executive”) shall make a determination whether or not the termination was for Cause. If the Supervising Executive determines that the termination was for Cause, then, within thirty (30) days of such termination, the Company shall provide written notice to the Executive indicating that the termination was for Cause and noting that benefits will not be made available to the Executive pursuant to this Agreement.</w:t>
      </w:r>
    </w:p>
    <w:p>
      <w:pPr>
        <w:spacing w:after="0" w:line="35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9"/>
          <w:szCs w:val="19"/>
          <w:b w:val="1"/>
          <w:bCs w:val="1"/>
          <w:color w:val="auto"/>
        </w:rPr>
        <w:t>“Change in Control Agreement”</w:t>
      </w:r>
      <w:r>
        <w:rPr>
          <w:rFonts w:ascii="Arial" w:cs="Arial" w:eastAsia="Arial" w:hAnsi="Arial"/>
          <w:sz w:val="19"/>
          <w:szCs w:val="19"/>
          <w:color w:val="auto"/>
        </w:rPr>
        <w:t>. An agreement between Executive and the Company providing for the payment of</w:t>
      </w:r>
      <w:r>
        <w:rPr>
          <w:rFonts w:ascii="Arial" w:cs="Arial" w:eastAsia="Arial" w:hAnsi="Arial"/>
          <w:sz w:val="18"/>
          <w:szCs w:val="18"/>
          <w:color w:val="auto"/>
        </w:rPr>
        <w:t xml:space="preserve"> </w:t>
      </w:r>
      <w:r>
        <w:rPr>
          <w:rFonts w:ascii="Arial" w:cs="Arial" w:eastAsia="Arial" w:hAnsi="Arial"/>
          <w:sz w:val="19"/>
          <w:szCs w:val="19"/>
          <w:color w:val="auto"/>
        </w:rPr>
        <w:t>compensation and benefits to Executive in the event of Executive’s termination of employment under certain circumstances following a “change in control” of the Company (as defined in such agreement).</w:t>
      </w:r>
    </w:p>
    <w:p>
      <w:pPr>
        <w:spacing w:after="0" w:line="19"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Acuity Brands, Inc., a Delaware corporation, or any successor to its business and/or assets.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 xml:space="preserve">2.5 </w:t>
      </w:r>
      <w:r>
        <w:rPr>
          <w:rFonts w:ascii="Arial" w:cs="Arial" w:eastAsia="Arial" w:hAnsi="Arial"/>
          <w:sz w:val="20"/>
          <w:szCs w:val="20"/>
          <w:b w:val="1"/>
          <w:bCs w:val="1"/>
          <w:color w:val="auto"/>
        </w:rPr>
        <w:t>“Date of Termination</w:t>
      </w:r>
      <w:r>
        <w:rPr>
          <w:rFonts w:ascii="Arial" w:cs="Arial" w:eastAsia="Arial" w:hAnsi="Arial"/>
          <w:sz w:val="20"/>
          <w:szCs w:val="20"/>
          <w:color w:val="auto"/>
        </w:rPr>
        <w:t>”. The date specified in the Notice of Termination (which may be immediate) as the date upon which the Executive’s employment with the Company is to cease.</w:t>
      </w:r>
    </w:p>
    <w:p>
      <w:pPr>
        <w:spacing w:after="0" w:line="3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 xml:space="preserve">2.6 </w:t>
      </w:r>
      <w:r>
        <w:rPr>
          <w:rFonts w:ascii="Arial" w:cs="Arial" w:eastAsia="Arial" w:hAnsi="Arial"/>
          <w:sz w:val="20"/>
          <w:szCs w:val="20"/>
          <w:b w:val="1"/>
          <w:bCs w:val="1"/>
          <w:color w:val="auto"/>
        </w:rPr>
        <w:t>“Disability”.</w:t>
      </w:r>
      <w:r>
        <w:rPr>
          <w:rFonts w:ascii="Arial" w:cs="Arial" w:eastAsia="Arial" w:hAnsi="Arial"/>
          <w:sz w:val="20"/>
          <w:szCs w:val="20"/>
          <w:color w:val="auto"/>
        </w:rPr>
        <w:t xml:space="preserve"> Disability shall have the meaning ascribed to such term in the Company’s long-term disability plan covering the Executive, or in the absence of such plan, a meaning consistent with Section 22(e)(3) of the Code. The determination of Disability shall be made by the Company in a manner consistent with the requirements of Section 409A.</w:t>
      </w:r>
    </w:p>
    <w:p>
      <w:pPr>
        <w:spacing w:after="0" w:line="42"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Notice of Termination</w:t>
      </w:r>
      <w:r>
        <w:rPr>
          <w:rFonts w:ascii="Arial" w:cs="Arial" w:eastAsia="Arial" w:hAnsi="Arial"/>
          <w:sz w:val="18"/>
          <w:szCs w:val="18"/>
          <w:color w:val="auto"/>
        </w:rPr>
        <w:t>”. A written notice from the Company to the Executive specifying the Date of Termination.</w:t>
      </w:r>
    </w:p>
    <w:p>
      <w:pPr>
        <w:spacing w:after="0" w:line="67"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9"/>
          <w:szCs w:val="19"/>
          <w:b w:val="1"/>
          <w:bCs w:val="1"/>
          <w:color w:val="auto"/>
        </w:rPr>
        <w:t>“Section 409A</w:t>
      </w:r>
      <w:r>
        <w:rPr>
          <w:rFonts w:ascii="Arial" w:cs="Arial" w:eastAsia="Arial" w:hAnsi="Arial"/>
          <w:sz w:val="19"/>
          <w:szCs w:val="19"/>
          <w:color w:val="auto"/>
        </w:rPr>
        <w:t>”. Section 409A of the Internal Revenue Code of 1986, as amended, and the regulations and rulings</w:t>
      </w:r>
      <w:r>
        <w:rPr>
          <w:rFonts w:ascii="Arial" w:cs="Arial" w:eastAsia="Arial" w:hAnsi="Arial"/>
          <w:sz w:val="18"/>
          <w:szCs w:val="18"/>
          <w:color w:val="auto"/>
        </w:rPr>
        <w:t xml:space="preserve"> </w:t>
      </w:r>
      <w:r>
        <w:rPr>
          <w:rFonts w:ascii="Arial" w:cs="Arial" w:eastAsia="Arial" w:hAnsi="Arial"/>
          <w:sz w:val="19"/>
          <w:szCs w:val="19"/>
          <w:color w:val="auto"/>
        </w:rPr>
        <w:t>thereunder.</w:t>
      </w:r>
    </w:p>
    <w:p>
      <w:pPr>
        <w:ind w:left="660"/>
        <w:spacing w:after="0"/>
        <w:tabs>
          <w:tab w:leader="none" w:pos="154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8"/>
          <w:szCs w:val="18"/>
          <w:b w:val="1"/>
          <w:bCs w:val="1"/>
          <w:color w:val="auto"/>
        </w:rPr>
        <w:t>“Severance Period</w:t>
      </w:r>
      <w:r>
        <w:rPr>
          <w:rFonts w:ascii="Arial" w:cs="Arial" w:eastAsia="Arial" w:hAnsi="Arial"/>
          <w:sz w:val="18"/>
          <w:szCs w:val="18"/>
          <w:color w:val="auto"/>
        </w:rPr>
        <w:t>”. A period equal to twelve (12) months from the Executive’s Date of Termination.</w:t>
      </w:r>
    </w:p>
    <w:p>
      <w:pPr>
        <w:spacing w:after="0" w:line="67" w:lineRule="exact"/>
        <w:rPr>
          <w:sz w:val="20"/>
          <w:szCs w:val="20"/>
          <w:color w:val="auto"/>
        </w:rPr>
      </w:pPr>
    </w:p>
    <w:p>
      <w:pPr>
        <w:ind w:left="800" w:hanging="792"/>
        <w:spacing w:after="0"/>
        <w:tabs>
          <w:tab w:leader="none" w:pos="800" w:val="left"/>
        </w:tabs>
        <w:numPr>
          <w:ilvl w:val="0"/>
          <w:numId w:val="114"/>
        </w:numPr>
        <w:rPr>
          <w:rFonts w:ascii="Arial" w:cs="Arial" w:eastAsia="Arial" w:hAnsi="Arial"/>
          <w:sz w:val="18"/>
          <w:szCs w:val="18"/>
          <w:color w:val="auto"/>
        </w:rPr>
      </w:pPr>
      <w:r>
        <w:rPr>
          <w:rFonts w:ascii="Arial" w:cs="Arial" w:eastAsia="Arial" w:hAnsi="Arial"/>
          <w:sz w:val="20"/>
          <w:szCs w:val="20"/>
          <w:b w:val="1"/>
          <w:bCs w:val="1"/>
          <w:color w:val="auto"/>
        </w:rPr>
        <w:t>SCOPE OF AGREEMENT.</w:t>
      </w:r>
    </w:p>
    <w:p>
      <w:pPr>
        <w:spacing w:after="0" w:line="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This Agreement provides for the payment of compensation and benefits to Executive in the event his/her employment is involuntarily terminated by the Company without Cause. If Executive is terminated by the Company for Cause, dies, incurs a Disability or voluntarily terminates employment, this Agreement shall terminate (except that the restrictive covenants contained herein shall survive termination of this Agreement), and Executive shall be entitled to no payments of compensation or benefits pursuant to the terms of this Agreement; provided that in such events, Executive will be entitled to whatever benefits are payable pursuant to the terms of any health, life insurance, disability, welfare, retirement, deferred compensation, or other plan or program maintained by the Company.</w:t>
      </w:r>
    </w:p>
    <w:p>
      <w:pPr>
        <w:spacing w:after="0" w:line="32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as a result of Executive’s termination of employment, Executive becomes entitled to compensation and benefits under this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Agreement and under a Change in Control Agreement, Executive shall be entitled to receive benefits under whichever agreement provides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the greater aggregate compensation and benefits (and not under the other agreement) and there shall be no duplication of benefits.</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8" w:right="339" w:bottom="1440" w:gutter="0" w:footer="0" w:header="0"/>
        </w:sectPr>
      </w:pPr>
    </w:p>
    <w:bookmarkStart w:id="153" w:name="page154"/>
    <w:bookmarkEnd w:id="153"/>
    <w:p>
      <w:pPr>
        <w:ind w:left="9680"/>
        <w:spacing w:after="0"/>
        <w:rPr>
          <w:sz w:val="20"/>
          <w:szCs w:val="20"/>
          <w:color w:val="auto"/>
        </w:rPr>
      </w:pPr>
      <w:r>
        <w:rPr>
          <w:rFonts w:ascii="Arial" w:cs="Arial" w:eastAsia="Arial" w:hAnsi="Arial"/>
          <w:sz w:val="17"/>
          <w:szCs w:val="17"/>
          <w:b w:val="1"/>
          <w:bCs w:val="1"/>
          <w:color w:val="auto"/>
        </w:rPr>
        <w:t>Exhibit 10(iii)A(88)</w:t>
      </w:r>
    </w:p>
    <w:p>
      <w:pPr>
        <w:spacing w:after="0" w:line="317"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20"/>
          <w:szCs w:val="20"/>
          <w:b w:val="1"/>
          <w:bCs w:val="1"/>
          <w:color w:val="auto"/>
        </w:rPr>
        <w:t>BENEFITS UPON INVOLUNTARY TERMINATION WITHOUT CAUSE BY THE COMPANY</w:t>
      </w:r>
    </w:p>
    <w:p>
      <w:pPr>
        <w:spacing w:after="0" w:line="8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If Executive’s employment is involuntarily terminated by the Company during the term of this Agreement without Cause (and such termination does not arise as a result of Executive’s death or Disability), the Executive shall be entitled to the compensation and benefits described below, provided that Executive timely executes and does not revoke a valid release of claims in such form as may be required by the Company, and Executive abides by the provisions of this Agreement. If the Executive’s release execution period begins in one taxable year and ends in another taxable year, payments under this Section 4 shall not be made until the beginning of the second taxable year.</w:t>
      </w:r>
    </w:p>
    <w:p>
      <w:pPr>
        <w:spacing w:after="0" w:line="327" w:lineRule="exact"/>
        <w:rPr>
          <w:sz w:val="20"/>
          <w:szCs w:val="20"/>
          <w:color w:val="auto"/>
        </w:rPr>
      </w:pPr>
    </w:p>
    <w:p>
      <w:pPr>
        <w:jc w:val="both"/>
        <w:ind w:right="20" w:firstLine="648"/>
        <w:spacing w:after="0" w:line="305"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8"/>
          <w:szCs w:val="18"/>
          <w:u w:val="single" w:color="auto"/>
          <w:color w:val="auto"/>
        </w:rPr>
        <w:t>Base Salary</w:t>
      </w:r>
      <w:r>
        <w:rPr>
          <w:rFonts w:ascii="Arial" w:cs="Arial" w:eastAsia="Arial" w:hAnsi="Arial"/>
          <w:sz w:val="18"/>
          <w:szCs w:val="18"/>
          <w:color w:val="auto"/>
        </w:rPr>
        <w:t>. Executive shall continue to receive his/her Base Salary (subject to withholding of all applicable taxes) for the</w:t>
      </w:r>
      <w:r>
        <w:rPr>
          <w:rFonts w:ascii="Arial" w:cs="Arial" w:eastAsia="Arial" w:hAnsi="Arial"/>
          <w:sz w:val="17"/>
          <w:szCs w:val="17"/>
          <w:color w:val="auto"/>
        </w:rPr>
        <w:t xml:space="preserve"> </w:t>
      </w:r>
      <w:r>
        <w:rPr>
          <w:rFonts w:ascii="Arial" w:cs="Arial" w:eastAsia="Arial" w:hAnsi="Arial"/>
          <w:sz w:val="18"/>
          <w:szCs w:val="18"/>
          <w:color w:val="auto"/>
        </w:rPr>
        <w:t>entire Severance Period (as defined in Section 2 above), payable in the same manner as it was being paid on his/her Date of Termination.</w:t>
      </w:r>
    </w:p>
    <w:p>
      <w:pPr>
        <w:jc w:val="both"/>
        <w:ind w:firstLine="648"/>
        <w:spacing w:after="0" w:line="241"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9"/>
          <w:szCs w:val="19"/>
          <w:u w:val="single" w:color="auto"/>
          <w:color w:val="auto"/>
        </w:rPr>
        <w:t>Annual Bonus</w:t>
      </w:r>
      <w:r>
        <w:rPr>
          <w:rFonts w:ascii="Arial" w:cs="Arial" w:eastAsia="Arial" w:hAnsi="Arial"/>
          <w:sz w:val="19"/>
          <w:szCs w:val="19"/>
          <w:color w:val="auto"/>
        </w:rPr>
        <w:t>. Executive shall be paid an amount equal to the greater of (i) 75% of employee’s gross salary, multiplied by</w:t>
      </w:r>
      <w:r>
        <w:rPr>
          <w:rFonts w:ascii="Arial" w:cs="Arial" w:eastAsia="Arial" w:hAnsi="Arial"/>
          <w:sz w:val="18"/>
          <w:szCs w:val="18"/>
          <w:color w:val="auto"/>
        </w:rPr>
        <w:t xml:space="preserve"> </w:t>
      </w:r>
      <w:r>
        <w:rPr>
          <w:rFonts w:ascii="Arial" w:cs="Arial" w:eastAsia="Arial" w:hAnsi="Arial"/>
          <w:sz w:val="19"/>
          <w:szCs w:val="19"/>
          <w:color w:val="auto"/>
        </w:rPr>
        <w:t>a fraction (the “Pro Rata Fraction”), the numerator of which is the number of days that have elapsed in the then current fiscal year through Executive’s Date of Termination and the denominator of which is 365, or (ii) the annual incentive bonus that would be paid or payable to Executive under the Incentive Plan based upon the Company’s actual performance for such fiscal year, multiplied by the Pro Rata Fraction. The bonus amount determined pursuant to this Section 4.2(i) shall be paid to Executive within thirty (30) days after the effective date of a confidential severance agreement and release entered into between Executive and Company referenced in Section 4.8, and any additional amount payable pursuant to Section 4.2(ii) shall be payable at the same time as bonuses are payable to other executives under the Incentive Plan. “Incentive Plan” shall mean the Acuity Brands, Inc. Management Cash Incentive Plan for the fiscal year in which the Executive’s Termination of Employment occurs. Terms used in this Section 4.2 shall have the meaning ascribed them in the Incentive Plan. The bonus amount determined pursuant to this section shall be subject to withholding of all applicable taxes. In the event Executive becomes entitled to a bonus under this Section 4.2 and under the Incentive Plan in connection with a change in control (as defined in the Incentive Plan), Executive shall be entitled to receive whichever bonus amount is greater and Executive shall not receive a duplicate bonus for the same fiscal year (or portion of a fiscal year).</w:t>
      </w:r>
    </w:p>
    <w:p>
      <w:pPr>
        <w:spacing w:after="0" w:line="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9"/>
          <w:szCs w:val="19"/>
          <w:u w:val="single" w:color="auto"/>
          <w:color w:val="auto"/>
        </w:rPr>
        <w:t>Accrued Vacation</w:t>
      </w:r>
      <w:r>
        <w:rPr>
          <w:rFonts w:ascii="Arial" w:cs="Arial" w:eastAsia="Arial" w:hAnsi="Arial"/>
          <w:sz w:val="19"/>
          <w:szCs w:val="19"/>
          <w:color w:val="auto"/>
        </w:rPr>
        <w:t>. Executive shall be paid an amount equal to Executive’s accrued but unused vacation (determined in</w:t>
      </w:r>
      <w:r>
        <w:rPr>
          <w:rFonts w:ascii="Arial" w:cs="Arial" w:eastAsia="Arial" w:hAnsi="Arial"/>
          <w:sz w:val="18"/>
          <w:szCs w:val="18"/>
          <w:color w:val="auto"/>
        </w:rPr>
        <w:t xml:space="preserve"> </w:t>
      </w:r>
      <w:r>
        <w:rPr>
          <w:rFonts w:ascii="Arial" w:cs="Arial" w:eastAsia="Arial" w:hAnsi="Arial"/>
          <w:sz w:val="19"/>
          <w:szCs w:val="19"/>
          <w:color w:val="auto"/>
        </w:rPr>
        <w:t>accordance with Company policy) as of his/her Date of Termination. The amount (subject to withholding of all applicable taxes) shall be paid pursuant to applicable law.</w:t>
      </w:r>
    </w:p>
    <w:p>
      <w:pPr>
        <w:spacing w:after="0" w:line="2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u w:val="single" w:color="auto"/>
          <w:color w:val="auto"/>
        </w:rPr>
        <w:t>Stock Options, Restricted Stock and Restricted Stock Units</w:t>
      </w:r>
      <w:r>
        <w:rPr>
          <w:rFonts w:ascii="Arial" w:cs="Arial" w:eastAsia="Arial" w:hAnsi="Arial"/>
          <w:sz w:val="18"/>
          <w:szCs w:val="18"/>
          <w:color w:val="auto"/>
        </w:rPr>
        <w:t>. As of the first day of the Severance Period, the vesting and</w:t>
      </w:r>
    </w:p>
    <w:p>
      <w:pPr>
        <w:spacing w:after="0" w:line="39" w:lineRule="exact"/>
        <w:rPr>
          <w:sz w:val="20"/>
          <w:szCs w:val="20"/>
          <w:color w:val="auto"/>
        </w:rPr>
      </w:pPr>
    </w:p>
    <w:p>
      <w:pPr>
        <w:jc w:val="both"/>
        <w:ind w:right="20"/>
        <w:spacing w:after="0" w:line="234" w:lineRule="auto"/>
        <w:rPr>
          <w:sz w:val="20"/>
          <w:szCs w:val="20"/>
          <w:color w:val="auto"/>
        </w:rPr>
      </w:pPr>
      <w:r>
        <w:rPr>
          <w:rFonts w:ascii="Arial" w:cs="Arial" w:eastAsia="Arial" w:hAnsi="Arial"/>
          <w:sz w:val="20"/>
          <w:szCs w:val="20"/>
          <w:color w:val="auto"/>
        </w:rPr>
        <w:t>exercisability of all outstanding Stock Options, Restricted Stock, Restricted Stock Units and any other equity awards held by Executive shall be determined in accordance with the agreements and plans governing such awards.</w:t>
      </w:r>
    </w:p>
    <w:p>
      <w:pPr>
        <w:spacing w:after="0" w:line="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8"/>
          <w:szCs w:val="18"/>
          <w:u w:val="single" w:color="auto"/>
          <w:color w:val="auto"/>
        </w:rPr>
        <w:t>Health Care and Life Insurance Benefits</w:t>
      </w:r>
      <w:r>
        <w:rPr>
          <w:rFonts w:ascii="Arial" w:cs="Arial" w:eastAsia="Arial" w:hAnsi="Arial"/>
          <w:sz w:val="18"/>
          <w:szCs w:val="18"/>
          <w:color w:val="auto"/>
        </w:rPr>
        <w:t>. Subject to the terms of the group insurance contract and plan documents, the</w:t>
      </w:r>
      <w:r>
        <w:rPr>
          <w:rFonts w:ascii="Arial" w:cs="Arial" w:eastAsia="Arial" w:hAnsi="Arial"/>
          <w:sz w:val="17"/>
          <w:szCs w:val="17"/>
          <w:color w:val="auto"/>
        </w:rPr>
        <w:t xml:space="preserve"> </w:t>
      </w:r>
      <w:r>
        <w:rPr>
          <w:rFonts w:ascii="Arial" w:cs="Arial" w:eastAsia="Arial" w:hAnsi="Arial"/>
          <w:sz w:val="18"/>
          <w:szCs w:val="18"/>
          <w:color w:val="auto"/>
        </w:rPr>
        <w:t>term life insurance coverage provided to Executive prior to the start of the Severance Period shall be continued at the same level as for active executives and in the same manner as received prior to the Severance Period, beginning on the first day of the Severance Period and ending on the last day of the Severance Period. If the terms of such plan or the laws applicable to such plan do not permit continued participation by Executive, then the Company will arrange for other coverage satisfactory to Executive at the Company’s expense which provides substantially similar benefits or, at the Company’s election, the Company will pay Executive a lump sum amount equal to the annual costs of such coverage(s) for the Severance Period, less applicable withholding. A benefit provided under this Section 4.5 shall cease if Executive obtains other employment and, as a result of such employment, life insurance benefits are available to Executive.</w:t>
      </w:r>
    </w:p>
    <w:p>
      <w:pPr>
        <w:spacing w:after="0" w:line="3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If Executive timely elects continuation coverage pursuant to the Consolidated Omnibus Budget Reconciliation Act of 1985, as amended (“COBRA”) under the Company’s group medical plan following termination of his/her employment, the Company will pay Executive a monthly amount equal to the Company’s subsidy towards the cost of medical coverage for similarly-situated active employees enrolled in the same coverage in which the Executive was enrolled on the Date of Termination (the “COBRA Subsidy”), as reduced by any applicable withholding. The Company shall pay the COBRA Subsidy until the earliest of (a) the date Executive qualifies under another employer-sponsored</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8" w:right="339" w:bottom="1440" w:gutter="0" w:footer="0" w:header="0"/>
        </w:sectPr>
      </w:pPr>
    </w:p>
    <w:bookmarkStart w:id="154" w:name="page155"/>
    <w:bookmarkEnd w:id="154"/>
    <w:p>
      <w:pPr>
        <w:ind w:left="9680"/>
        <w:spacing w:after="0"/>
        <w:rPr>
          <w:sz w:val="20"/>
          <w:szCs w:val="20"/>
          <w:color w:val="auto"/>
        </w:rPr>
      </w:pPr>
      <w:r>
        <w:rPr>
          <w:rFonts w:ascii="Arial" w:cs="Arial" w:eastAsia="Arial" w:hAnsi="Arial"/>
          <w:sz w:val="17"/>
          <w:szCs w:val="17"/>
          <w:b w:val="1"/>
          <w:bCs w:val="1"/>
          <w:color w:val="auto"/>
        </w:rPr>
        <w:t>Exhibit 10(iii)A(88)</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medical plan, or (b) the end of eighteen (18) months of COBRA continuation coverage, or (c) the date on which the Severance Period ends.</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9"/>
          <w:szCs w:val="19"/>
          <w:u w:val="single" w:color="auto"/>
          <w:color w:val="auto"/>
        </w:rPr>
        <w:t>Outplacement Services</w:t>
      </w:r>
      <w:r>
        <w:rPr>
          <w:rFonts w:ascii="Arial" w:cs="Arial" w:eastAsia="Arial" w:hAnsi="Arial"/>
          <w:sz w:val="19"/>
          <w:szCs w:val="19"/>
          <w:color w:val="auto"/>
        </w:rPr>
        <w:t>. Executive will be provided with customary outplacement services by an outplacement firm</w:t>
      </w:r>
      <w:r>
        <w:rPr>
          <w:rFonts w:ascii="Arial" w:cs="Arial" w:eastAsia="Arial" w:hAnsi="Arial"/>
          <w:sz w:val="18"/>
          <w:szCs w:val="18"/>
          <w:color w:val="auto"/>
        </w:rPr>
        <w:t xml:space="preserve"> </w:t>
      </w:r>
      <w:r>
        <w:rPr>
          <w:rFonts w:ascii="Arial" w:cs="Arial" w:eastAsia="Arial" w:hAnsi="Arial"/>
          <w:sz w:val="19"/>
          <w:szCs w:val="19"/>
          <w:color w:val="auto"/>
        </w:rPr>
        <w:t>selected by the Company for the Severance Period, provided that the Company’s total cost for such services shall not exceed an amount equal to ten percent (10%) of Executive’s Base Salary.</w:t>
      </w:r>
    </w:p>
    <w:p>
      <w:pPr>
        <w:spacing w:after="0" w:line="2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8"/>
          <w:szCs w:val="18"/>
          <w:u w:val="single" w:color="auto"/>
          <w:color w:val="auto"/>
        </w:rPr>
        <w:t>Other Benefits</w:t>
      </w:r>
      <w:r>
        <w:rPr>
          <w:rFonts w:ascii="Arial" w:cs="Arial" w:eastAsia="Arial" w:hAnsi="Arial"/>
          <w:sz w:val="18"/>
          <w:szCs w:val="18"/>
          <w:color w:val="auto"/>
        </w:rPr>
        <w:t>. Except as expressly provided herein, all other fringe benefits provided to Executive as an active employee</w:t>
      </w:r>
      <w:r>
        <w:rPr>
          <w:rFonts w:ascii="Arial" w:cs="Arial" w:eastAsia="Arial" w:hAnsi="Arial"/>
          <w:sz w:val="17"/>
          <w:szCs w:val="17"/>
          <w:color w:val="auto"/>
        </w:rPr>
        <w:t xml:space="preserve"> </w:t>
      </w:r>
      <w:r>
        <w:rPr>
          <w:rFonts w:ascii="Arial" w:cs="Arial" w:eastAsia="Arial" w:hAnsi="Arial"/>
          <w:sz w:val="18"/>
          <w:szCs w:val="18"/>
          <w:color w:val="auto"/>
        </w:rPr>
        <w:t>of the Company (e.g., car allowance, club dues, etc.), shall cease on the Date of Termination, provided that any conversion or extension rights applicable to such benefits shall be made available to Executive at his/her Date of Termination or when such coverages otherwise cease at the end of the Severance Period. Except as expressly provided herein, for all other benefit plans sponsored by the Company, the Executive’s employment shall be treated as terminated on his/her Date of Termination, and Executive’s right to benefits shall be determined under the terms of such plans; provided, however, in no event will Executive be entitled to severance payments or benefits under any other severance plan, policy, program or agreement of the Company, except to the extent Executive is covered by a Change in Control Agreement.</w:t>
      </w:r>
    </w:p>
    <w:p>
      <w:pPr>
        <w:spacing w:after="0" w:line="3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9"/>
          <w:szCs w:val="19"/>
          <w:u w:val="single" w:color="auto"/>
          <w:color w:val="auto"/>
        </w:rPr>
        <w:t>Release of Claims</w:t>
      </w:r>
      <w:r>
        <w:rPr>
          <w:rFonts w:ascii="Arial" w:cs="Arial" w:eastAsia="Arial" w:hAnsi="Arial"/>
          <w:sz w:val="19"/>
          <w:szCs w:val="19"/>
          <w:color w:val="auto"/>
        </w:rPr>
        <w:t>. To be entitled to any of the compensation and benefits described above in this Section 4 (except for</w:t>
      </w:r>
      <w:r>
        <w:rPr>
          <w:rFonts w:ascii="Arial" w:cs="Arial" w:eastAsia="Arial" w:hAnsi="Arial"/>
          <w:sz w:val="18"/>
          <w:szCs w:val="18"/>
          <w:color w:val="auto"/>
        </w:rPr>
        <w:t xml:space="preserve"> </w:t>
      </w:r>
      <w:r>
        <w:rPr>
          <w:rFonts w:ascii="Arial" w:cs="Arial" w:eastAsia="Arial" w:hAnsi="Arial"/>
          <w:sz w:val="19"/>
          <w:szCs w:val="19"/>
          <w:color w:val="auto"/>
        </w:rPr>
        <w:t>accrued vacation, which would be paid pursuant to applicable law), Executive shall sign a release of claims substantially in the form attached hereto as Exhibit A. No payments shall be made under this Section 4 until such release has been properly executed and delivered to the Company and until the expiration of the revocation period, if any, provided under the release. If the release is not properly executed by the Executive and delivered to the Company within the reasonable time periods specified in the release, the Company’s obligations under this Section 4 will terminate.</w:t>
      </w:r>
    </w:p>
    <w:p>
      <w:pPr>
        <w:spacing w:after="0" w:line="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8"/>
          <w:szCs w:val="18"/>
          <w:u w:val="single" w:color="auto"/>
          <w:color w:val="auto"/>
        </w:rPr>
        <w:t>Section 409A</w:t>
      </w:r>
      <w:r>
        <w:rPr>
          <w:rFonts w:ascii="Arial" w:cs="Arial" w:eastAsia="Arial" w:hAnsi="Arial"/>
          <w:sz w:val="18"/>
          <w:szCs w:val="18"/>
          <w:color w:val="auto"/>
        </w:rPr>
        <w:t>. All payments hereunder are intended to satisfy the “short-term deferral” exemption under Treas. Reg.</w:t>
      </w:r>
      <w:r>
        <w:rPr>
          <w:rFonts w:ascii="Arial" w:cs="Arial" w:eastAsia="Arial" w:hAnsi="Arial"/>
          <w:sz w:val="17"/>
          <w:szCs w:val="17"/>
          <w:color w:val="auto"/>
        </w:rPr>
        <w:t xml:space="preserve"> </w:t>
      </w:r>
      <w:r>
        <w:rPr>
          <w:rFonts w:ascii="Arial" w:cs="Arial" w:eastAsia="Arial" w:hAnsi="Arial"/>
          <w:sz w:val="18"/>
          <w:szCs w:val="18"/>
          <w:color w:val="auto"/>
        </w:rPr>
        <w:t>§1.409-1(b)(4) in tandem with the “separation pay” exemption under Treas. Reg. §1.409-1(b)(9) such that no payment hereunder shall be deemed “deferred compensation” within the meaning of Code Section 409A. Therefore, to the extent the amounts described in Sections 4.1, 4.2 and 4.5 which are payable after March 15 of the year following the Date of Termination exceed the “separation pay” limit prescribed under Treas. Reg. § 1.409A-1(b)(9) (generally, the lesser of two times the Code § 401(a)(17) limit or two times the Executive’s annual compensation), then the payment of such excess amounts shall be accelerated and paid in equal installment payments commencing with the start of the Severance Period and ending on the payroll period preceding the March 15 of the year following the Date of Termination. Each installment payment under this Agreement shall be treated as a separate payment for purposes of Code Section 409A.</w:t>
      </w:r>
    </w:p>
    <w:p>
      <w:pPr>
        <w:spacing w:after="0" w:line="36" w:lineRule="exact"/>
        <w:rPr>
          <w:sz w:val="20"/>
          <w:szCs w:val="20"/>
          <w:color w:val="auto"/>
        </w:rPr>
      </w:pPr>
    </w:p>
    <w:p>
      <w:pPr>
        <w:jc w:val="both"/>
        <w:ind w:left="660"/>
        <w:spacing w:after="0" w:line="278" w:lineRule="auto"/>
        <w:rPr>
          <w:sz w:val="20"/>
          <w:szCs w:val="20"/>
          <w:color w:val="auto"/>
        </w:rPr>
      </w:pPr>
      <w:r>
        <w:rPr>
          <w:rFonts w:ascii="Arial" w:cs="Arial" w:eastAsia="Arial" w:hAnsi="Arial"/>
          <w:sz w:val="18"/>
          <w:szCs w:val="18"/>
          <w:color w:val="auto"/>
        </w:rPr>
        <w:t>EXAMPLE: Solely for illustration purposes, if Executive terminates without Cause on November 1, 2017 and becomes entitled to Separation Pay totaling $1 million, with $700,000 of the Severance Pay otherwise scheduled to be paid after March 15, 2018, then $160,000 ($700,000 - $540,000 (Code § 401(a)(17) limit)) of the post-March 15, 2018 Severance Pay will be accelerated and paid ratably for the payroll period following the Executive’s Date of Termination and ending on the last payroll period preceding March 15, 2018. (Such example assumes the Executive’s annual compensation was equal to or greater than the Code § 401(a)(17) limit.)</w:t>
      </w:r>
    </w:p>
    <w:p>
      <w:pPr>
        <w:spacing w:after="0" w:line="2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Notwithstanding any provision of this Agreement to the contrary, no payments under Sections 4.1, 4.2 or 4.5 shall commence until the Executive has incurred a “Separation from Service.” For these purposes, “Separation from Service” means the termination of the Executive’s employment with the Company for reasons other than death or Disability. Whether a Separation from Service takes place is determined based on the facts and circumstances surrounding the termination of the Executive’s employment and whether the Company and the Executive intended for the Executive to provide significant services for the Company following such termination. A change in the Executive’s employment status will not be considered a Separation from Service if:</w:t>
      </w:r>
    </w:p>
    <w:p>
      <w:pPr>
        <w:spacing w:after="0" w:line="259" w:lineRule="exact"/>
        <w:rPr>
          <w:sz w:val="20"/>
          <w:szCs w:val="20"/>
          <w:color w:val="auto"/>
        </w:rPr>
      </w:pPr>
    </w:p>
    <w:p>
      <w:pPr>
        <w:jc w:val="both"/>
        <w:ind w:left="660" w:firstLine="644"/>
        <w:spacing w:after="0" w:line="243" w:lineRule="auto"/>
        <w:tabs>
          <w:tab w:leader="none" w:pos="2081" w:val="left"/>
        </w:tabs>
        <w:numPr>
          <w:ilvl w:val="0"/>
          <w:numId w:val="116"/>
        </w:numPr>
        <w:rPr>
          <w:rFonts w:ascii="Arial" w:cs="Arial" w:eastAsia="Arial" w:hAnsi="Arial"/>
          <w:sz w:val="18"/>
          <w:szCs w:val="18"/>
          <w:color w:val="auto"/>
        </w:rPr>
      </w:pPr>
      <w:r>
        <w:rPr>
          <w:rFonts w:ascii="Arial" w:cs="Arial" w:eastAsia="Arial" w:hAnsi="Arial"/>
          <w:sz w:val="20"/>
          <w:szCs w:val="20"/>
          <w:color w:val="auto"/>
        </w:rPr>
        <w:t>the Executive continues to provide services as an employee of the Company at an annual rate that is twenty percent (20%) or more of the services rendered, on average, during the immediately preceding three full calendar years of employment (or, if employed less than three years, such lesser period) and the</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8" w:right="339" w:bottom="1440" w:gutter="0" w:footer="0" w:header="0"/>
        </w:sectPr>
      </w:pPr>
    </w:p>
    <w:bookmarkStart w:id="155" w:name="page156"/>
    <w:bookmarkEnd w:id="155"/>
    <w:p>
      <w:pPr>
        <w:ind w:left="9680"/>
        <w:spacing w:after="0"/>
        <w:rPr>
          <w:sz w:val="20"/>
          <w:szCs w:val="20"/>
          <w:color w:val="auto"/>
        </w:rPr>
      </w:pPr>
      <w:r>
        <w:rPr>
          <w:rFonts w:ascii="Arial" w:cs="Arial" w:eastAsia="Arial" w:hAnsi="Arial"/>
          <w:sz w:val="17"/>
          <w:szCs w:val="17"/>
          <w:b w:val="1"/>
          <w:bCs w:val="1"/>
          <w:color w:val="auto"/>
        </w:rPr>
        <w:t>Exhibit 10(iii)A(88)</w:t>
      </w:r>
    </w:p>
    <w:p>
      <w:pPr>
        <w:spacing w:after="0" w:line="323"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color w:val="auto"/>
        </w:rPr>
        <w:t>annual remuneration for such services is twenty percent (20%) or more of the average annual remuneration earned during the final three full calendar years of employment (or, if less, such lesser period), or</w:t>
      </w:r>
    </w:p>
    <w:p>
      <w:pPr>
        <w:spacing w:after="0" w:line="42" w:lineRule="exact"/>
        <w:rPr>
          <w:sz w:val="20"/>
          <w:szCs w:val="20"/>
          <w:color w:val="auto"/>
        </w:rPr>
      </w:pPr>
    </w:p>
    <w:p>
      <w:pPr>
        <w:jc w:val="both"/>
        <w:ind w:left="660" w:firstLine="644"/>
        <w:spacing w:after="0" w:line="235" w:lineRule="auto"/>
        <w:tabs>
          <w:tab w:leader="none" w:pos="2091" w:val="left"/>
        </w:tabs>
        <w:numPr>
          <w:ilvl w:val="0"/>
          <w:numId w:val="117"/>
        </w:numPr>
        <w:rPr>
          <w:rFonts w:ascii="Arial" w:cs="Arial" w:eastAsia="Arial" w:hAnsi="Arial"/>
          <w:sz w:val="18"/>
          <w:szCs w:val="18"/>
          <w:color w:val="auto"/>
        </w:rPr>
      </w:pPr>
      <w:r>
        <w:rPr>
          <w:rFonts w:ascii="Arial" w:cs="Arial" w:eastAsia="Arial" w:hAnsi="Arial"/>
          <w:sz w:val="20"/>
          <w:szCs w:val="20"/>
          <w:color w:val="auto"/>
        </w:rPr>
        <w:t>the Executive continues to provide services to the Company in a capacity other than as an employee of the Company at an annual rate that is fifty percent (50%) or more of the services rendered, on average, during the immediately preceding three full calendar years of employment (or if employed less than three years, such lesser period) and the annual remuneration for such services is fifty percent (50%) or more of the average annual remuneration earned during the final three full calendar years of employment (or if less, such lesser period).</w:t>
      </w:r>
    </w:p>
    <w:p>
      <w:pPr>
        <w:spacing w:after="0" w:line="4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Company makes no representations that the payments and benefits provided under this Agreement comply with Code Section 409A, and in no event shall the Company be liable for all or any portion of any taxes, penalties, interest, or other expenses that may be incurred by the Executive on account of non-compliance with Code Section 409A.</w:t>
      </w:r>
    </w:p>
    <w:p>
      <w:pPr>
        <w:spacing w:after="0" w:line="261" w:lineRule="exact"/>
        <w:rPr>
          <w:sz w:val="20"/>
          <w:szCs w:val="20"/>
          <w:color w:val="auto"/>
        </w:rPr>
      </w:pPr>
    </w:p>
    <w:p>
      <w:pPr>
        <w:ind w:left="660" w:hanging="652"/>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20"/>
          <w:szCs w:val="20"/>
          <w:b w:val="1"/>
          <w:bCs w:val="1"/>
          <w:color w:val="auto"/>
        </w:rPr>
        <w:t>CONFIDENTIALITY, NON-SOLICITATION AND NON-COMPETITION</w:t>
      </w:r>
    </w:p>
    <w:p>
      <w:pPr>
        <w:spacing w:after="0" w:line="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8"/>
          <w:szCs w:val="18"/>
          <w:u w:val="single" w:color="auto"/>
          <w:color w:val="auto"/>
        </w:rPr>
        <w:t>Purpose and Reasonableness of Provisions</w:t>
      </w:r>
      <w:r>
        <w:rPr>
          <w:rFonts w:ascii="Arial" w:cs="Arial" w:eastAsia="Arial" w:hAnsi="Arial"/>
          <w:sz w:val="18"/>
          <w:szCs w:val="18"/>
          <w:color w:val="auto"/>
        </w:rPr>
        <w:t>. Executive acknowledges that, during the term of his/her employment with the</w:t>
      </w:r>
      <w:r>
        <w:rPr>
          <w:rFonts w:ascii="Arial" w:cs="Arial" w:eastAsia="Arial" w:hAnsi="Arial"/>
          <w:sz w:val="17"/>
          <w:szCs w:val="17"/>
          <w:color w:val="auto"/>
        </w:rPr>
        <w:t xml:space="preserve"> </w:t>
      </w:r>
      <w:r>
        <w:rPr>
          <w:rFonts w:ascii="Arial" w:cs="Arial" w:eastAsia="Arial" w:hAnsi="Arial"/>
          <w:sz w:val="18"/>
          <w:szCs w:val="18"/>
          <w:color w:val="auto"/>
        </w:rPr>
        <w:t>Company and during the Severance Period, the Company and its affiliates have furnished and may continue to furnish to Executive Trade Secrets and Confidential Information, which, if used by Executive on behalf of, or disclosed to, a competitor of the Company and its affiliates, or other person, could cause substantial detriment to the Company and its affiliates. Moreover, the parties recognize that Executive, during the term of his/her employment with the Company, has and will develop important relationships with customers, agents and others having valuable business relationships with the Company, and that these relationships may continue to develop during the Severance Period. In view of the foregoing, Executive acknowledges and agrees that the restrictive covenants contained in this Section 5 are reasonably necessary to protect the Company’s and its affiliates’ legitimate business interests, Confidential Information, and good will.</w:t>
      </w:r>
    </w:p>
    <w:p>
      <w:pPr>
        <w:spacing w:after="0" w:line="3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9"/>
          <w:szCs w:val="19"/>
          <w:u w:val="single" w:color="auto"/>
          <w:color w:val="auto"/>
        </w:rPr>
        <w:t>Trade Secrets and Confidential Information</w:t>
      </w:r>
      <w:r>
        <w:rPr>
          <w:rFonts w:ascii="Arial" w:cs="Arial" w:eastAsia="Arial" w:hAnsi="Arial"/>
          <w:sz w:val="19"/>
          <w:szCs w:val="19"/>
          <w:color w:val="auto"/>
        </w:rPr>
        <w:t>. Executive agrees that he/she shall protect the Company’s and its affiliates’</w:t>
      </w:r>
      <w:r>
        <w:rPr>
          <w:rFonts w:ascii="Arial" w:cs="Arial" w:eastAsia="Arial" w:hAnsi="Arial"/>
          <w:sz w:val="18"/>
          <w:szCs w:val="18"/>
          <w:color w:val="auto"/>
        </w:rPr>
        <w:t xml:space="preserve"> </w:t>
      </w:r>
      <w:r>
        <w:rPr>
          <w:rFonts w:ascii="Arial" w:cs="Arial" w:eastAsia="Arial" w:hAnsi="Arial"/>
          <w:sz w:val="19"/>
          <w:szCs w:val="19"/>
          <w:color w:val="auto"/>
        </w:rPr>
        <w:t>Trade Secrets (as defined below) and Confidential Information (as defined below) and shall not disclose to any person or entity, or otherwise use or disseminate, except in connection with the performance of his/her duties for the Company, any Trade Secrets or Confidential Information; provided, however, that Executive may make disclosures required by a valid order or subpoena issued by a court or administrative agency of competent jurisdiction, in which event Executive will promptly notify the Company or its affiliates of such order or subpoena to provide the Company or its affiliates an opportunity to protect their interests. Executive’s obligations under this Section 5.2 shall apply during his/her employment and after his/her termination of employment, shall continue through the Severance Period, and shall survive any expiration or termination of this Agreement, so long as the information or material remains Confidential Information or a Trade Secret, as applicable.</w:t>
      </w:r>
    </w:p>
    <w:p>
      <w:pPr>
        <w:spacing w:after="0" w:line="4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Executive further confirms that during his/her employment with the Company, he/she has not and will not offer, disclose or use on Executive’s own behalf or on behalf of the Company, any information Executive received prior to employment by the Company which was supplied to Executive confidentially or which Executive should reasonably know to be confidential.</w:t>
      </w:r>
    </w:p>
    <w:p>
      <w:pPr>
        <w:spacing w:after="0" w:line="34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Nothing in this Agreement prohibits Executive from reporting possible violations of federal law or regulation to any governmental agency or entity including but not limited to the Department of Justice, the Securities and Exchange Commission, Congress, or any Inspector General, or making other disclosures that are protected under the whistleblower provisions of federal law or regulation. Executive does not need the prior authorization of Company to make any such reports or disclosures, and Executive is not required to notify Company that Executive has made such reports or disclosures.</w:t>
      </w:r>
    </w:p>
    <w:p>
      <w:pPr>
        <w:spacing w:after="0" w:line="3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9"/>
          <w:szCs w:val="19"/>
          <w:u w:val="single" w:color="auto"/>
          <w:color w:val="auto"/>
        </w:rPr>
        <w:t>Return of Property</w:t>
      </w:r>
      <w:r>
        <w:rPr>
          <w:rFonts w:ascii="Arial" w:cs="Arial" w:eastAsia="Arial" w:hAnsi="Arial"/>
          <w:sz w:val="19"/>
          <w:szCs w:val="19"/>
          <w:color w:val="auto"/>
        </w:rPr>
        <w:t>. On or before the start of the Severance Period, Executive agrees to deliver promptly to the Company</w:t>
      </w:r>
      <w:r>
        <w:rPr>
          <w:rFonts w:ascii="Arial" w:cs="Arial" w:eastAsia="Arial" w:hAnsi="Arial"/>
          <w:sz w:val="18"/>
          <w:szCs w:val="18"/>
          <w:color w:val="auto"/>
        </w:rPr>
        <w:t xml:space="preserve"> </w:t>
      </w:r>
      <w:r>
        <w:rPr>
          <w:rFonts w:ascii="Arial" w:cs="Arial" w:eastAsia="Arial" w:hAnsi="Arial"/>
          <w:sz w:val="19"/>
          <w:szCs w:val="19"/>
          <w:color w:val="auto"/>
        </w:rPr>
        <w:t>all files, customer lists, management reports, memoranda, research, Company forms and documents, financial data and reports and other documents (including all such data and documents in electronic form or on flash or external hard drives) of the Company or its affiliates, supplied to or created by him/her in connection with his/her</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8" w:right="339" w:bottom="1440" w:gutter="0" w:footer="0" w:header="0"/>
        </w:sectPr>
      </w:pPr>
    </w:p>
    <w:bookmarkStart w:id="156" w:name="page157"/>
    <w:bookmarkEnd w:id="156"/>
    <w:p>
      <w:pPr>
        <w:ind w:left="9680"/>
        <w:spacing w:after="0"/>
        <w:rPr>
          <w:sz w:val="20"/>
          <w:szCs w:val="20"/>
          <w:color w:val="auto"/>
        </w:rPr>
      </w:pPr>
      <w:r>
        <w:rPr>
          <w:rFonts w:ascii="Arial" w:cs="Arial" w:eastAsia="Arial" w:hAnsi="Arial"/>
          <w:sz w:val="17"/>
          <w:szCs w:val="17"/>
          <w:b w:val="1"/>
          <w:bCs w:val="1"/>
          <w:color w:val="auto"/>
        </w:rPr>
        <w:t>Exhibit 10(iii)A(88)</w:t>
      </w:r>
    </w:p>
    <w:p>
      <w:pPr>
        <w:spacing w:after="0" w:line="32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employment hereunder (including all copies of the foregoing) in his/her possession or control, and all of the Company’s equipment (e.g., mobile devices, laptop, computer, flash or hard drives, etc.) and other materials in his/her possession or control. Executive’s obligations under this Section 5.3 shall survive any expiration or termination of this Agreement. Executive agrees and covenants to permanently delete any such information residing in electronic format to the best of his/her ability and to not attempt to retrieve it.</w:t>
      </w:r>
    </w:p>
    <w:p>
      <w:pPr>
        <w:spacing w:after="0" w:line="4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9"/>
          <w:szCs w:val="19"/>
          <w:u w:val="single" w:color="auto"/>
          <w:color w:val="auto"/>
        </w:rPr>
        <w:t>Inventions</w:t>
      </w:r>
      <w:r>
        <w:rPr>
          <w:rFonts w:ascii="Arial" w:cs="Arial" w:eastAsia="Arial" w:hAnsi="Arial"/>
          <w:sz w:val="19"/>
          <w:szCs w:val="19"/>
          <w:color w:val="auto"/>
        </w:rPr>
        <w:t>. Executive does hereby assign to the Company the entire right, title and interest in any Invention which is or</w:t>
      </w:r>
      <w:r>
        <w:rPr>
          <w:rFonts w:ascii="Arial" w:cs="Arial" w:eastAsia="Arial" w:hAnsi="Arial"/>
          <w:sz w:val="18"/>
          <w:szCs w:val="18"/>
          <w:color w:val="auto"/>
        </w:rPr>
        <w:t xml:space="preserve"> </w:t>
      </w:r>
      <w:r>
        <w:rPr>
          <w:rFonts w:ascii="Arial" w:cs="Arial" w:eastAsia="Arial" w:hAnsi="Arial"/>
          <w:sz w:val="19"/>
          <w:szCs w:val="19"/>
          <w:color w:val="auto"/>
        </w:rPr>
        <w:t>was made or conceived, either solely or jointly with others, during his/her employment with the Company. Executive attests that he/she has disclosed (or promptly will disclose, if during the Severance Period) to the Company all such Inventions. Executive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4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8"/>
          <w:szCs w:val="18"/>
          <w:u w:val="single" w:color="auto"/>
          <w:color w:val="auto"/>
        </w:rPr>
        <w:t>Non-Competition</w:t>
      </w:r>
      <w:r>
        <w:rPr>
          <w:rFonts w:ascii="Arial" w:cs="Arial" w:eastAsia="Arial" w:hAnsi="Arial"/>
          <w:sz w:val="18"/>
          <w:szCs w:val="18"/>
          <w:color w:val="auto"/>
        </w:rPr>
        <w:t>. Executive acknowledges and agrees that both during his/her employment and for twelve (12) months</w:t>
      </w:r>
      <w:r>
        <w:rPr>
          <w:rFonts w:ascii="Arial" w:cs="Arial" w:eastAsia="Arial" w:hAnsi="Arial"/>
          <w:sz w:val="17"/>
          <w:szCs w:val="17"/>
          <w:color w:val="auto"/>
        </w:rPr>
        <w:t xml:space="preserve"> </w:t>
      </w:r>
      <w:r>
        <w:rPr>
          <w:rFonts w:ascii="Arial" w:cs="Arial" w:eastAsia="Arial" w:hAnsi="Arial"/>
          <w:sz w:val="18"/>
          <w:szCs w:val="18"/>
          <w:color w:val="auto"/>
        </w:rPr>
        <w:t>after the last day of his/her employment with the Company, he/she has not and will not, directly or indirectly, engage in, provide, or perform any duties or services of the type conducted, authorized, offered, or provided by Executive in his/her capacity as an employee on behalf of the Company within twelve (12) months prior to the start of the Severance Period, on behalf of any person or entity (or in the case of an entity that is organized into divisions or units, any distinct division or operating unit of such entity) in the Territory (as defined in 5.10(g) below) that derives income from providing goods or services substantially similar to those which comprise the Company’s Business.</w:t>
      </w:r>
    </w:p>
    <w:p>
      <w:pPr>
        <w:spacing w:after="0" w:line="3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9"/>
          <w:szCs w:val="19"/>
          <w:u w:val="single" w:color="auto"/>
          <w:color w:val="auto"/>
        </w:rPr>
        <w:t>Non-Solicitation of Customers and Sales Agents</w:t>
      </w:r>
      <w:r>
        <w:rPr>
          <w:rFonts w:ascii="Arial" w:cs="Arial" w:eastAsia="Arial" w:hAnsi="Arial"/>
          <w:sz w:val="19"/>
          <w:szCs w:val="19"/>
          <w:color w:val="auto"/>
        </w:rPr>
        <w:t>. Executive acknowledges and agrees that both during his/her</w:t>
      </w:r>
      <w:r>
        <w:rPr>
          <w:rFonts w:ascii="Arial" w:cs="Arial" w:eastAsia="Arial" w:hAnsi="Arial"/>
          <w:sz w:val="18"/>
          <w:szCs w:val="18"/>
          <w:color w:val="auto"/>
        </w:rPr>
        <w:t xml:space="preserve"> </w:t>
      </w:r>
      <w:r>
        <w:rPr>
          <w:rFonts w:ascii="Arial" w:cs="Arial" w:eastAsia="Arial" w:hAnsi="Arial"/>
          <w:sz w:val="19"/>
          <w:szCs w:val="19"/>
          <w:color w:val="auto"/>
        </w:rPr>
        <w:t>employment and for twenty-four (24) months after the last day of his/her employment with the Company, Executive has not and will not directly or indirectly solicit Customers (as defined below) or Sales Agents (as defined below) with whom he/she had Material Contact (as defined below) for the purpose of providing goods and/or services competitive with the Company’s Business. Notwithstanding the foregoing, this Section shall not prevent Executive, during the course of his/her Severance Period, from soliciting a person or entity that has since discontinued all business communications with the Company.</w:t>
      </w:r>
    </w:p>
    <w:p>
      <w:pPr>
        <w:spacing w:after="0" w:line="4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9"/>
          <w:szCs w:val="19"/>
          <w:u w:val="single" w:color="auto"/>
          <w:color w:val="auto"/>
        </w:rPr>
        <w:t>Non-Solicitation of Employees and Agents</w:t>
      </w:r>
      <w:r>
        <w:rPr>
          <w:rFonts w:ascii="Arial" w:cs="Arial" w:eastAsia="Arial" w:hAnsi="Arial"/>
          <w:sz w:val="19"/>
          <w:szCs w:val="19"/>
          <w:color w:val="auto"/>
        </w:rPr>
        <w:t>. Executive acknowledges and agrees that both during his/her employment and</w:t>
      </w:r>
      <w:r>
        <w:rPr>
          <w:rFonts w:ascii="Arial" w:cs="Arial" w:eastAsia="Arial" w:hAnsi="Arial"/>
          <w:sz w:val="18"/>
          <w:szCs w:val="18"/>
          <w:color w:val="auto"/>
        </w:rPr>
        <w:t xml:space="preserve"> </w:t>
      </w:r>
      <w:r>
        <w:rPr>
          <w:rFonts w:ascii="Arial" w:cs="Arial" w:eastAsia="Arial" w:hAnsi="Arial"/>
          <w:sz w:val="19"/>
          <w:szCs w:val="19"/>
          <w:color w:val="auto"/>
        </w:rPr>
        <w:t>for twenty-four (24) months after the last day of his/her employment with the Company, Executive has not and will not, directly or indirectly, whether on behalf of Executive or others, solicit, lure or attempt to hire away any of the Company’s or its affiliates’ employees or agents. Notwithstanding the foregoing, this Section shall not prevent Executive from soliciting an employee or agent that has since discontinued all business dealings with the Company.</w:t>
      </w:r>
    </w:p>
    <w:p>
      <w:pPr>
        <w:spacing w:after="0" w:line="4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9"/>
          <w:szCs w:val="19"/>
          <w:u w:val="single" w:color="auto"/>
          <w:color w:val="auto"/>
        </w:rPr>
        <w:t>Non-Disparagement</w:t>
      </w:r>
      <w:r>
        <w:rPr>
          <w:rFonts w:ascii="Arial" w:cs="Arial" w:eastAsia="Arial" w:hAnsi="Arial"/>
          <w:sz w:val="19"/>
          <w:szCs w:val="19"/>
          <w:color w:val="auto"/>
        </w:rPr>
        <w:t>. Executive agrees that he/she will not make any disparaging statements or comments to any person or</w:t>
      </w:r>
      <w:r>
        <w:rPr>
          <w:rFonts w:ascii="Arial" w:cs="Arial" w:eastAsia="Arial" w:hAnsi="Arial"/>
          <w:sz w:val="18"/>
          <w:szCs w:val="18"/>
          <w:color w:val="auto"/>
        </w:rPr>
        <w:t xml:space="preserve"> </w:t>
      </w:r>
      <w:r>
        <w:rPr>
          <w:rFonts w:ascii="Arial" w:cs="Arial" w:eastAsia="Arial" w:hAnsi="Arial"/>
          <w:sz w:val="19"/>
          <w:szCs w:val="19"/>
          <w:color w:val="auto"/>
        </w:rPr>
        <w:t>entity by any medium, whether oral or written, about Company, any of its affiliates or any of its respective officers, directors, employees, shareholders, agents, representatives or independent contractors. Nor shall Executive communicate to any person or entity by any medium, whether oral or written, any information harmful or adverse to Company, any of its affiliates or any of its respective officers, directors, employees, shareholders, agents, representatives or independent contractors. Nothing in this Section shall prevent Executive from providing truthful testimony pursuant to a lawful subpoena or other court order.</w:t>
      </w:r>
    </w:p>
    <w:p>
      <w:pPr>
        <w:spacing w:after="0" w:line="4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9"/>
          <w:szCs w:val="19"/>
          <w:u w:val="single" w:color="auto"/>
          <w:color w:val="auto"/>
        </w:rPr>
        <w:t>Injunctive Relief</w:t>
      </w:r>
      <w:r>
        <w:rPr>
          <w:rFonts w:ascii="Arial" w:cs="Arial" w:eastAsia="Arial" w:hAnsi="Arial"/>
          <w:sz w:val="19"/>
          <w:szCs w:val="19"/>
          <w:color w:val="auto"/>
        </w:rPr>
        <w:t>. Executive acknowledges that if he/she breaches or threatens to breach any of the provisions of this</w:t>
      </w:r>
      <w:r>
        <w:rPr>
          <w:rFonts w:ascii="Arial" w:cs="Arial" w:eastAsia="Arial" w:hAnsi="Arial"/>
          <w:sz w:val="18"/>
          <w:szCs w:val="18"/>
          <w:color w:val="auto"/>
        </w:rPr>
        <w:t xml:space="preserve"> </w:t>
      </w:r>
      <w:r>
        <w:rPr>
          <w:rFonts w:ascii="Arial" w:cs="Arial" w:eastAsia="Arial" w:hAnsi="Arial"/>
          <w:sz w:val="19"/>
          <w:szCs w:val="19"/>
          <w:color w:val="auto"/>
        </w:rPr>
        <w:t>Section 5, his/her actions may cause irreparable harm and damage to the Company or its affiliates which could not be compensated in damages. Accordingly, if Executive breaches or threatens to breach any of the provisions of this Section 5, the Company (or, if applicable, an affiliate) shall be entitled to seek injunctive relief, in addition to any other rights or remedies the Company (or, if applicable, an affiliate) may have. The existence of any claim or cause of action by Executive against the Company, whether predicated on this Agreement or otherwise, shall not constitute a defense to the enforcement by the Company (or, if applicable, an affiliate) of Executive’s agreements under this Section 5.</w:t>
      </w:r>
    </w:p>
    <w:p>
      <w:pPr>
        <w:spacing w:after="0" w:line="45"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8"/>
          <w:szCs w:val="18"/>
          <w:u w:val="single" w:color="auto"/>
          <w:color w:val="auto"/>
        </w:rPr>
        <w:t xml:space="preserve">Definitions. </w:t>
      </w:r>
      <w:r>
        <w:rPr>
          <w:rFonts w:ascii="Arial" w:cs="Arial" w:eastAsia="Arial" w:hAnsi="Arial"/>
          <w:sz w:val="18"/>
          <w:szCs w:val="18"/>
          <w:color w:val="auto"/>
        </w:rPr>
        <w:t>For purposes of this Section 5, the following definitions shall apply:</w:t>
      </w:r>
    </w:p>
    <w:p>
      <w:pPr>
        <w:spacing w:after="0" w:line="104" w:lineRule="exact"/>
        <w:rPr>
          <w:sz w:val="20"/>
          <w:szCs w:val="20"/>
          <w:color w:val="auto"/>
        </w:rPr>
      </w:pPr>
    </w:p>
    <w:p>
      <w:pPr>
        <w:ind w:left="2080" w:hanging="776"/>
        <w:spacing w:after="0"/>
        <w:tabs>
          <w:tab w:leader="none" w:pos="2080" w:val="left"/>
        </w:tabs>
        <w:numPr>
          <w:ilvl w:val="0"/>
          <w:numId w:val="119"/>
        </w:numPr>
        <w:rPr>
          <w:rFonts w:ascii="Arial" w:cs="Arial" w:eastAsia="Arial" w:hAnsi="Arial"/>
          <w:sz w:val="18"/>
          <w:szCs w:val="18"/>
          <w:color w:val="auto"/>
        </w:rPr>
      </w:pPr>
      <w:r>
        <w:rPr>
          <w:rFonts w:ascii="Arial" w:cs="Arial" w:eastAsia="Arial" w:hAnsi="Arial"/>
          <w:sz w:val="20"/>
          <w:szCs w:val="20"/>
          <w:color w:val="auto"/>
        </w:rPr>
        <w:t>“Confidential Information” means:</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8" w:right="339" w:bottom="1440" w:gutter="0" w:footer="0" w:header="0"/>
        </w:sectPr>
      </w:pPr>
    </w:p>
    <w:bookmarkStart w:id="157" w:name="page158"/>
    <w:bookmarkEnd w:id="157"/>
    <w:p>
      <w:pPr>
        <w:ind w:left="9680"/>
        <w:spacing w:after="0"/>
        <w:rPr>
          <w:sz w:val="20"/>
          <w:szCs w:val="20"/>
          <w:color w:val="auto"/>
        </w:rPr>
      </w:pPr>
      <w:r>
        <w:rPr>
          <w:rFonts w:ascii="Arial" w:cs="Arial" w:eastAsia="Arial" w:hAnsi="Arial"/>
          <w:sz w:val="17"/>
          <w:szCs w:val="17"/>
          <w:b w:val="1"/>
          <w:bCs w:val="1"/>
          <w:color w:val="auto"/>
        </w:rPr>
        <w:t>Exhibit 10(iii)A(88)</w:t>
      </w:r>
    </w:p>
    <w:p>
      <w:pPr>
        <w:spacing w:after="0" w:line="323" w:lineRule="exact"/>
        <w:rPr>
          <w:sz w:val="20"/>
          <w:szCs w:val="20"/>
          <w:color w:val="auto"/>
        </w:rPr>
      </w:pPr>
    </w:p>
    <w:p>
      <w:pPr>
        <w:jc w:val="both"/>
        <w:ind w:firstLine="1952"/>
        <w:spacing w:after="0" w:line="253" w:lineRule="auto"/>
        <w:tabs>
          <w:tab w:leader="none" w:pos="2687" w:val="left"/>
        </w:tabs>
        <w:numPr>
          <w:ilvl w:val="1"/>
          <w:numId w:val="120"/>
        </w:numPr>
        <w:rPr>
          <w:rFonts w:ascii="Arial" w:cs="Arial" w:eastAsia="Arial" w:hAnsi="Arial"/>
          <w:sz w:val="16"/>
          <w:szCs w:val="16"/>
          <w:color w:val="auto"/>
        </w:rPr>
      </w:pPr>
      <w:r>
        <w:rPr>
          <w:rFonts w:ascii="Arial" w:cs="Arial" w:eastAsia="Arial" w:hAnsi="Arial"/>
          <w:sz w:val="18"/>
          <w:szCs w:val="18"/>
          <w:color w:val="auto"/>
        </w:rPr>
        <w:t>Data and information relating to the Company’s Business; disclosed to Executive or of which Executive became aware of as a consequence of Executive’s relationship with the Company; having value to the employer; not generally known to the competitors for the employer; and which includes trade secrets, methods of operation, names of customers, price lists, financial information and projections, route books, personnel data, and similar information For purposes of this Agreement, subject to the foregoing, and according to terminology commonly used by the Company, the Company’s Confidential Information shall include, but not be limited to, information pertaining to: (1) Business Opportunities (as defined below); (2) data and compilations of data relating to the Company’s Business (as defined below); (3) compilations of information about, and communications and agreements with, customers and potential customers of the Company; (4) computer software, hardware, network and internet technology utilized, modified or enhanced by the Company or by Executive in furtherance of Executive’s duties with the Company; (5) compilations of data concerning Company products, services, customers, and end users including but not limited to compilations concerning projected sales, new project timelines, inventory reports, sales, and cost and expense reports; (6) compilations of information about the Company’s employees and independent contracting consultants; (7) the Company’s financial information, including, without limitation, amounts charged to customers and amounts charged to the Company by its vendors, suppliers, and service providers; (8) proposals submitted to the Company’s customers, potential customers, wholesalers, distributors, vendors, suppliers and service providers; (9) the Company’s marketing strategies and compilations of marketing data; (10) compilations of data or information concerning, and communications and agreements with, vendors, suppliers and licensors to the Company and other sources of technology, products, services or components used in the Company’s Business; (11) any information concerning services requested and services performed on behalf of customers of the Company, including planned products or services; and (12) the Company’s research and development records and data. Confidential Information also includes any summary, extract or analysis of such information together with information that has been received or disclosed to the Company by any third party as to which the Company has an obligation to treat as confidential.</w:t>
      </w:r>
    </w:p>
    <w:p>
      <w:pPr>
        <w:spacing w:after="0" w:line="50" w:lineRule="exact"/>
        <w:rPr>
          <w:rFonts w:ascii="Arial" w:cs="Arial" w:eastAsia="Arial" w:hAnsi="Arial"/>
          <w:sz w:val="16"/>
          <w:szCs w:val="16"/>
          <w:color w:val="auto"/>
        </w:rPr>
      </w:pPr>
    </w:p>
    <w:p>
      <w:pPr>
        <w:ind w:left="2740" w:hanging="788"/>
        <w:spacing w:after="0"/>
        <w:tabs>
          <w:tab w:leader="none" w:pos="2740" w:val="left"/>
        </w:tabs>
        <w:numPr>
          <w:ilvl w:val="1"/>
          <w:numId w:val="120"/>
        </w:numPr>
        <w:rPr>
          <w:rFonts w:ascii="Arial" w:cs="Arial" w:eastAsia="Arial" w:hAnsi="Arial"/>
          <w:sz w:val="18"/>
          <w:szCs w:val="18"/>
          <w:color w:val="auto"/>
        </w:rPr>
      </w:pPr>
      <w:r>
        <w:rPr>
          <w:rFonts w:ascii="Arial" w:cs="Arial" w:eastAsia="Arial" w:hAnsi="Arial"/>
          <w:sz w:val="20"/>
          <w:szCs w:val="20"/>
          <w:color w:val="auto"/>
        </w:rPr>
        <w:t>Confidential Information shall not include:</w:t>
      </w:r>
    </w:p>
    <w:p>
      <w:pPr>
        <w:spacing w:after="0" w:line="80" w:lineRule="exact"/>
        <w:rPr>
          <w:rFonts w:ascii="Arial" w:cs="Arial" w:eastAsia="Arial" w:hAnsi="Arial"/>
          <w:sz w:val="18"/>
          <w:szCs w:val="18"/>
          <w:color w:val="auto"/>
        </w:rPr>
      </w:pPr>
    </w:p>
    <w:p>
      <w:pPr>
        <w:ind w:left="3380" w:hanging="780"/>
        <w:spacing w:after="0"/>
        <w:tabs>
          <w:tab w:leader="none" w:pos="3380" w:val="left"/>
        </w:tabs>
        <w:numPr>
          <w:ilvl w:val="2"/>
          <w:numId w:val="120"/>
        </w:numPr>
        <w:rPr>
          <w:rFonts w:ascii="Arial" w:cs="Arial" w:eastAsia="Arial" w:hAnsi="Arial"/>
          <w:sz w:val="17"/>
          <w:szCs w:val="17"/>
          <w:color w:val="auto"/>
        </w:rPr>
      </w:pPr>
      <w:r>
        <w:rPr>
          <w:rFonts w:ascii="Arial" w:cs="Arial" w:eastAsia="Arial" w:hAnsi="Arial"/>
          <w:sz w:val="19"/>
          <w:szCs w:val="19"/>
          <w:color w:val="auto"/>
        </w:rPr>
        <w:t>Information generally available to the public other than as a result of improper disclosure by</w:t>
      </w:r>
    </w:p>
    <w:p>
      <w:pPr>
        <w:spacing w:after="0" w:line="27"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20"/>
          <w:szCs w:val="20"/>
          <w:color w:val="auto"/>
        </w:rPr>
        <w:t>Executive;</w:t>
      </w:r>
    </w:p>
    <w:p>
      <w:pPr>
        <w:spacing w:after="0" w:line="51" w:lineRule="exact"/>
        <w:rPr>
          <w:rFonts w:ascii="Arial" w:cs="Arial" w:eastAsia="Arial" w:hAnsi="Arial"/>
          <w:sz w:val="17"/>
          <w:szCs w:val="17"/>
          <w:color w:val="auto"/>
        </w:rPr>
      </w:pPr>
    </w:p>
    <w:p>
      <w:pPr>
        <w:ind w:left="660" w:right="20" w:firstLine="1940"/>
        <w:spacing w:after="0" w:line="305" w:lineRule="auto"/>
        <w:tabs>
          <w:tab w:leader="none" w:pos="3387" w:val="left"/>
        </w:tabs>
        <w:numPr>
          <w:ilvl w:val="2"/>
          <w:numId w:val="120"/>
        </w:numPr>
        <w:rPr>
          <w:rFonts w:ascii="Arial" w:cs="Arial" w:eastAsia="Arial" w:hAnsi="Arial"/>
          <w:sz w:val="16"/>
          <w:szCs w:val="16"/>
          <w:color w:val="auto"/>
        </w:rPr>
      </w:pPr>
      <w:r>
        <w:rPr>
          <w:rFonts w:ascii="Arial" w:cs="Arial" w:eastAsia="Arial" w:hAnsi="Arial"/>
          <w:sz w:val="18"/>
          <w:szCs w:val="18"/>
          <w:color w:val="auto"/>
        </w:rPr>
        <w:t>Information that becomes available to Executive from a source other than the Company (provided Executive has no knowledge that such information was obtained from a source in breach of a duty to the Company);</w:t>
      </w:r>
    </w:p>
    <w:p>
      <w:pPr>
        <w:ind w:left="3380" w:hanging="780"/>
        <w:spacing w:after="0"/>
        <w:tabs>
          <w:tab w:leader="none" w:pos="3380" w:val="left"/>
        </w:tabs>
        <w:numPr>
          <w:ilvl w:val="2"/>
          <w:numId w:val="120"/>
        </w:numPr>
        <w:rPr>
          <w:rFonts w:ascii="Arial" w:cs="Arial" w:eastAsia="Arial" w:hAnsi="Arial"/>
          <w:sz w:val="16"/>
          <w:szCs w:val="16"/>
          <w:color w:val="auto"/>
        </w:rPr>
      </w:pPr>
      <w:r>
        <w:rPr>
          <w:rFonts w:ascii="Arial" w:cs="Arial" w:eastAsia="Arial" w:hAnsi="Arial"/>
          <w:sz w:val="18"/>
          <w:szCs w:val="18"/>
          <w:color w:val="auto"/>
        </w:rPr>
        <w:t>Information disclosed pursuant to law, regulations or pursuant to a subpoena, court order or legal</w:t>
      </w:r>
    </w:p>
    <w:p>
      <w:pPr>
        <w:spacing w:after="0" w:line="3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process; and/or</w:t>
      </w:r>
    </w:p>
    <w:p>
      <w:pPr>
        <w:spacing w:after="0" w:line="51" w:lineRule="exact"/>
        <w:rPr>
          <w:rFonts w:ascii="Arial" w:cs="Arial" w:eastAsia="Arial" w:hAnsi="Arial"/>
          <w:sz w:val="16"/>
          <w:szCs w:val="16"/>
          <w:color w:val="auto"/>
        </w:rPr>
      </w:pPr>
    </w:p>
    <w:p>
      <w:pPr>
        <w:ind w:left="3380" w:hanging="780"/>
        <w:spacing w:after="0"/>
        <w:tabs>
          <w:tab w:leader="none" w:pos="3380" w:val="left"/>
        </w:tabs>
        <w:numPr>
          <w:ilvl w:val="2"/>
          <w:numId w:val="120"/>
        </w:numPr>
        <w:rPr>
          <w:rFonts w:ascii="Arial" w:cs="Arial" w:eastAsia="Arial" w:hAnsi="Arial"/>
          <w:sz w:val="18"/>
          <w:szCs w:val="18"/>
          <w:color w:val="auto"/>
        </w:rPr>
      </w:pPr>
      <w:r>
        <w:rPr>
          <w:rFonts w:ascii="Arial" w:cs="Arial" w:eastAsia="Arial" w:hAnsi="Arial"/>
          <w:sz w:val="20"/>
          <w:szCs w:val="20"/>
          <w:color w:val="auto"/>
        </w:rPr>
        <w:t>Information obtained in filings with the Securities and Exchange Commission.</w:t>
      </w:r>
    </w:p>
    <w:p>
      <w:pPr>
        <w:spacing w:after="0" w:line="80" w:lineRule="exact"/>
        <w:rPr>
          <w:rFonts w:ascii="Arial" w:cs="Arial" w:eastAsia="Arial" w:hAnsi="Arial"/>
          <w:sz w:val="18"/>
          <w:szCs w:val="18"/>
          <w:color w:val="auto"/>
        </w:rPr>
      </w:pPr>
    </w:p>
    <w:p>
      <w:pPr>
        <w:ind w:left="2080" w:hanging="776"/>
        <w:spacing w:after="0"/>
        <w:tabs>
          <w:tab w:leader="none" w:pos="2080" w:val="left"/>
        </w:tabs>
        <w:numPr>
          <w:ilvl w:val="0"/>
          <w:numId w:val="121"/>
        </w:numPr>
        <w:rPr>
          <w:rFonts w:ascii="Arial" w:cs="Arial" w:eastAsia="Arial" w:hAnsi="Arial"/>
          <w:sz w:val="16"/>
          <w:szCs w:val="16"/>
          <w:color w:val="auto"/>
        </w:rPr>
      </w:pPr>
      <w:r>
        <w:rPr>
          <w:rFonts w:ascii="Arial" w:cs="Arial" w:eastAsia="Arial" w:hAnsi="Arial"/>
          <w:sz w:val="18"/>
          <w:szCs w:val="18"/>
          <w:color w:val="auto"/>
        </w:rPr>
        <w:t>“Trade Secrets” means Confidential Information constituting a trade secret under Georgia Law, O.C.G.A. §§ 10-1-</w:t>
      </w:r>
    </w:p>
    <w:p>
      <w:pPr>
        <w:spacing w:after="0" w:line="3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 xml:space="preserve">760, </w:t>
      </w:r>
      <w:r>
        <w:rPr>
          <w:rFonts w:ascii="Arial" w:cs="Arial" w:eastAsia="Arial" w:hAnsi="Arial"/>
          <w:sz w:val="20"/>
          <w:szCs w:val="20"/>
          <w:i w:val="1"/>
          <w:iCs w:val="1"/>
          <w:color w:val="auto"/>
        </w:rPr>
        <w:t>et seq</w:t>
      </w:r>
      <w:r>
        <w:rPr>
          <w:rFonts w:ascii="Arial" w:cs="Arial" w:eastAsia="Arial" w:hAnsi="Arial"/>
          <w:sz w:val="20"/>
          <w:szCs w:val="20"/>
          <w:color w:val="auto"/>
        </w:rPr>
        <w:t>.</w:t>
      </w:r>
    </w:p>
    <w:p>
      <w:pPr>
        <w:spacing w:after="0" w:line="51" w:lineRule="exact"/>
        <w:rPr>
          <w:rFonts w:ascii="Arial" w:cs="Arial" w:eastAsia="Arial" w:hAnsi="Arial"/>
          <w:sz w:val="16"/>
          <w:szCs w:val="16"/>
          <w:color w:val="auto"/>
        </w:rPr>
      </w:pPr>
    </w:p>
    <w:p>
      <w:pPr>
        <w:jc w:val="both"/>
        <w:ind w:left="660" w:firstLine="644"/>
        <w:spacing w:after="0" w:line="235" w:lineRule="auto"/>
        <w:tabs>
          <w:tab w:leader="none" w:pos="2081" w:val="left"/>
        </w:tabs>
        <w:numPr>
          <w:ilvl w:val="0"/>
          <w:numId w:val="121"/>
        </w:numPr>
        <w:rPr>
          <w:rFonts w:ascii="Arial" w:cs="Arial" w:eastAsia="Arial" w:hAnsi="Arial"/>
          <w:sz w:val="18"/>
          <w:szCs w:val="18"/>
          <w:color w:val="auto"/>
        </w:rPr>
      </w:pPr>
      <w:r>
        <w:rPr>
          <w:rFonts w:ascii="Arial" w:cs="Arial" w:eastAsia="Arial" w:hAnsi="Arial"/>
          <w:sz w:val="20"/>
          <w:szCs w:val="20"/>
          <w:color w:val="auto"/>
        </w:rPr>
        <w:t>“Inventions” means contributions, discoveries, improvements and ideas and works of authorship, whether or not patentable or copyrightable, and: (i) which relate directly to the business of the Company, or (ii) which result from any work performed by Executive or by Executive’s fellow employees for the Company, or (iii) for which equipment, supplies, facilities, Confidential Information or Trade Secrets of the Company or its affiliates are used, or (iv) which is developed on the Company’s time.</w:t>
      </w:r>
    </w:p>
    <w:p>
      <w:pPr>
        <w:spacing w:after="0" w:line="48" w:lineRule="exact"/>
        <w:rPr>
          <w:rFonts w:ascii="Arial" w:cs="Arial" w:eastAsia="Arial" w:hAnsi="Arial"/>
          <w:sz w:val="18"/>
          <w:szCs w:val="18"/>
          <w:color w:val="auto"/>
        </w:rPr>
      </w:pPr>
    </w:p>
    <w:p>
      <w:pPr>
        <w:jc w:val="both"/>
        <w:ind w:left="660" w:firstLine="644"/>
        <w:spacing w:after="0" w:line="235" w:lineRule="auto"/>
        <w:tabs>
          <w:tab w:leader="none" w:pos="2091" w:val="left"/>
        </w:tabs>
        <w:numPr>
          <w:ilvl w:val="0"/>
          <w:numId w:val="121"/>
        </w:numPr>
        <w:rPr>
          <w:rFonts w:ascii="Arial" w:cs="Arial" w:eastAsia="Arial" w:hAnsi="Arial"/>
          <w:sz w:val="18"/>
          <w:szCs w:val="18"/>
          <w:color w:val="auto"/>
        </w:rPr>
      </w:pPr>
      <w:r>
        <w:rPr>
          <w:rFonts w:ascii="Arial" w:cs="Arial" w:eastAsia="Arial" w:hAnsi="Arial"/>
          <w:sz w:val="20"/>
          <w:szCs w:val="20"/>
          <w:color w:val="auto"/>
        </w:rPr>
        <w:t>“Customers” means those entities and/or individuals who are customers of the Company and/or its affiliates with respect to which, within the two-year period preceding the start of the Severance Period: (i) Executive had Material Contact on behalf of the Company; (ii) Executive acquired, directly or indirectly, Confidential Information or Trade Secrets as a result of his employment with the Company; and/or (iii) Executive exercised oversight or responsibility of subordinates who engaged in Material Contact on behalf of the Company.</w:t>
      </w:r>
    </w:p>
    <w:p>
      <w:pPr>
        <w:spacing w:after="0" w:line="48" w:lineRule="exact"/>
        <w:rPr>
          <w:rFonts w:ascii="Arial" w:cs="Arial" w:eastAsia="Arial" w:hAnsi="Arial"/>
          <w:sz w:val="18"/>
          <w:szCs w:val="18"/>
          <w:color w:val="auto"/>
        </w:rPr>
      </w:pPr>
    </w:p>
    <w:p>
      <w:pPr>
        <w:jc w:val="both"/>
        <w:ind w:left="660" w:firstLine="644"/>
        <w:spacing w:after="0" w:line="237" w:lineRule="auto"/>
        <w:tabs>
          <w:tab w:leader="none" w:pos="2081" w:val="left"/>
        </w:tabs>
        <w:numPr>
          <w:ilvl w:val="0"/>
          <w:numId w:val="121"/>
        </w:numPr>
        <w:rPr>
          <w:rFonts w:ascii="Arial" w:cs="Arial" w:eastAsia="Arial" w:hAnsi="Arial"/>
          <w:sz w:val="18"/>
          <w:szCs w:val="18"/>
          <w:color w:val="auto"/>
        </w:rPr>
      </w:pPr>
      <w:r>
        <w:rPr>
          <w:rFonts w:ascii="Arial" w:cs="Arial" w:eastAsia="Arial" w:hAnsi="Arial"/>
          <w:sz w:val="20"/>
          <w:szCs w:val="20"/>
          <w:color w:val="auto"/>
        </w:rPr>
        <w:t>“Company’s Business” means the design, manufacture, installation, servicing, and/or sale of one or more of the following and any related products and/or services: lighting fixtures and systems; lighting control components and systems (including but not limited to dimmers, switches, relays, programmable lighting controllers, sensors, timers, and range extenders for lighting and energy management and other purposes);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8" w:right="339" w:bottom="1440" w:gutter="0" w:footer="0" w:header="0"/>
        </w:sectPr>
      </w:pPr>
    </w:p>
    <w:bookmarkStart w:id="158" w:name="page159"/>
    <w:bookmarkEnd w:id="158"/>
    <w:p>
      <w:pPr>
        <w:ind w:left="9680"/>
        <w:spacing w:after="0"/>
        <w:rPr>
          <w:sz w:val="20"/>
          <w:szCs w:val="20"/>
          <w:color w:val="auto"/>
        </w:rPr>
      </w:pPr>
      <w:r>
        <w:rPr>
          <w:rFonts w:ascii="Arial" w:cs="Arial" w:eastAsia="Arial" w:hAnsi="Arial"/>
          <w:sz w:val="17"/>
          <w:szCs w:val="17"/>
          <w:b w:val="1"/>
          <w:bCs w:val="1"/>
          <w:color w:val="auto"/>
        </w:rPr>
        <w:t>Exhibit 10(iii)A(88)</w:t>
      </w:r>
    </w:p>
    <w:p>
      <w:pPr>
        <w:spacing w:after="0" w:line="32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building management and/or control systems; commercial building lighting controls; intelligent building automation and energy management technologies, products, software and solutions with respect to HVAC systems and HVAC controls and sensors; motorized shading and blind controls; building security and access control and monitoring for fire and life safety; emergency lighting fixtures and systems (including but not limited to exit signs, emergency light units, inverters, back-up power battery packs, and combinations thereof); battery powered and/or photovoltaic lighting fixtures; electric lighting track units; hardware for mounting and hanging electrical lighting fixtures; aluminum, steel and fiberglass fixture poles for electric lighting; light fixture lenses; sound and electromagnetic wave receivers and transmitters; flexible and modular wiring systems and components (namely, flexible branch circuits, attachment plugs, receptacles, connectors and fittings); LED drivers and other power supplies; daylighting systems including but not limited to prismatic skylighting and related controls; organic LED products and technology; medical and patient care lighting devices and systems; indoor positioning products and technology; sensor based information networks; distributed software services; and any wired or wireless communications and monitoring hardware or software related to any of the above.</w:t>
      </w:r>
    </w:p>
    <w:p>
      <w:pPr>
        <w:spacing w:after="0" w:line="38" w:lineRule="exact"/>
        <w:rPr>
          <w:sz w:val="20"/>
          <w:szCs w:val="20"/>
          <w:color w:val="auto"/>
        </w:rPr>
      </w:pPr>
    </w:p>
    <w:p>
      <w:pPr>
        <w:jc w:val="both"/>
        <w:ind w:left="660" w:firstLine="644"/>
        <w:spacing w:after="0" w:line="259" w:lineRule="auto"/>
        <w:tabs>
          <w:tab w:leader="none" w:pos="2061" w:val="left"/>
        </w:tabs>
        <w:numPr>
          <w:ilvl w:val="1"/>
          <w:numId w:val="122"/>
        </w:numPr>
        <w:rPr>
          <w:rFonts w:ascii="Arial" w:cs="Arial" w:eastAsia="Arial" w:hAnsi="Arial"/>
          <w:sz w:val="16"/>
          <w:szCs w:val="16"/>
          <w:color w:val="auto"/>
        </w:rPr>
      </w:pPr>
      <w:r>
        <w:rPr>
          <w:rFonts w:ascii="Arial" w:cs="Arial" w:eastAsia="Arial" w:hAnsi="Arial"/>
          <w:sz w:val="18"/>
          <w:szCs w:val="18"/>
          <w:color w:val="auto"/>
        </w:rPr>
        <w:t>“Territory” means the United States. Executive acknowledges that the Company is licensed to do business and in fact does business in all fifty states in the United States. Executive further acknowledges that the services he has performed and may continue to perform on behalf of the Company or its affiliates, including executive services, are at a senior managerial level and are not limited in their territorial scope to any particular city, state, or region, but instead affect the Company’s activity within the entire United States. Specifically, Executive provides executive services on the Company’s behalf, travels throughout the United States to attend Company meetings, visit Company factories and distribution centers, meet with Company agents and distributors, and attend trade shows. Accordingly, Executive agrees that these restrictions are reasonable and necessary to protect the Confidential Information, trade secrets, business relationships, and goodwill of the Company.</w:t>
      </w:r>
    </w:p>
    <w:p>
      <w:pPr>
        <w:spacing w:after="0" w:line="35" w:lineRule="exact"/>
        <w:rPr>
          <w:rFonts w:ascii="Arial" w:cs="Arial" w:eastAsia="Arial" w:hAnsi="Arial"/>
          <w:sz w:val="16"/>
          <w:szCs w:val="16"/>
          <w:color w:val="auto"/>
        </w:rPr>
      </w:pPr>
    </w:p>
    <w:p>
      <w:pPr>
        <w:jc w:val="both"/>
        <w:ind w:left="660" w:firstLine="644"/>
        <w:spacing w:after="0" w:line="263" w:lineRule="auto"/>
        <w:tabs>
          <w:tab w:leader="none" w:pos="2091" w:val="left"/>
        </w:tabs>
        <w:numPr>
          <w:ilvl w:val="1"/>
          <w:numId w:val="122"/>
        </w:numPr>
        <w:rPr>
          <w:rFonts w:ascii="Arial" w:cs="Arial" w:eastAsia="Arial" w:hAnsi="Arial"/>
          <w:sz w:val="16"/>
          <w:szCs w:val="16"/>
          <w:color w:val="auto"/>
        </w:rPr>
      </w:pPr>
      <w:r>
        <w:rPr>
          <w:rFonts w:ascii="Arial" w:cs="Arial" w:eastAsia="Arial" w:hAnsi="Arial"/>
          <w:sz w:val="18"/>
          <w:szCs w:val="18"/>
          <w:color w:val="auto"/>
        </w:rPr>
        <w:t>“Material Contact” shall have the meaning set forth in O.C.G.A. § 13-8-51(10), which includes contact between an employee and each customer or potential customer: with whom or which the employee dealt on behalf of the employer; whose dealings with the employer were coordinated or supervised by the employee; about whom the employee obtained confidential information in the ordinary course of business as a result of such employee’s association with the employer; or who receives products or services authorized by the employer, the sale or provision of which results of resulted in compensation, commissions, or earnings for the employee within two years prior to the date of the start of the Severance Period.</w:t>
      </w:r>
    </w:p>
    <w:p>
      <w:pPr>
        <w:spacing w:after="0" w:line="29" w:lineRule="exact"/>
        <w:rPr>
          <w:rFonts w:ascii="Arial" w:cs="Arial" w:eastAsia="Arial" w:hAnsi="Arial"/>
          <w:sz w:val="16"/>
          <w:szCs w:val="16"/>
          <w:color w:val="auto"/>
        </w:rPr>
      </w:pPr>
    </w:p>
    <w:p>
      <w:pPr>
        <w:ind w:left="660" w:firstLine="644"/>
        <w:spacing w:after="0" w:line="260" w:lineRule="auto"/>
        <w:tabs>
          <w:tab w:leader="none" w:pos="2091" w:val="left"/>
        </w:tabs>
        <w:numPr>
          <w:ilvl w:val="1"/>
          <w:numId w:val="122"/>
        </w:numPr>
        <w:rPr>
          <w:rFonts w:ascii="Arial" w:cs="Arial" w:eastAsia="Arial" w:hAnsi="Arial"/>
          <w:sz w:val="18"/>
          <w:szCs w:val="18"/>
          <w:color w:val="auto"/>
        </w:rPr>
      </w:pPr>
      <w:r>
        <w:rPr>
          <w:rFonts w:ascii="Arial" w:cs="Arial" w:eastAsia="Arial" w:hAnsi="Arial"/>
          <w:sz w:val="20"/>
          <w:szCs w:val="20"/>
          <w:color w:val="auto"/>
        </w:rPr>
        <w:t>“Sales Agent” is any third-party agency, and/or its representatives, with which or whom the Company has contracted for the purpose of facilitating the sale of the Company’s products.</w:t>
      </w:r>
    </w:p>
    <w:p>
      <w:pPr>
        <w:spacing w:after="0" w:line="22" w:lineRule="exact"/>
        <w:rPr>
          <w:rFonts w:ascii="Arial" w:cs="Arial" w:eastAsia="Arial" w:hAnsi="Arial"/>
          <w:sz w:val="18"/>
          <w:szCs w:val="18"/>
          <w:color w:val="auto"/>
        </w:rPr>
      </w:pPr>
    </w:p>
    <w:p>
      <w:pPr>
        <w:ind w:left="800" w:hanging="792"/>
        <w:spacing w:after="0"/>
        <w:tabs>
          <w:tab w:leader="none" w:pos="800" w:val="left"/>
        </w:tabs>
        <w:numPr>
          <w:ilvl w:val="0"/>
          <w:numId w:val="123"/>
        </w:numPr>
        <w:rPr>
          <w:rFonts w:ascii="Arial" w:cs="Arial" w:eastAsia="Arial" w:hAnsi="Arial"/>
          <w:sz w:val="18"/>
          <w:szCs w:val="18"/>
          <w:color w:val="auto"/>
        </w:rPr>
      </w:pPr>
      <w:r>
        <w:rPr>
          <w:rFonts w:ascii="Arial" w:cs="Arial" w:eastAsia="Arial" w:hAnsi="Arial"/>
          <w:sz w:val="20"/>
          <w:szCs w:val="20"/>
          <w:b w:val="1"/>
          <w:bCs w:val="1"/>
          <w:color w:val="auto"/>
        </w:rPr>
        <w:t>MISCELLANEOUS</w:t>
      </w:r>
    </w:p>
    <w:p>
      <w:pPr>
        <w:spacing w:after="0" w:line="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9"/>
          <w:szCs w:val="19"/>
          <w:u w:val="single" w:color="auto"/>
          <w:color w:val="auto"/>
        </w:rPr>
        <w:t>No Obligation to Mitigate</w:t>
      </w:r>
      <w:r>
        <w:rPr>
          <w:rFonts w:ascii="Arial" w:cs="Arial" w:eastAsia="Arial" w:hAnsi="Arial"/>
          <w:sz w:val="19"/>
          <w:szCs w:val="19"/>
          <w:color w:val="auto"/>
        </w:rPr>
        <w:t>. Executive shall not be required to mitigate the amount of any payment provided for under this</w:t>
      </w:r>
      <w:r>
        <w:rPr>
          <w:rFonts w:ascii="Arial" w:cs="Arial" w:eastAsia="Arial" w:hAnsi="Arial"/>
          <w:sz w:val="18"/>
          <w:szCs w:val="18"/>
          <w:color w:val="auto"/>
        </w:rPr>
        <w:t xml:space="preserve"> </w:t>
      </w:r>
      <w:r>
        <w:rPr>
          <w:rFonts w:ascii="Arial" w:cs="Arial" w:eastAsia="Arial" w:hAnsi="Arial"/>
          <w:sz w:val="19"/>
          <w:szCs w:val="19"/>
          <w:color w:val="auto"/>
        </w:rPr>
        <w:t>Agreement by seeking other employment or otherwise, nor shall the amount of any payment provided for under this Agreement be reduced by any compensation earned by Executive as a result of employment by another employer after the Date of Termination or otherwise, except as provided in Section 4 with respect to benefits coverages.</w:t>
      </w:r>
    </w:p>
    <w:p>
      <w:pPr>
        <w:spacing w:after="0" w:line="3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9"/>
          <w:szCs w:val="19"/>
          <w:u w:val="single" w:color="auto"/>
          <w:color w:val="auto"/>
        </w:rPr>
        <w:t>Contract Non-Assignable</w:t>
      </w:r>
      <w:r>
        <w:rPr>
          <w:rFonts w:ascii="Arial" w:cs="Arial" w:eastAsia="Arial" w:hAnsi="Arial"/>
          <w:sz w:val="19"/>
          <w:szCs w:val="19"/>
          <w:color w:val="auto"/>
        </w:rPr>
        <w:t>. The parties acknowledge that this Agreement has been entered into due to, among other things,</w:t>
      </w:r>
      <w:r>
        <w:rPr>
          <w:rFonts w:ascii="Arial" w:cs="Arial" w:eastAsia="Arial" w:hAnsi="Arial"/>
          <w:sz w:val="18"/>
          <w:szCs w:val="18"/>
          <w:color w:val="auto"/>
        </w:rPr>
        <w:t xml:space="preserve"> </w:t>
      </w:r>
      <w:r>
        <w:rPr>
          <w:rFonts w:ascii="Arial" w:cs="Arial" w:eastAsia="Arial" w:hAnsi="Arial"/>
          <w:sz w:val="19"/>
          <w:szCs w:val="19"/>
          <w:color w:val="auto"/>
        </w:rPr>
        <w:t>the special skills and knowledge of Executive, and agree that this Agreement may not be assigned or transferred by Executive.</w:t>
      </w:r>
    </w:p>
    <w:p>
      <w:pPr>
        <w:spacing w:after="0" w:line="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Successors; Binding Agreement</w:t>
      </w:r>
      <w:r>
        <w:rPr>
          <w:rFonts w:ascii="Arial" w:cs="Arial" w:eastAsia="Arial" w:hAnsi="Arial"/>
          <w:sz w:val="16"/>
          <w:szCs w:val="16"/>
          <w:color w:val="auto"/>
        </w:rPr>
        <w:t>.</w:t>
      </w:r>
    </w:p>
    <w:p>
      <w:pPr>
        <w:spacing w:after="0" w:line="104" w:lineRule="exact"/>
        <w:rPr>
          <w:sz w:val="20"/>
          <w:szCs w:val="20"/>
          <w:color w:val="auto"/>
        </w:rPr>
      </w:pPr>
    </w:p>
    <w:p>
      <w:pPr>
        <w:jc w:val="both"/>
        <w:ind w:left="660" w:firstLine="644"/>
        <w:spacing w:after="0" w:line="312" w:lineRule="auto"/>
        <w:tabs>
          <w:tab w:leader="none" w:pos="2156" w:val="left"/>
        </w:tabs>
        <w:numPr>
          <w:ilvl w:val="0"/>
          <w:numId w:val="124"/>
        </w:numPr>
        <w:rPr>
          <w:rFonts w:ascii="Arial" w:cs="Arial" w:eastAsia="Arial" w:hAnsi="Arial"/>
          <w:sz w:val="15"/>
          <w:szCs w:val="15"/>
          <w:color w:val="auto"/>
        </w:rPr>
      </w:pPr>
      <w:r>
        <w:rPr>
          <w:rFonts w:ascii="Arial" w:cs="Arial" w:eastAsia="Arial" w:hAnsi="Arial"/>
          <w:sz w:val="16"/>
          <w:szCs w:val="16"/>
          <w:color w:val="auto"/>
        </w:rPr>
        <w:t>In addition to any obligations imposed by law upon any successor to the Company, the Company will require any successor (whether direct or indirect, by purchase, merger, consolidation or otherwise) to all or substantially all of the business and/or assets of the Company, or who acquires the stock of the Company, to expressly assume and agree to perform this Agreement, in the same manner and to the same extent that the Company would be required to perform it if no such succession had taken place.</w:t>
      </w:r>
    </w:p>
    <w:p>
      <w:pPr>
        <w:spacing w:after="0" w:line="1" w:lineRule="exact"/>
        <w:rPr>
          <w:rFonts w:ascii="Arial" w:cs="Arial" w:eastAsia="Arial" w:hAnsi="Arial"/>
          <w:sz w:val="15"/>
          <w:szCs w:val="15"/>
          <w:color w:val="auto"/>
        </w:rPr>
      </w:pPr>
    </w:p>
    <w:p>
      <w:pPr>
        <w:ind w:left="660" w:firstLine="644"/>
        <w:spacing w:after="0" w:line="260" w:lineRule="auto"/>
        <w:tabs>
          <w:tab w:leader="none" w:pos="2166" w:val="left"/>
        </w:tabs>
        <w:numPr>
          <w:ilvl w:val="0"/>
          <w:numId w:val="124"/>
        </w:numPr>
        <w:rPr>
          <w:rFonts w:ascii="Arial" w:cs="Arial" w:eastAsia="Arial" w:hAnsi="Arial"/>
          <w:sz w:val="18"/>
          <w:szCs w:val="18"/>
          <w:color w:val="auto"/>
        </w:rPr>
      </w:pPr>
      <w:r>
        <w:rPr>
          <w:rFonts w:ascii="Arial" w:cs="Arial" w:eastAsia="Arial" w:hAnsi="Arial"/>
          <w:sz w:val="20"/>
          <w:szCs w:val="20"/>
          <w:color w:val="auto"/>
        </w:rPr>
        <w:t>This Agreement shall inure to the benefit of and be enforceable by Executive’s personal or legal representative, executors, administrators, successors, heirs, distributees, devisees and legatees.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8" w:right="339" w:bottom="1440" w:gutter="0" w:footer="0" w:header="0"/>
        </w:sectPr>
      </w:pPr>
    </w:p>
    <w:bookmarkStart w:id="159" w:name="page160"/>
    <w:bookmarkEnd w:id="159"/>
    <w:p>
      <w:pPr>
        <w:ind w:left="9680"/>
        <w:spacing w:after="0"/>
        <w:rPr>
          <w:sz w:val="20"/>
          <w:szCs w:val="20"/>
          <w:color w:val="auto"/>
        </w:rPr>
      </w:pPr>
      <w:r>
        <w:rPr>
          <w:rFonts w:ascii="Arial" w:cs="Arial" w:eastAsia="Arial" w:hAnsi="Arial"/>
          <w:sz w:val="17"/>
          <w:szCs w:val="17"/>
          <w:b w:val="1"/>
          <w:bCs w:val="1"/>
          <w:color w:val="auto"/>
        </w:rPr>
        <w:t>Exhibit 10(iii)A(88)</w:t>
      </w:r>
    </w:p>
    <w:p>
      <w:pPr>
        <w:spacing w:after="0" w:line="32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demands and other communications required or permitted hereunder shall be in writing and</w:t>
      </w:r>
      <w:r>
        <w:rPr>
          <w:rFonts w:ascii="Arial" w:cs="Arial" w:eastAsia="Arial" w:hAnsi="Arial"/>
          <w:sz w:val="18"/>
          <w:szCs w:val="18"/>
          <w:color w:val="auto"/>
        </w:rPr>
        <w:t xml:space="preserve"> </w:t>
      </w:r>
      <w:r>
        <w:rPr>
          <w:rFonts w:ascii="Arial" w:cs="Arial" w:eastAsia="Arial" w:hAnsi="Arial"/>
          <w:sz w:val="19"/>
          <w:szCs w:val="19"/>
          <w:color w:val="auto"/>
        </w:rPr>
        <w:t>shall be deemed to have been duly given when delivered or seven days after mailing if mailed first class, certified mail, postage prepaid, addressed as follows:</w:t>
      </w:r>
    </w:p>
    <w:p>
      <w:pPr>
        <w:spacing w:after="0" w:line="200" w:lineRule="exact"/>
        <w:rPr>
          <w:sz w:val="20"/>
          <w:szCs w:val="20"/>
          <w:color w:val="auto"/>
        </w:rPr>
      </w:pPr>
    </w:p>
    <w:p>
      <w:pPr>
        <w:spacing w:after="0" w:line="286"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Acuity Brands, Inc.</w:t>
      </w:r>
    </w:p>
    <w:p>
      <w:pPr>
        <w:spacing w:after="0" w:line="1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Attention: General Counsel</w:t>
      </w:r>
    </w:p>
    <w:p>
      <w:pPr>
        <w:ind w:left="3960"/>
        <w:spacing w:after="0"/>
        <w:rPr>
          <w:sz w:val="20"/>
          <w:szCs w:val="20"/>
          <w:color w:val="auto"/>
        </w:rPr>
      </w:pPr>
      <w:r>
        <w:rPr>
          <w:rFonts w:ascii="Arial" w:cs="Arial" w:eastAsia="Arial" w:hAnsi="Arial"/>
          <w:sz w:val="20"/>
          <w:szCs w:val="20"/>
          <w:color w:val="auto"/>
        </w:rPr>
        <w:t>1170 Peachtree Street, Suite 2300</w:t>
      </w:r>
    </w:p>
    <w:p>
      <w:pPr>
        <w:sectPr>
          <w:pgSz w:w="11900" w:h="16838" w:orient="portrait"/>
          <w:cols w:equalWidth="0" w:num="1">
            <w:col w:w="11240"/>
          </w:cols>
          <w:pgMar w:left="320" w:top="118" w:right="339" w:bottom="1440" w:gutter="0" w:footer="0" w:header="0"/>
        </w:sectPr>
      </w:pPr>
    </w:p>
    <w:p>
      <w:pPr>
        <w:spacing w:after="0" w:line="4"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Atlanta, GA 30309</w:t>
      </w:r>
    </w:p>
    <w:p>
      <w:pPr>
        <w:spacing w:after="0" w:line="56" w:lineRule="exact"/>
        <w:rPr>
          <w:sz w:val="20"/>
          <w:szCs w:val="20"/>
          <w:color w:val="auto"/>
        </w:rPr>
      </w:pPr>
    </w:p>
    <w:p>
      <w:pPr>
        <w:sectPr>
          <w:pgSz w:w="11900" w:h="16838" w:orient="portrait"/>
          <w:cols w:equalWidth="0" w:num="2">
            <w:col w:w="3280" w:space="680"/>
            <w:col w:w="7280"/>
          </w:cols>
          <w:pgMar w:left="320" w:top="118" w:right="339" w:bottom="1440" w:gutter="0" w:footer="0" w:header="0"/>
          <w:type w:val="continuous"/>
        </w:sectPr>
      </w:pPr>
    </w:p>
    <w:p>
      <w:pPr>
        <w:ind w:left="1780"/>
        <w:spacing w:after="0"/>
        <w:rPr>
          <w:sz w:val="20"/>
          <w:szCs w:val="20"/>
          <w:color w:val="auto"/>
        </w:rPr>
      </w:pPr>
      <w:r>
        <w:rPr>
          <w:rFonts w:ascii="Arial" w:cs="Arial" w:eastAsia="Arial" w:hAnsi="Arial"/>
          <w:sz w:val="18"/>
          <w:szCs w:val="18"/>
          <w:color w:val="auto"/>
        </w:rPr>
        <w:t>If to the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To his/her last known address on file with the Company</w:t>
      </w:r>
    </w:p>
    <w:p>
      <w:pPr>
        <w:spacing w:after="0" w:line="200" w:lineRule="exact"/>
        <w:rPr>
          <w:sz w:val="20"/>
          <w:szCs w:val="20"/>
          <w:color w:val="auto"/>
        </w:rPr>
      </w:pPr>
    </w:p>
    <w:p>
      <w:pPr>
        <w:sectPr>
          <w:pgSz w:w="11900" w:h="16838" w:orient="portrait"/>
          <w:cols w:equalWidth="0" w:num="2">
            <w:col w:w="3300" w:space="660"/>
            <w:col w:w="7280"/>
          </w:cols>
          <w:pgMar w:left="320" w:top="118" w:right="339" w:bottom="1440" w:gutter="0" w:footer="0" w:header="0"/>
          <w:type w:val="continuous"/>
        </w:sectPr>
      </w:pPr>
    </w:p>
    <w:p>
      <w:pPr>
        <w:spacing w:after="0" w:line="22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Any party may change the address to which notices, requests, demands and other communications shall be delivered or mailed by giving notice thereof to the other party in the same manner provided herein.</w:t>
      </w:r>
    </w:p>
    <w:p>
      <w:pPr>
        <w:spacing w:after="0" w:line="3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9"/>
          <w:szCs w:val="19"/>
          <w:u w:val="single" w:color="auto"/>
          <w:color w:val="auto"/>
        </w:rPr>
        <w:t>Provisions Severable</w:t>
      </w:r>
      <w:r>
        <w:rPr>
          <w:rFonts w:ascii="Arial" w:cs="Arial" w:eastAsia="Arial" w:hAnsi="Arial"/>
          <w:sz w:val="19"/>
          <w:szCs w:val="19"/>
          <w:color w:val="auto"/>
        </w:rPr>
        <w:t>. If any provision or covenant, or any part thereof, of this Agreement should be held by any court to</w:t>
      </w:r>
      <w:r>
        <w:rPr>
          <w:rFonts w:ascii="Arial" w:cs="Arial" w:eastAsia="Arial" w:hAnsi="Arial"/>
          <w:sz w:val="18"/>
          <w:szCs w:val="18"/>
          <w:color w:val="auto"/>
        </w:rPr>
        <w:t xml:space="preserve"> </w:t>
      </w:r>
      <w:r>
        <w:rPr>
          <w:rFonts w:ascii="Arial" w:cs="Arial" w:eastAsia="Arial" w:hAnsi="Arial"/>
          <w:sz w:val="19"/>
          <w:szCs w:val="19"/>
          <w:color w:val="auto"/>
        </w:rPr>
        <w:t>be invalid, illegal or unenforceable, either in whole or in part, such invalidity, illegality or unenforceability shall not affect the validity, legality or enforceability of the remaining provisions or covenants, or any part thereof, of this Agreement, all of which shall remain in full force and effect.</w:t>
      </w:r>
    </w:p>
    <w:p>
      <w:pPr>
        <w:spacing w:after="0" w:line="3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9"/>
          <w:szCs w:val="19"/>
          <w:u w:val="single" w:color="auto"/>
          <w:color w:val="auto"/>
        </w:rPr>
        <w:t>Waiver</w:t>
      </w:r>
      <w:r>
        <w:rPr>
          <w:rFonts w:ascii="Arial" w:cs="Arial" w:eastAsia="Arial" w:hAnsi="Arial"/>
          <w:sz w:val="19"/>
          <w:szCs w:val="19"/>
          <w:color w:val="auto"/>
        </w:rPr>
        <w:t>. Failure of either party to insist, in one or more instances, on performance by the other in strict accordance with</w:t>
      </w:r>
      <w:r>
        <w:rPr>
          <w:rFonts w:ascii="Arial" w:cs="Arial" w:eastAsia="Arial" w:hAnsi="Arial"/>
          <w:sz w:val="18"/>
          <w:szCs w:val="18"/>
          <w:color w:val="auto"/>
        </w:rPr>
        <w:t xml:space="preserve"> </w:t>
      </w:r>
      <w:r>
        <w:rPr>
          <w:rFonts w:ascii="Arial" w:cs="Arial" w:eastAsia="Arial" w:hAnsi="Arial"/>
          <w:sz w:val="19"/>
          <w:szCs w:val="19"/>
          <w:color w:val="auto"/>
        </w:rPr>
        <w:t>the terms and conditions of this Agreement shall not be deemed a waiver or relinquishment of any right granted in this Agreement or the future performance of any such term or condition or of any other term or condition of this Agreement, unless such waiver is contained in a writing signed by the party making the waiver.</w:t>
      </w:r>
    </w:p>
    <w:p>
      <w:pPr>
        <w:spacing w:after="0" w:line="37"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9"/>
          <w:szCs w:val="19"/>
          <w:u w:val="single" w:color="auto"/>
          <w:color w:val="auto"/>
        </w:rPr>
        <w:t>Termination, Amendments and Modifications</w:t>
      </w:r>
      <w:r>
        <w:rPr>
          <w:rFonts w:ascii="Arial" w:cs="Arial" w:eastAsia="Arial" w:hAnsi="Arial"/>
          <w:sz w:val="19"/>
          <w:szCs w:val="19"/>
          <w:color w:val="auto"/>
        </w:rPr>
        <w:t>. This Agreement may be terminated, amended or modified only by a</w:t>
      </w:r>
      <w:r>
        <w:rPr>
          <w:rFonts w:ascii="Arial" w:cs="Arial" w:eastAsia="Arial" w:hAnsi="Arial"/>
          <w:sz w:val="18"/>
          <w:szCs w:val="18"/>
          <w:color w:val="auto"/>
        </w:rPr>
        <w:t xml:space="preserve"> </w:t>
      </w:r>
      <w:r>
        <w:rPr>
          <w:rFonts w:ascii="Arial" w:cs="Arial" w:eastAsia="Arial" w:hAnsi="Arial"/>
          <w:sz w:val="19"/>
          <w:szCs w:val="19"/>
          <w:color w:val="auto"/>
        </w:rPr>
        <w:t>writing signed by both parties hereto, which makes specific reference to this Agreement.</w:t>
      </w:r>
    </w:p>
    <w:p>
      <w:pPr>
        <w:spacing w:after="0" w:line="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9"/>
          <w:szCs w:val="19"/>
          <w:u w:val="single" w:color="auto"/>
          <w:color w:val="auto"/>
        </w:rPr>
        <w:t>Governing Law</w:t>
      </w:r>
      <w:r>
        <w:rPr>
          <w:rFonts w:ascii="Arial" w:cs="Arial" w:eastAsia="Arial" w:hAnsi="Arial"/>
          <w:sz w:val="19"/>
          <w:szCs w:val="19"/>
          <w:color w:val="auto"/>
        </w:rPr>
        <w:t>. The validity and effect of this Agreement shall be governed by and construed and enforced in accordance</w:t>
      </w:r>
      <w:r>
        <w:rPr>
          <w:rFonts w:ascii="Arial" w:cs="Arial" w:eastAsia="Arial" w:hAnsi="Arial"/>
          <w:sz w:val="18"/>
          <w:szCs w:val="18"/>
          <w:color w:val="auto"/>
        </w:rPr>
        <w:t xml:space="preserve"> </w:t>
      </w:r>
      <w:r>
        <w:rPr>
          <w:rFonts w:ascii="Arial" w:cs="Arial" w:eastAsia="Arial" w:hAnsi="Arial"/>
          <w:sz w:val="19"/>
          <w:szCs w:val="19"/>
          <w:color w:val="auto"/>
        </w:rPr>
        <w:t>with the laws of the State of Georgia.</w:t>
      </w:r>
    </w:p>
    <w:p>
      <w:pPr>
        <w:spacing w:after="0" w:line="4"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9"/>
          <w:szCs w:val="19"/>
          <w:u w:val="single" w:color="auto"/>
          <w:color w:val="auto"/>
        </w:rPr>
        <w:t>Legal Fees</w:t>
      </w:r>
      <w:r>
        <w:rPr>
          <w:rFonts w:ascii="Arial" w:cs="Arial" w:eastAsia="Arial" w:hAnsi="Arial"/>
          <w:sz w:val="19"/>
          <w:szCs w:val="19"/>
          <w:color w:val="auto"/>
        </w:rPr>
        <w:t>. Each party shall pay its own legal fees and other expenses associated with any dispute under this Agreement</w:t>
      </w:r>
      <w:r>
        <w:rPr>
          <w:rFonts w:ascii="Arial" w:cs="Arial" w:eastAsia="Arial" w:hAnsi="Arial"/>
          <w:sz w:val="18"/>
          <w:szCs w:val="18"/>
          <w:color w:val="auto"/>
        </w:rPr>
        <w:t xml:space="preserve"> </w:t>
      </w:r>
      <w:r>
        <w:rPr>
          <w:rFonts w:ascii="Arial" w:cs="Arial" w:eastAsia="Arial" w:hAnsi="Arial"/>
          <w:sz w:val="19"/>
          <w:szCs w:val="19"/>
          <w:color w:val="auto"/>
        </w:rPr>
        <w:t>or any Exhibit hereto.</w:t>
      </w:r>
    </w:p>
    <w:p>
      <w:pPr>
        <w:spacing w:after="0" w:line="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along with any Exhibit hereto, encompasses the entire agreement of the parties with respect</w:t>
      </w:r>
      <w:r>
        <w:rPr>
          <w:rFonts w:ascii="Arial" w:cs="Arial" w:eastAsia="Arial" w:hAnsi="Arial"/>
          <w:sz w:val="18"/>
          <w:szCs w:val="18"/>
          <w:color w:val="auto"/>
        </w:rPr>
        <w:t xml:space="preserve"> </w:t>
      </w:r>
      <w:r>
        <w:rPr>
          <w:rFonts w:ascii="Arial" w:cs="Arial" w:eastAsia="Arial" w:hAnsi="Arial"/>
          <w:sz w:val="19"/>
          <w:szCs w:val="19"/>
          <w:color w:val="auto"/>
        </w:rPr>
        <w:t>to the subject matter hereto, including but not limited to prior severance agreements, and supersedes all previous understandings and agreements between them, whether oral or written, except that the restrictive covenants in this Agreement shall not supersede any restrictive covenants set forth in any other agreement between the Company and Executive (“Other Restrictive Covenants”). To the extent that the Other Restrictive Covenants conflict with the provisions contained in this Agreement, the provisions that are more restrictive on Executive will control. The parties hereby acknowledge and represent, that they have not relied on any representation, assertion, guarantee, warranty, collateral contract or other assurance, except those set out in this Agreement, made by or on behalf of any other party or any other person or entity whatsoever, prior to the execution of this Agreement.</w:t>
      </w:r>
    </w:p>
    <w:p>
      <w:pPr>
        <w:spacing w:after="0" w:line="4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8"/>
          <w:szCs w:val="18"/>
          <w:u w:val="single" w:color="auto"/>
          <w:color w:val="auto"/>
        </w:rPr>
        <w:t>Tender Back Provision</w:t>
      </w:r>
      <w:r>
        <w:rPr>
          <w:rFonts w:ascii="Arial" w:cs="Arial" w:eastAsia="Arial" w:hAnsi="Arial"/>
          <w:sz w:val="18"/>
          <w:szCs w:val="18"/>
          <w:color w:val="auto"/>
        </w:rPr>
        <w:t>. In the event that any provisions of Section 5 are found void, invalid, illegal, or otherwise</w:t>
      </w:r>
      <w:r>
        <w:rPr>
          <w:rFonts w:ascii="Arial" w:cs="Arial" w:eastAsia="Arial" w:hAnsi="Arial"/>
          <w:sz w:val="17"/>
          <w:szCs w:val="17"/>
          <w:color w:val="auto"/>
        </w:rPr>
        <w:t xml:space="preserve"> </w:t>
      </w:r>
      <w:r>
        <w:rPr>
          <w:rFonts w:ascii="Arial" w:cs="Arial" w:eastAsia="Arial" w:hAnsi="Arial"/>
          <w:sz w:val="18"/>
          <w:szCs w:val="18"/>
          <w:color w:val="auto"/>
        </w:rPr>
        <w:t>unenforceable, or, if Executive or any other person or entity commences an action seeking to have a declaration that any of the provisions of Section 5 are void, invalid, illegal, or otherwise unenforceable, the Company’s obligation to pay 70% of the compensation set forth in Sections 4.1 and 4.2, and the outplacement benefits in Section 4.6 shall terminate immediately. Further, in the event Executive breaches or threatens to breach any provisions of Section 4, he/she shall be required to immediately return to the Company 70% of all such benefits set forth in Sections 4.1 and 4.2 that were previously paid, as well as the cash value of all benefits provided pursuant to Section 4.6.</w:t>
      </w:r>
    </w:p>
    <w:p>
      <w:pPr>
        <w:spacing w:after="0" w:line="3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9"/>
          <w:szCs w:val="19"/>
          <w:u w:val="single" w:color="auto"/>
          <w:color w:val="auto"/>
        </w:rPr>
        <w:t>Tolling Period</w:t>
      </w:r>
      <w:r>
        <w:rPr>
          <w:rFonts w:ascii="Arial" w:cs="Arial" w:eastAsia="Arial" w:hAnsi="Arial"/>
          <w:sz w:val="19"/>
          <w:szCs w:val="19"/>
          <w:color w:val="auto"/>
        </w:rPr>
        <w:t>. If Executive is found by a court to have violated any restriction in Section 6 of this Agreement, he/she</w:t>
      </w:r>
      <w:r>
        <w:rPr>
          <w:rFonts w:ascii="Arial" w:cs="Arial" w:eastAsia="Arial" w:hAnsi="Arial"/>
          <w:sz w:val="18"/>
          <w:szCs w:val="18"/>
          <w:color w:val="auto"/>
        </w:rPr>
        <w:t xml:space="preserve"> </w:t>
      </w:r>
      <w:r>
        <w:rPr>
          <w:rFonts w:ascii="Arial" w:cs="Arial" w:eastAsia="Arial" w:hAnsi="Arial"/>
          <w:sz w:val="19"/>
          <w:szCs w:val="19"/>
          <w:color w:val="auto"/>
        </w:rPr>
        <w:t>agrees that the time period for such restriction shall be extended by one day for each day that he/she is found to have violated the restriction, up to a maximum of 18 months.</w:t>
      </w: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8" w:right="339" w:bottom="1440" w:gutter="0" w:footer="0" w:header="0"/>
          <w:type w:val="continuous"/>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10(iii)A(88)</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have executed this Agreement as of the day and year first above written.</w:t>
      </w:r>
    </w:p>
    <w:p>
      <w:pPr>
        <w:spacing w:after="0" w:line="200" w:lineRule="exact"/>
        <w:rPr>
          <w:sz w:val="20"/>
          <w:szCs w:val="20"/>
          <w:color w:val="auto"/>
        </w:rPr>
      </w:pPr>
    </w:p>
    <w:p>
      <w:pPr>
        <w:spacing w:after="0" w:line="334" w:lineRule="exact"/>
        <w:rPr>
          <w:sz w:val="20"/>
          <w:szCs w:val="20"/>
          <w:color w:val="auto"/>
        </w:rPr>
      </w:pPr>
    </w:p>
    <w:p>
      <w:pPr>
        <w:ind w:left="6000"/>
        <w:spacing w:after="0"/>
        <w:rPr>
          <w:sz w:val="20"/>
          <w:szCs w:val="20"/>
          <w:color w:val="auto"/>
        </w:rPr>
      </w:pPr>
      <w:r>
        <w:rPr>
          <w:rFonts w:ascii="Arial" w:cs="Arial" w:eastAsia="Arial" w:hAnsi="Arial"/>
          <w:sz w:val="20"/>
          <w:szCs w:val="20"/>
          <w:b w:val="1"/>
          <w:bCs w:val="1"/>
          <w:color w:val="auto"/>
        </w:rPr>
        <w:t>ACUITY BRANDS, INC.</w:t>
      </w:r>
    </w:p>
    <w:p>
      <w:pPr>
        <w:spacing w:after="0" w:line="54" w:lineRule="exact"/>
        <w:rPr>
          <w:sz w:val="20"/>
          <w:szCs w:val="20"/>
          <w:color w:val="auto"/>
        </w:rPr>
      </w:pPr>
    </w:p>
    <w:p>
      <w:pPr>
        <w:ind w:left="6000"/>
        <w:spacing w:after="0"/>
        <w:tabs>
          <w:tab w:leader="none" w:pos="6600" w:val="left"/>
        </w:tabs>
        <w:rPr>
          <w:sz w:val="20"/>
          <w:szCs w:val="20"/>
          <w:color w:val="auto"/>
        </w:rPr>
      </w:pPr>
      <w:r>
        <w:rPr>
          <w:rFonts w:ascii="Arial" w:cs="Arial" w:eastAsia="Arial" w:hAnsi="Arial"/>
          <w:sz w:val="20"/>
          <w:szCs w:val="20"/>
          <w:b w:val="1"/>
          <w:bCs w:val="1"/>
          <w:color w:val="auto"/>
        </w:rPr>
        <w:t>By:</w:t>
      </w:r>
      <w:r>
        <w:rPr>
          <w:sz w:val="20"/>
          <w:szCs w:val="20"/>
          <w:color w:val="auto"/>
        </w:rPr>
        <w:tab/>
      </w: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4180840</wp:posOffset>
            </wp:positionH>
            <wp:positionV relativeFrom="paragraph">
              <wp:posOffset>31115</wp:posOffset>
            </wp:positionV>
            <wp:extent cx="25374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6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53" w:lineRule="exact"/>
        <w:rPr>
          <w:sz w:val="20"/>
          <w:szCs w:val="20"/>
          <w:color w:val="auto"/>
        </w:rPr>
      </w:pPr>
    </w:p>
    <w:p>
      <w:pPr>
        <w:ind w:left="6620"/>
        <w:spacing w:after="0"/>
        <w:rPr>
          <w:sz w:val="20"/>
          <w:szCs w:val="20"/>
          <w:color w:val="auto"/>
        </w:rPr>
      </w:pPr>
      <w:r>
        <w:rPr>
          <w:rFonts w:ascii="Arial" w:cs="Arial" w:eastAsia="Arial" w:hAnsi="Arial"/>
          <w:sz w:val="20"/>
          <w:szCs w:val="20"/>
          <w:color w:val="auto"/>
        </w:rPr>
        <w:t>Neil M. Ashe</w:t>
      </w:r>
    </w:p>
    <w:p>
      <w:pPr>
        <w:spacing w:after="0" w:line="54" w:lineRule="exact"/>
        <w:rPr>
          <w:sz w:val="20"/>
          <w:szCs w:val="20"/>
          <w:color w:val="auto"/>
        </w:rPr>
      </w:pPr>
    </w:p>
    <w:p>
      <w:pPr>
        <w:ind w:left="6620"/>
        <w:spacing w:after="0"/>
        <w:rPr>
          <w:sz w:val="20"/>
          <w:szCs w:val="20"/>
          <w:color w:val="auto"/>
        </w:rPr>
      </w:pPr>
      <w:r>
        <w:rPr>
          <w:rFonts w:ascii="Arial" w:cs="Arial" w:eastAsia="Arial" w:hAnsi="Arial"/>
          <w:sz w:val="20"/>
          <w:szCs w:val="20"/>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00"/>
        <w:spacing w:after="0"/>
        <w:rPr>
          <w:sz w:val="20"/>
          <w:szCs w:val="20"/>
          <w:color w:val="auto"/>
        </w:rPr>
      </w:pPr>
      <w:r>
        <w:rPr>
          <w:rFonts w:ascii="Arial" w:cs="Arial" w:eastAsia="Arial" w:hAnsi="Arial"/>
          <w:sz w:val="20"/>
          <w:szCs w:val="20"/>
          <w:b w:val="1"/>
          <w:bCs w:val="1"/>
          <w:color w:val="auto"/>
        </w:rPr>
        <w:t>EXECUTIVE</w:t>
      </w:r>
    </w:p>
    <w:p>
      <w:pPr>
        <w:spacing w:after="0" w:line="6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Dianne S.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31750</wp:posOffset>
            </wp:positionV>
            <wp:extent cx="29229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6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4" w:lineRule="exact"/>
        <w:rPr>
          <w:sz w:val="20"/>
          <w:szCs w:val="20"/>
          <w:color w:val="auto"/>
        </w:rPr>
      </w:pPr>
    </w:p>
    <w:p>
      <w:pPr>
        <w:ind w:left="6000"/>
        <w:spacing w:after="0"/>
        <w:rPr>
          <w:sz w:val="20"/>
          <w:szCs w:val="20"/>
          <w:color w:val="auto"/>
        </w:rPr>
      </w:pPr>
      <w:r>
        <w:rPr>
          <w:rFonts w:ascii="Arial" w:cs="Arial" w:eastAsia="Arial" w:hAnsi="Arial"/>
          <w:sz w:val="20"/>
          <w:szCs w:val="20"/>
          <w:color w:val="auto"/>
        </w:rPr>
        <w:t>Dianne S. Mills</w:t>
      </w: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0"/>
          </w:cols>
          <w:pgMar w:left="980" w:top="118"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10(iii)A(88)</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Release of Claims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CONFIDENTIAL SEVERANCE AGREEMENT AND RELEASE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 (“Employee”) and _________________ (“Employer” or the “Company”) (collectively referred to as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Parties”) are entering into this </w:t>
      </w:r>
      <w:r>
        <w:rPr>
          <w:rFonts w:ascii="Arial" w:cs="Arial" w:eastAsia="Arial" w:hAnsi="Arial"/>
          <w:sz w:val="20"/>
          <w:szCs w:val="20"/>
          <w:b w:val="1"/>
          <w:bCs w:val="1"/>
          <w:color w:val="auto"/>
        </w:rPr>
        <w:t>CONFIDENTIAL SEVERANCE AGREEMENT AND RELEASE</w:t>
      </w:r>
      <w:r>
        <w:rPr>
          <w:rFonts w:ascii="Arial" w:cs="Arial" w:eastAsia="Arial" w:hAnsi="Arial"/>
          <w:sz w:val="20"/>
          <w:szCs w:val="20"/>
          <w:color w:val="auto"/>
        </w:rPr>
        <w:t xml:space="preserve"> (the “Agreement”).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378" w:lineRule="exact"/>
        <w:rPr>
          <w:sz w:val="20"/>
          <w:szCs w:val="20"/>
          <w:color w:val="auto"/>
        </w:rPr>
      </w:pPr>
    </w:p>
    <w:p>
      <w:pPr>
        <w:ind w:left="1220" w:hanging="564"/>
        <w:spacing w:after="0"/>
        <w:tabs>
          <w:tab w:leader="none" w:pos="122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Employee has previously been employed with the Company and Employee’s employment with the Company is being</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terminated.</w:t>
      </w:r>
    </w:p>
    <w:p>
      <w:pPr>
        <w:spacing w:after="0" w:line="361" w:lineRule="exact"/>
        <w:rPr>
          <w:rFonts w:ascii="Arial" w:cs="Arial" w:eastAsia="Arial" w:hAnsi="Arial"/>
          <w:sz w:val="19"/>
          <w:szCs w:val="19"/>
          <w:color w:val="auto"/>
        </w:rPr>
      </w:pPr>
    </w:p>
    <w:p>
      <w:pPr>
        <w:jc w:val="both"/>
        <w:ind w:firstLine="656"/>
        <w:spacing w:after="0" w:line="250" w:lineRule="auto"/>
        <w:tabs>
          <w:tab w:leader="none" w:pos="105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The Company has agreed to provide severance compensation to Employee in an amount not normally provided to employees, assuming Employee upholds certain ongoing obligations, and the Parties to this Agreement desire to resolve all issues between them including but not limited to Employee’s employment and the termination of that employment.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AGREEMENT</w:t>
      </w:r>
    </w:p>
    <w:p>
      <w:pPr>
        <w:spacing w:after="0" w:line="378" w:lineRule="exact"/>
        <w:rPr>
          <w:sz w:val="20"/>
          <w:szCs w:val="20"/>
          <w:color w:val="auto"/>
        </w:rPr>
      </w:pPr>
    </w:p>
    <w:p>
      <w:pPr>
        <w:jc w:val="both"/>
        <w:ind w:firstLine="648"/>
        <w:spacing w:after="0" w:line="385" w:lineRule="auto"/>
        <w:rPr>
          <w:sz w:val="20"/>
          <w:szCs w:val="20"/>
          <w:color w:val="auto"/>
        </w:rPr>
      </w:pPr>
      <w:r>
        <w:rPr>
          <w:rFonts w:ascii="Arial" w:cs="Arial" w:eastAsia="Arial" w:hAnsi="Arial"/>
          <w:sz w:val="16"/>
          <w:szCs w:val="16"/>
          <w:color w:val="auto"/>
        </w:rPr>
        <w:t>NOW THEREFORE, in consideration of the mutual promises, obligations and agreements contained herein, and for other good and valuable consideration, the receipt and sufficiency of which are hereby acknowledged by the Parties, the Parties agree to be bound as follows:</w:t>
      </w: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color w:val="auto"/>
        </w:rPr>
        <w:t>Section 1 - Benefits</w:t>
      </w:r>
    </w:p>
    <w:p>
      <w:pPr>
        <w:spacing w:after="0" w:line="129" w:lineRule="exact"/>
        <w:rPr>
          <w:sz w:val="20"/>
          <w:szCs w:val="20"/>
          <w:color w:val="auto"/>
        </w:rPr>
      </w:pPr>
    </w:p>
    <w:p>
      <w:pPr>
        <w:ind w:left="2160" w:hanging="856"/>
        <w:spacing w:after="0"/>
        <w:tabs>
          <w:tab w:leader="none" w:pos="2160" w:val="left"/>
        </w:tabs>
        <w:numPr>
          <w:ilvl w:val="0"/>
          <w:numId w:val="126"/>
        </w:numPr>
        <w:rPr>
          <w:rFonts w:ascii="Arial" w:cs="Arial" w:eastAsia="Arial" w:hAnsi="Arial"/>
          <w:sz w:val="18"/>
          <w:szCs w:val="18"/>
          <w:color w:val="auto"/>
        </w:rPr>
      </w:pPr>
      <w:r>
        <w:rPr>
          <w:rFonts w:ascii="Arial" w:cs="Arial" w:eastAsia="Arial" w:hAnsi="Arial"/>
          <w:sz w:val="20"/>
          <w:szCs w:val="20"/>
          <w:b w:val="1"/>
          <w:bCs w:val="1"/>
          <w:color w:val="auto"/>
        </w:rPr>
        <w:t>Payment and Consideration to Employee</w:t>
      </w:r>
      <w:r>
        <w:rPr>
          <w:rFonts w:ascii="Arial" w:cs="Arial" w:eastAsia="Arial" w:hAnsi="Arial"/>
          <w:sz w:val="20"/>
          <w:szCs w:val="20"/>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4" w:lineRule="exact"/>
        <w:rPr>
          <w:rFonts w:ascii="Arial" w:cs="Arial" w:eastAsia="Arial" w:hAnsi="Arial"/>
          <w:sz w:val="18"/>
          <w:szCs w:val="18"/>
          <w:color w:val="auto"/>
        </w:rPr>
      </w:pPr>
    </w:p>
    <w:p>
      <w:pPr>
        <w:ind w:left="3340" w:hanging="740"/>
        <w:spacing w:after="0"/>
        <w:tabs>
          <w:tab w:leader="none" w:pos="3340" w:val="left"/>
        </w:tabs>
        <w:numPr>
          <w:ilvl w:val="1"/>
          <w:numId w:val="126"/>
        </w:numPr>
        <w:rPr>
          <w:rFonts w:ascii="Arial" w:cs="Arial" w:eastAsia="Arial" w:hAnsi="Arial"/>
          <w:sz w:val="18"/>
          <w:szCs w:val="18"/>
          <w:color w:val="auto"/>
        </w:rPr>
      </w:pPr>
      <w:r>
        <w:rPr>
          <w:rFonts w:ascii="Arial" w:cs="Arial" w:eastAsia="Arial" w:hAnsi="Arial"/>
          <w:sz w:val="20"/>
          <w:szCs w:val="20"/>
          <w:b w:val="1"/>
          <w:bCs w:val="1"/>
          <w:color w:val="auto"/>
        </w:rPr>
        <w:t>Benefits to Employee</w:t>
      </w:r>
      <w:r>
        <w:rPr>
          <w:rFonts w:ascii="Arial" w:cs="Arial" w:eastAsia="Arial" w:hAnsi="Arial"/>
          <w:sz w:val="20"/>
          <w:szCs w:val="20"/>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4" w:lineRule="exact"/>
        <w:rPr>
          <w:rFonts w:ascii="Arial" w:cs="Arial" w:eastAsia="Arial" w:hAnsi="Arial"/>
          <w:sz w:val="18"/>
          <w:szCs w:val="18"/>
          <w:color w:val="auto"/>
        </w:rPr>
      </w:pPr>
    </w:p>
    <w:p>
      <w:pPr>
        <w:jc w:val="both"/>
        <w:ind w:left="660" w:firstLine="1940"/>
        <w:spacing w:after="0" w:line="234" w:lineRule="auto"/>
        <w:tabs>
          <w:tab w:leader="none" w:pos="3397" w:val="left"/>
        </w:tabs>
        <w:numPr>
          <w:ilvl w:val="1"/>
          <w:numId w:val="126"/>
        </w:numPr>
        <w:rPr>
          <w:rFonts w:ascii="Arial" w:cs="Arial" w:eastAsia="Arial" w:hAnsi="Arial"/>
          <w:sz w:val="18"/>
          <w:szCs w:val="18"/>
          <w:color w:val="auto"/>
        </w:rPr>
      </w:pPr>
      <w:r>
        <w:rPr>
          <w:rFonts w:ascii="Arial" w:cs="Arial" w:eastAsia="Arial" w:hAnsi="Arial"/>
          <w:sz w:val="20"/>
          <w:szCs w:val="20"/>
          <w:b w:val="1"/>
          <w:bCs w:val="1"/>
          <w:color w:val="auto"/>
        </w:rPr>
        <w:t xml:space="preserve">Section 409A: </w:t>
      </w:r>
      <w:r>
        <w:rPr>
          <w:rFonts w:ascii="Arial" w:cs="Arial" w:eastAsia="Arial" w:hAnsi="Arial"/>
          <w:sz w:val="20"/>
          <w:szCs w:val="20"/>
          <w:color w:val="auto"/>
        </w:rPr>
        <w:t>The Company will have the authority to delay the commencement of payments</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this Section 1 to “key employees” of the Company (as determined by the Company in accordance with procedures established by the Company that are consistent with Section 409A) to a date which is six months after the Separation Date (and on such date, the payments that would otherwise have been made during such six-month period shall be made) to the extent such delay is required under the provisions of Section 409A, provided that the Company and Employee may agree to take into account any transitional rule available under Section 409A.</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Section 2 - Release by Employee</w:t>
      </w:r>
    </w:p>
    <w:p>
      <w:pPr>
        <w:spacing w:after="0" w:line="372" w:lineRule="exact"/>
        <w:rPr>
          <w:sz w:val="20"/>
          <w:szCs w:val="20"/>
          <w:color w:val="auto"/>
        </w:rPr>
      </w:pPr>
    </w:p>
    <w:p>
      <w:pPr>
        <w:ind w:left="660" w:firstLine="644"/>
        <w:spacing w:after="0" w:line="252" w:lineRule="auto"/>
        <w:tabs>
          <w:tab w:leader="none" w:pos="2187"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Released Claims</w:t>
      </w:r>
      <w:r>
        <w:rPr>
          <w:rFonts w:ascii="Arial" w:cs="Arial" w:eastAsia="Arial" w:hAnsi="Arial"/>
          <w:sz w:val="20"/>
          <w:szCs w:val="20"/>
          <w:color w:val="auto"/>
        </w:rPr>
        <w:t>:</w:t>
      </w:r>
      <w:r>
        <w:rPr>
          <w:rFonts w:ascii="Arial" w:cs="Arial" w:eastAsia="Arial" w:hAnsi="Arial"/>
          <w:sz w:val="20"/>
          <w:szCs w:val="20"/>
          <w:b w:val="1"/>
          <w:bCs w:val="1"/>
          <w:color w:val="auto"/>
        </w:rPr>
        <w:t xml:space="preserve"> Released Claims</w:t>
      </w:r>
      <w:r>
        <w:rPr>
          <w:rFonts w:ascii="Arial" w:cs="Arial" w:eastAsia="Arial" w:hAnsi="Arial"/>
          <w:sz w:val="20"/>
          <w:szCs w:val="20"/>
          <w:color w:val="auto"/>
        </w:rPr>
        <w:t>: Employee irrevocably and unconditionally fully and finally releases, acquits</w:t>
      </w:r>
      <w:r>
        <w:rPr>
          <w:rFonts w:ascii="Arial" w:cs="Arial" w:eastAsia="Arial" w:hAnsi="Arial"/>
          <w:sz w:val="20"/>
          <w:szCs w:val="20"/>
          <w:b w:val="1"/>
          <w:bCs w:val="1"/>
          <w:color w:val="auto"/>
        </w:rPr>
        <w:t xml:space="preserve"> </w:t>
      </w:r>
      <w:r>
        <w:rPr>
          <w:rFonts w:ascii="Arial" w:cs="Arial" w:eastAsia="Arial" w:hAnsi="Arial"/>
          <w:sz w:val="20"/>
          <w:szCs w:val="20"/>
          <w:color w:val="auto"/>
        </w:rPr>
        <w:t>and forever discharges all the claims described herein that he/she may now have against</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18" w:right="339" w:bottom="1440" w:gutter="0" w:footer="0" w:header="0"/>
        </w:sectPr>
      </w:pPr>
    </w:p>
    <w:bookmarkStart w:id="162" w:name="page163"/>
    <w:bookmarkEnd w:id="162"/>
    <w:p>
      <w:pPr>
        <w:ind w:left="9020"/>
        <w:spacing w:after="0"/>
        <w:rPr>
          <w:sz w:val="20"/>
          <w:szCs w:val="20"/>
          <w:color w:val="auto"/>
        </w:rPr>
      </w:pPr>
      <w:r>
        <w:rPr>
          <w:rFonts w:ascii="Arial" w:cs="Arial" w:eastAsia="Arial" w:hAnsi="Arial"/>
          <w:sz w:val="17"/>
          <w:szCs w:val="17"/>
          <w:b w:val="1"/>
          <w:bCs w:val="1"/>
          <w:color w:val="auto"/>
        </w:rPr>
        <w:t>Exhibit 10(iii)A(88)</w:t>
      </w:r>
    </w:p>
    <w:p>
      <w:pPr>
        <w:spacing w:after="0" w:line="3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Released Parties listed in Section (b), below, except that he/she is not releasing any claim that relates to: (1) his/her right to enforce this Agreement; (2) any rights or claims that arise after the execution of this Agreement; or (3) any rights or claims that he/she cannot lawfully release. Subject only to the exceptions just noted, Employee is releasing any and all claims, demands, actions, causes of action, liabilities, debts, losses, costs, expenses, or proceedings of every kind and nature, whether direct, contingent, or otherwise, known or unknown, past, present, or future, suspected or unsuspected, accrued or unaccrued, whether in law, equity, or otherwise, and whether in contract, warranty, tort, strict liability, or otherwise, which he/she now has, may have had at any time in the past, or may have at any time in the future arising or resulting from, or in any matter incidental to, any and every matter, thing, or event occurring or failing to occur at any time in the past up to and including the date of this agreement. Employee understands that the claims he/she is releasing might arise under many different laws (including statutes, regulations, other administrative guidance, and common law doctrines), such as, but not limited to, the following:</w:t>
      </w:r>
    </w:p>
    <w:p>
      <w:pPr>
        <w:spacing w:after="0" w:line="249" w:lineRule="exact"/>
        <w:rPr>
          <w:sz w:val="20"/>
          <w:szCs w:val="20"/>
          <w:color w:val="auto"/>
        </w:rPr>
      </w:pPr>
    </w:p>
    <w:p>
      <w:pPr>
        <w:jc w:val="both"/>
        <w:ind w:left="640"/>
        <w:spacing w:after="0" w:line="270" w:lineRule="auto"/>
        <w:rPr>
          <w:sz w:val="20"/>
          <w:szCs w:val="20"/>
          <w:color w:val="auto"/>
        </w:rPr>
      </w:pPr>
      <w:r>
        <w:rPr>
          <w:rFonts w:ascii="Arial" w:cs="Arial" w:eastAsia="Arial" w:hAnsi="Arial"/>
          <w:sz w:val="18"/>
          <w:szCs w:val="18"/>
          <w:u w:val="single" w:color="auto"/>
          <w:color w:val="auto"/>
        </w:rPr>
        <w:t>Anti-discrimination and retaliation statutes</w:t>
      </w:r>
      <w:r>
        <w:rPr>
          <w:rFonts w:ascii="Arial" w:cs="Arial" w:eastAsia="Arial" w:hAnsi="Arial"/>
          <w:sz w:val="18"/>
          <w:szCs w:val="18"/>
          <w:color w:val="auto"/>
        </w:rPr>
        <w:t xml:space="preserve">, such as Title VII of the Civil Rights Act of 1964, which prohibits discrimination and harassment based on race, color, national origin, religion, and sex and prohibits retaliation; </w:t>
      </w:r>
      <w:r>
        <w:rPr>
          <w:rFonts w:ascii="Arial" w:cs="Arial" w:eastAsia="Arial" w:hAnsi="Arial"/>
          <w:sz w:val="18"/>
          <w:szCs w:val="18"/>
          <w:b w:val="1"/>
          <w:bCs w:val="1"/>
          <w:color w:val="auto"/>
        </w:rPr>
        <w:t xml:space="preserve">[If Executive is 40+-years-old: </w:t>
      </w:r>
      <w:r>
        <w:rPr>
          <w:rFonts w:ascii="Arial" w:cs="Arial" w:eastAsia="Arial" w:hAnsi="Arial"/>
          <w:sz w:val="18"/>
          <w:szCs w:val="18"/>
          <w:color w:val="auto"/>
        </w:rPr>
        <w:t>the Age Discrimination in Employment Act (“ADEA”), which prohibits age discrimination in employment</w:t>
      </w:r>
      <w:r>
        <w:rPr>
          <w:rFonts w:ascii="Arial" w:cs="Arial" w:eastAsia="Arial" w:hAnsi="Arial"/>
          <w:sz w:val="18"/>
          <w:szCs w:val="18"/>
          <w:b w:val="1"/>
          <w:bCs w:val="1"/>
          <w:color w:val="auto"/>
        </w:rPr>
        <w:t>]</w:t>
      </w:r>
      <w:r>
        <w:rPr>
          <w:rFonts w:ascii="Arial" w:cs="Arial" w:eastAsia="Arial" w:hAnsi="Arial"/>
          <w:sz w:val="18"/>
          <w:szCs w:val="18"/>
          <w:color w:val="auto"/>
        </w:rPr>
        <w:t>; the Equal</w:t>
      </w:r>
      <w:r>
        <w:rPr>
          <w:rFonts w:ascii="Arial" w:cs="Arial" w:eastAsia="Arial" w:hAnsi="Arial"/>
          <w:sz w:val="18"/>
          <w:szCs w:val="18"/>
          <w:b w:val="1"/>
          <w:bCs w:val="1"/>
          <w:color w:val="auto"/>
        </w:rPr>
        <w:t xml:space="preserve"> </w:t>
      </w:r>
      <w:r>
        <w:rPr>
          <w:rFonts w:ascii="Arial" w:cs="Arial" w:eastAsia="Arial" w:hAnsi="Arial"/>
          <w:sz w:val="18"/>
          <w:szCs w:val="18"/>
          <w:color w:val="auto"/>
        </w:rPr>
        <w:t>Pay Act, which prohibits paying men and women unequal pay for equal work; the Americans With Disabilities Act and Sections 503 and 504 of the Rehabilitation Act of 1973, which prohibit discrimination based on disability; Sections 1981 and 1983 of the Civil Rights Act of 1866, which prohibit discrimination and harassment on the basis of race, color, national origin, religion or sex; the Genetic Information Nondiscrimination Act of 2008, which prohibits discrimination on the basis of genetic information; the Family and Medical Leave Act of 1993, which extends certain rights to leave and reinstatement; the Sarbanes-Oxley Act of 2002, which prohibits retaliation against employees who participate in any investigation or proceeding related to an alleged violation of mail, wire, bank, or securities laws; Georgia anti-discrimination statutes, which prohibit retaliation and discrimination on the basis of age, disability, gender, race, color, religion, and national origin; and any other federal, state, or local laws prohibiting employment discrimination or retaliation.</w:t>
      </w:r>
    </w:p>
    <w:p>
      <w:pPr>
        <w:spacing w:after="0" w:line="257" w:lineRule="exact"/>
        <w:rPr>
          <w:sz w:val="20"/>
          <w:szCs w:val="20"/>
          <w:color w:val="auto"/>
        </w:rPr>
      </w:pPr>
    </w:p>
    <w:p>
      <w:pPr>
        <w:jc w:val="both"/>
        <w:ind w:left="640"/>
        <w:spacing w:after="0" w:line="282" w:lineRule="auto"/>
        <w:rPr>
          <w:sz w:val="20"/>
          <w:szCs w:val="20"/>
          <w:color w:val="auto"/>
        </w:rPr>
      </w:pPr>
      <w:r>
        <w:rPr>
          <w:rFonts w:ascii="Arial" w:cs="Arial" w:eastAsia="Arial" w:hAnsi="Arial"/>
          <w:sz w:val="18"/>
          <w:szCs w:val="18"/>
          <w:u w:val="single" w:color="auto"/>
          <w:color w:val="auto"/>
        </w:rPr>
        <w:t>Federal employment statutes</w:t>
      </w:r>
      <w:r>
        <w:rPr>
          <w:rFonts w:ascii="Arial" w:cs="Arial" w:eastAsia="Arial" w:hAnsi="Arial"/>
          <w:sz w:val="18"/>
          <w:szCs w:val="18"/>
          <w:color w:val="auto"/>
        </w:rPr>
        <w:t>, such as the WARN Act, which requires that advance notice be given of certain work force reductions; the Employee Retirement Income Security Act of 1974, which, among other things, protects employee benefits; the Family and Medical Leave Act of 1993, which requires employers to provide leaves of absence under certain circumstances; and any other federal laws relating to employment, such as veterans’ reemployment rights laws.</w:t>
      </w:r>
    </w:p>
    <w:p>
      <w:pPr>
        <w:spacing w:after="0" w:line="242" w:lineRule="exact"/>
        <w:rPr>
          <w:sz w:val="20"/>
          <w:szCs w:val="20"/>
          <w:color w:val="auto"/>
        </w:rPr>
      </w:pPr>
    </w:p>
    <w:p>
      <w:pPr>
        <w:jc w:val="both"/>
        <w:ind w:left="640"/>
        <w:spacing w:after="0" w:line="273" w:lineRule="auto"/>
        <w:rPr>
          <w:sz w:val="20"/>
          <w:szCs w:val="20"/>
          <w:color w:val="auto"/>
        </w:rPr>
      </w:pPr>
      <w:r>
        <w:rPr>
          <w:rFonts w:ascii="Arial" w:cs="Arial" w:eastAsia="Arial" w:hAnsi="Arial"/>
          <w:sz w:val="18"/>
          <w:szCs w:val="18"/>
          <w:u w:val="single" w:color="auto"/>
          <w:color w:val="auto"/>
        </w:rPr>
        <w:t>Other laws</w:t>
      </w:r>
      <w:r>
        <w:rPr>
          <w:rFonts w:ascii="Arial" w:cs="Arial" w:eastAsia="Arial" w:hAnsi="Arial"/>
          <w:sz w:val="18"/>
          <w:szCs w:val="18"/>
          <w:color w:val="auto"/>
        </w:rPr>
        <w:t>, such as any federal, state, or local laws providing workers’ compensation benefits (except as otherwise prohibited by law), restricting an employer’s right to terminate employees, or otherwise regulating employment; any federal, state, or local law enforcing express or implied employment contracts or requiring an employer to deal with employees fairly or in good faith; any state and federal whistleblower laws, any other federal, state, or local laws providing recourse for alleged wrongful discharge, improper garnishment, assignment, or deduction from wages, health and/or safety violations, improper drug and/or alcohol testing, tort, physical or personal injury, emotional distress, fraud, negligence, negligent misrepresentation, abusive litigation, and similar or related claims, willful or negligent infliction of emotional harm, libel, slander, defamation and/or any other common law or statutory causes of action.</w:t>
      </w:r>
    </w:p>
    <w:p>
      <w:pPr>
        <w:spacing w:after="0" w:line="249" w:lineRule="exact"/>
        <w:rPr>
          <w:sz w:val="20"/>
          <w:szCs w:val="20"/>
          <w:color w:val="auto"/>
        </w:rPr>
      </w:pPr>
    </w:p>
    <w:p>
      <w:pPr>
        <w:jc w:val="both"/>
        <w:ind w:left="640"/>
        <w:spacing w:after="0" w:line="263" w:lineRule="auto"/>
        <w:rPr>
          <w:sz w:val="20"/>
          <w:szCs w:val="20"/>
          <w:color w:val="auto"/>
        </w:rPr>
      </w:pPr>
      <w:r>
        <w:rPr>
          <w:rFonts w:ascii="Arial" w:cs="Arial" w:eastAsia="Arial" w:hAnsi="Arial"/>
          <w:sz w:val="19"/>
          <w:szCs w:val="19"/>
          <w:u w:val="single" w:color="auto"/>
          <w:color w:val="auto"/>
        </w:rPr>
        <w:t>Examples of released claims, include, but are not limited to</w:t>
      </w:r>
      <w:r>
        <w:rPr>
          <w:rFonts w:ascii="Arial" w:cs="Arial" w:eastAsia="Arial" w:hAnsi="Arial"/>
          <w:sz w:val="19"/>
          <w:szCs w:val="19"/>
          <w:color w:val="auto"/>
        </w:rPr>
        <w:t xml:space="preserve"> the following (except to the extent explicitly preserved by Section 2 (a), above, of this Agreement): (i) claims that in any way relate to allegations of alleged discrimination, retaliation or harassment; (ii) claims that in any way relate to Employee’s employment with the Company and/or its conclusion, such as claims for breach of contract, compensation, overtime wages, benefits, promotions, upgrades,</w:t>
      </w:r>
    </w:p>
    <w:p>
      <w:pPr>
        <w:spacing w:after="0" w:line="395" w:lineRule="exact"/>
        <w:rPr>
          <w:sz w:val="20"/>
          <w:szCs w:val="20"/>
          <w:color w:val="auto"/>
        </w:rPr>
      </w:pPr>
    </w:p>
    <w:p>
      <w:pPr>
        <w:ind w:left="1040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580"/>
          </w:cols>
          <w:pgMar w:left="980" w:top="118"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10(iii)A(88)</w:t>
      </w:r>
    </w:p>
    <w:p>
      <w:pPr>
        <w:spacing w:after="0" w:line="311" w:lineRule="exact"/>
        <w:rPr>
          <w:sz w:val="20"/>
          <w:szCs w:val="20"/>
          <w:color w:val="auto"/>
        </w:rPr>
      </w:pPr>
    </w:p>
    <w:p>
      <w:pPr>
        <w:jc w:val="both"/>
        <w:ind w:left="1300"/>
        <w:spacing w:after="0" w:line="250" w:lineRule="auto"/>
        <w:rPr>
          <w:sz w:val="20"/>
          <w:szCs w:val="20"/>
          <w:color w:val="auto"/>
        </w:rPr>
      </w:pPr>
      <w:r>
        <w:rPr>
          <w:rFonts w:ascii="Arial" w:cs="Arial" w:eastAsia="Arial" w:hAnsi="Arial"/>
          <w:sz w:val="20"/>
          <w:szCs w:val="20"/>
          <w:color w:val="auto"/>
        </w:rPr>
        <w:t>bonuses, commissions, lost wages, or unused accrued vacation or sick pay; (iii) claims that in any way relate to any state law contract or tort causes of action; and (iv) any claims to attorneys’ fees, costs and/or expenses or other indemnities with respect to claims Employee is releasing.</w:t>
      </w:r>
    </w:p>
    <w:p>
      <w:pPr>
        <w:spacing w:after="0" w:line="261" w:lineRule="exact"/>
        <w:rPr>
          <w:sz w:val="20"/>
          <w:szCs w:val="20"/>
          <w:color w:val="auto"/>
        </w:rPr>
      </w:pPr>
    </w:p>
    <w:p>
      <w:pPr>
        <w:jc w:val="both"/>
        <w:ind w:left="660" w:firstLine="644"/>
        <w:spacing w:after="0" w:line="268" w:lineRule="auto"/>
        <w:tabs>
          <w:tab w:leader="none" w:pos="2166" w:val="left"/>
        </w:tabs>
        <w:numPr>
          <w:ilvl w:val="0"/>
          <w:numId w:val="128"/>
        </w:numPr>
        <w:rPr>
          <w:rFonts w:ascii="Arial" w:cs="Arial" w:eastAsia="Arial" w:hAnsi="Arial"/>
          <w:sz w:val="16"/>
          <w:szCs w:val="16"/>
          <w:color w:val="auto"/>
        </w:rPr>
      </w:pPr>
      <w:r>
        <w:rPr>
          <w:rFonts w:ascii="Arial" w:cs="Arial" w:eastAsia="Arial" w:hAnsi="Arial"/>
          <w:sz w:val="18"/>
          <w:szCs w:val="18"/>
          <w:b w:val="1"/>
          <w:bCs w:val="1"/>
          <w:color w:val="auto"/>
        </w:rPr>
        <w:t>Released Parties</w:t>
      </w:r>
      <w:r>
        <w:rPr>
          <w:rFonts w:ascii="Arial" w:cs="Arial" w:eastAsia="Arial" w:hAnsi="Arial"/>
          <w:sz w:val="18"/>
          <w:szCs w:val="18"/>
          <w:color w:val="auto"/>
        </w:rPr>
        <w:t>: The Released party/parties is/are Acuity Brands, Inc., all current, future and former parents,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affiliates, related companies, partnerships, or joint ventures related thereto, and, with respect to each of them, their predecessors and successors; and, with respect to each such entity, all of its past, present, and future employees, officers, directors, stockholders, owners, representatives, assigns, attorneys, agents, and any other persons acting by, through, under or in concert with any of the persons or entities listed in this subsection, and their successors (hereinafter the “Released Parties”).</w:t>
      </w:r>
    </w:p>
    <w:p>
      <w:pPr>
        <w:spacing w:after="0" w:line="18" w:lineRule="exact"/>
        <w:rPr>
          <w:rFonts w:ascii="Arial" w:cs="Arial" w:eastAsia="Arial" w:hAnsi="Arial"/>
          <w:sz w:val="16"/>
          <w:szCs w:val="16"/>
          <w:color w:val="auto"/>
        </w:rPr>
      </w:pPr>
    </w:p>
    <w:p>
      <w:pPr>
        <w:jc w:val="both"/>
        <w:ind w:left="660" w:firstLine="644"/>
        <w:spacing w:after="0" w:line="242" w:lineRule="auto"/>
        <w:tabs>
          <w:tab w:leader="none" w:pos="2156" w:val="left"/>
        </w:tabs>
        <w:numPr>
          <w:ilvl w:val="0"/>
          <w:numId w:val="128"/>
        </w:numPr>
        <w:rPr>
          <w:rFonts w:ascii="Arial" w:cs="Arial" w:eastAsia="Arial" w:hAnsi="Arial"/>
          <w:sz w:val="17"/>
          <w:szCs w:val="17"/>
          <w:color w:val="auto"/>
        </w:rPr>
      </w:pPr>
      <w:r>
        <w:rPr>
          <w:rFonts w:ascii="Arial" w:cs="Arial" w:eastAsia="Arial" w:hAnsi="Arial"/>
          <w:sz w:val="19"/>
          <w:szCs w:val="19"/>
          <w:b w:val="1"/>
          <w:bCs w:val="1"/>
          <w:color w:val="auto"/>
        </w:rPr>
        <w:t>Unknown Claims</w:t>
      </w:r>
      <w:r>
        <w:rPr>
          <w:rFonts w:ascii="Arial" w:cs="Arial" w:eastAsia="Arial" w:hAnsi="Arial"/>
          <w:sz w:val="19"/>
          <w:szCs w:val="19"/>
          <w:color w:val="auto"/>
        </w:rPr>
        <w:t>: Employee understands that he/she is releasing the Released Parties from claims that he/she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may not know about as of the date of the execution of this Agreement, and that is his/her knowing and voluntary intent </w:t>
      </w:r>
      <w:r>
        <w:rPr>
          <w:rFonts w:ascii="Arial" w:cs="Arial" w:eastAsia="Arial" w:hAnsi="Arial"/>
          <w:sz w:val="19"/>
          <w:szCs w:val="19"/>
          <w:u w:val="single" w:color="auto"/>
          <w:color w:val="auto"/>
        </w:rPr>
        <w:t>even though</w:t>
      </w:r>
      <w:r>
        <w:rPr>
          <w:rFonts w:ascii="Arial" w:cs="Arial" w:eastAsia="Arial" w:hAnsi="Arial"/>
          <w:sz w:val="19"/>
          <w:szCs w:val="19"/>
          <w:color w:val="auto"/>
        </w:rPr>
        <w:t xml:space="preserve"> Employee recognizes that someday he/she might learn that some or all of the facts he/she currently believes to be true are untrue and </w:t>
      </w:r>
      <w:r>
        <w:rPr>
          <w:rFonts w:ascii="Arial" w:cs="Arial" w:eastAsia="Arial" w:hAnsi="Arial"/>
          <w:sz w:val="19"/>
          <w:szCs w:val="19"/>
          <w:u w:val="single" w:color="auto"/>
          <w:color w:val="auto"/>
        </w:rPr>
        <w:t>even though</w:t>
      </w:r>
      <w:r>
        <w:rPr>
          <w:rFonts w:ascii="Arial" w:cs="Arial" w:eastAsia="Arial" w:hAnsi="Arial"/>
          <w:sz w:val="19"/>
          <w:szCs w:val="19"/>
          <w:color w:val="auto"/>
        </w:rPr>
        <w:t xml:space="preserve"> he/she might then regret having signed this Agreement. Nevertheless, Employee is expressly assuming that risk and agrees that this Agreement shall remain effective in all respects in any such case. Employee expressly waives all rights he/she might have under any law that is intended to protect him/her from waiving unknown claims Employee understands the significance of doing so. If Employee resides in California, Employee hereby expressly waives the provisions of California Civil Code Section 1542, which provides as follows: “A general release does not extend to claims which the creditor does not know or suspect to exist in his or her favor at the time of executing the release, which if known by him or her must have materially affected his or her settlement with the debtor.” Moreover, this Release does not extend to those rights which, as a matter of law, cannot be waived, including but not limited to, unwaivable rights that Employee may have under the California Labor Code and/or the right to file a charge or complaint with any relevant government agency.</w:t>
      </w:r>
    </w:p>
    <w:p>
      <w:pPr>
        <w:spacing w:after="0" w:line="42" w:lineRule="exact"/>
        <w:rPr>
          <w:rFonts w:ascii="Arial" w:cs="Arial" w:eastAsia="Arial" w:hAnsi="Arial"/>
          <w:sz w:val="17"/>
          <w:szCs w:val="17"/>
          <w:color w:val="auto"/>
        </w:rPr>
      </w:pPr>
    </w:p>
    <w:p>
      <w:pPr>
        <w:jc w:val="both"/>
        <w:ind w:left="660" w:firstLine="644"/>
        <w:spacing w:after="0" w:line="239" w:lineRule="auto"/>
        <w:tabs>
          <w:tab w:leader="none" w:pos="2166" w:val="left"/>
        </w:tabs>
        <w:numPr>
          <w:ilvl w:val="0"/>
          <w:numId w:val="128"/>
        </w:numPr>
        <w:rPr>
          <w:rFonts w:ascii="Arial" w:cs="Arial" w:eastAsia="Arial" w:hAnsi="Arial"/>
          <w:sz w:val="18"/>
          <w:szCs w:val="18"/>
          <w:color w:val="auto"/>
        </w:rPr>
      </w:pPr>
      <w:r>
        <w:rPr>
          <w:rFonts w:ascii="Arial" w:cs="Arial" w:eastAsia="Arial" w:hAnsi="Arial"/>
          <w:sz w:val="20"/>
          <w:szCs w:val="20"/>
          <w:b w:val="1"/>
          <w:bCs w:val="1"/>
          <w:color w:val="auto"/>
        </w:rPr>
        <w:t>Ownership of Claims</w:t>
      </w:r>
      <w:r>
        <w:rPr>
          <w:rFonts w:ascii="Arial" w:cs="Arial" w:eastAsia="Arial" w:hAnsi="Arial"/>
          <w:sz w:val="20"/>
          <w:szCs w:val="20"/>
          <w:color w:val="auto"/>
        </w:rPr>
        <w:t>: Employee represents and warrants that he/she has not sold, assigned or transferred any</w:t>
      </w:r>
      <w:r>
        <w:rPr>
          <w:rFonts w:ascii="Arial" w:cs="Arial" w:eastAsia="Arial" w:hAnsi="Arial"/>
          <w:sz w:val="20"/>
          <w:szCs w:val="20"/>
          <w:b w:val="1"/>
          <w:bCs w:val="1"/>
          <w:color w:val="auto"/>
        </w:rPr>
        <w:t xml:space="preserve"> </w:t>
      </w:r>
      <w:r>
        <w:rPr>
          <w:rFonts w:ascii="Arial" w:cs="Arial" w:eastAsia="Arial" w:hAnsi="Arial"/>
          <w:sz w:val="20"/>
          <w:szCs w:val="20"/>
          <w:color w:val="auto"/>
        </w:rPr>
        <w:t>claim he/she is purporting to release, nor has he/she attempted to do so. Employee expressly represents and warrants that he/she has the full legal authority to enter into this Agreement for himself/herself and his/her estate, and does not require the approval of anyone else to do so.</w:t>
      </w:r>
    </w:p>
    <w:p>
      <w:pPr>
        <w:spacing w:after="0" w:line="42" w:lineRule="exact"/>
        <w:rPr>
          <w:rFonts w:ascii="Arial" w:cs="Arial" w:eastAsia="Arial" w:hAnsi="Arial"/>
          <w:sz w:val="18"/>
          <w:szCs w:val="18"/>
          <w:color w:val="auto"/>
        </w:rPr>
      </w:pPr>
    </w:p>
    <w:p>
      <w:pPr>
        <w:jc w:val="both"/>
        <w:ind w:left="660" w:firstLine="644"/>
        <w:spacing w:after="0" w:line="265" w:lineRule="auto"/>
        <w:tabs>
          <w:tab w:leader="none" w:pos="2156" w:val="left"/>
        </w:tabs>
        <w:numPr>
          <w:ilvl w:val="0"/>
          <w:numId w:val="128"/>
        </w:numPr>
        <w:rPr>
          <w:rFonts w:ascii="Arial" w:cs="Arial" w:eastAsia="Arial" w:hAnsi="Arial"/>
          <w:sz w:val="16"/>
          <w:szCs w:val="16"/>
          <w:color w:val="auto"/>
        </w:rPr>
      </w:pPr>
      <w:r>
        <w:rPr>
          <w:rFonts w:ascii="Arial" w:cs="Arial" w:eastAsia="Arial" w:hAnsi="Arial"/>
          <w:sz w:val="18"/>
          <w:szCs w:val="18"/>
          <w:b w:val="1"/>
          <w:bCs w:val="1"/>
          <w:color w:val="auto"/>
        </w:rPr>
        <w:t>Pursuit of Released Claims</w:t>
      </w:r>
      <w:r>
        <w:rPr>
          <w:rFonts w:ascii="Arial" w:cs="Arial" w:eastAsia="Arial" w:hAnsi="Arial"/>
          <w:sz w:val="18"/>
          <w:szCs w:val="18"/>
          <w:color w:val="auto"/>
        </w:rPr>
        <w:t>: Employee represents that he/she has not filed or caused to be filed any lawsuit,</w:t>
      </w:r>
      <w:r>
        <w:rPr>
          <w:rFonts w:ascii="Arial" w:cs="Arial" w:eastAsia="Arial" w:hAnsi="Arial"/>
          <w:sz w:val="18"/>
          <w:szCs w:val="18"/>
          <w:b w:val="1"/>
          <w:bCs w:val="1"/>
          <w:color w:val="auto"/>
        </w:rPr>
        <w:t xml:space="preserve"> </w:t>
      </w:r>
      <w:r>
        <w:rPr>
          <w:rFonts w:ascii="Arial" w:cs="Arial" w:eastAsia="Arial" w:hAnsi="Arial"/>
          <w:sz w:val="18"/>
          <w:szCs w:val="18"/>
          <w:color w:val="auto"/>
        </w:rPr>
        <w:t>complaint, or charge with respect to any claim this Agreement purports to waive, and he/she promises never to file or prosecute any lawsuit, complaint, or charge based on such claims. This provision shall not apply to any non-waivable charges or claims brought before any governmental agency. With respect to any such non-waivable claims, however, Employee agrees to waive his/her right (if any) to any monetary or other recovery, including but not limited to reinstatement, should any governmental agency or other third party pursue any claims on his/her behalf, either individually or as part of any class or collective action.</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Section 3 - Promises</w:t>
      </w:r>
    </w:p>
    <w:p>
      <w:pPr>
        <w:spacing w:after="0" w:line="75" w:lineRule="exact"/>
        <w:rPr>
          <w:sz w:val="20"/>
          <w:szCs w:val="20"/>
          <w:color w:val="auto"/>
        </w:rPr>
      </w:pPr>
    </w:p>
    <w:p>
      <w:pPr>
        <w:ind w:left="2140" w:hanging="836"/>
        <w:spacing w:after="0"/>
        <w:tabs>
          <w:tab w:leader="none" w:pos="2140" w:val="left"/>
        </w:tabs>
        <w:numPr>
          <w:ilvl w:val="0"/>
          <w:numId w:val="129"/>
        </w:numPr>
        <w:rPr>
          <w:rFonts w:ascii="Arial" w:cs="Arial" w:eastAsia="Arial" w:hAnsi="Arial"/>
          <w:sz w:val="20"/>
          <w:szCs w:val="20"/>
          <w:color w:val="auto"/>
        </w:rPr>
      </w:pPr>
      <w:r>
        <w:rPr>
          <w:rFonts w:ascii="Arial" w:cs="Arial" w:eastAsia="Arial" w:hAnsi="Arial"/>
          <w:sz w:val="20"/>
          <w:szCs w:val="20"/>
          <w:b w:val="1"/>
          <w:bCs w:val="1"/>
          <w:color w:val="auto"/>
        </w:rPr>
        <w:t>Separation   Date</w:t>
      </w:r>
      <w:r>
        <w:rPr>
          <w:rFonts w:ascii="Arial" w:cs="Arial" w:eastAsia="Arial" w:hAnsi="Arial"/>
          <w:sz w:val="20"/>
          <w:szCs w:val="20"/>
          <w:color w:val="auto"/>
        </w:rPr>
        <w:t>:   Employee’s   employment   with   the   Company   will   terminate   effective</w:t>
      </w:r>
    </w:p>
    <w:p>
      <w:pPr>
        <w:spacing w:after="0" w:line="8"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______________________________ (“Separation Date”).</w:t>
      </w:r>
    </w:p>
    <w:p>
      <w:pPr>
        <w:spacing w:after="0" w:line="45" w:lineRule="exact"/>
        <w:rPr>
          <w:rFonts w:ascii="Arial" w:cs="Arial" w:eastAsia="Arial" w:hAnsi="Arial"/>
          <w:sz w:val="20"/>
          <w:szCs w:val="20"/>
          <w:color w:val="auto"/>
        </w:rPr>
      </w:pPr>
    </w:p>
    <w:p>
      <w:pPr>
        <w:jc w:val="both"/>
        <w:ind w:left="660" w:firstLine="644"/>
        <w:spacing w:after="0" w:line="259" w:lineRule="auto"/>
        <w:tabs>
          <w:tab w:leader="none" w:pos="2166" w:val="left"/>
        </w:tabs>
        <w:numPr>
          <w:ilvl w:val="0"/>
          <w:numId w:val="129"/>
        </w:numPr>
        <w:rPr>
          <w:rFonts w:ascii="Arial" w:cs="Arial" w:eastAsia="Arial" w:hAnsi="Arial"/>
          <w:sz w:val="16"/>
          <w:szCs w:val="16"/>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Employee understands that Employer will withhold applicable state and federal taxes from the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referenced in Section 1(a) of this Agreement. Employee agrees that he/she is ultimately and solely responsible for paying the correct amount of taxes on any amounts he/she receives in connection with this Agreement. Employer will issue Employee an IRS Form W-2 in connection with the payments described in Section 1(a), above. Employee agrees not to make any claim against any Released Party based on how Employer reports amounts paid under this Agreement to tax authorities or if an adverse determination is made as to the tax treatment of any amounts payable under this Agreement. Employee understands and agrees that the Released Parties have no duty to try to prevent such an adverse determination. Employee further agrees to fully indemnify and hold the Released Parties harmless from all expenses, penalties, damages, fees and/or interest charges he/she incurs as a result of not paying taxes on, or withholding taxes from amounts paid to him/her and his/her attorneys under this Agreement.</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18"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10(iii)A(88)</w:t>
      </w:r>
    </w:p>
    <w:p>
      <w:pPr>
        <w:spacing w:after="0" w:line="305" w:lineRule="exact"/>
        <w:rPr>
          <w:sz w:val="20"/>
          <w:szCs w:val="20"/>
          <w:color w:val="auto"/>
        </w:rPr>
      </w:pPr>
    </w:p>
    <w:p>
      <w:pPr>
        <w:ind w:left="660" w:firstLine="644"/>
        <w:spacing w:after="0" w:line="267" w:lineRule="auto"/>
        <w:tabs>
          <w:tab w:leader="none" w:pos="2166" w:val="left"/>
        </w:tabs>
        <w:numPr>
          <w:ilvl w:val="0"/>
          <w:numId w:val="130"/>
        </w:numPr>
        <w:rPr>
          <w:rFonts w:ascii="Arial" w:cs="Arial" w:eastAsia="Arial" w:hAnsi="Arial"/>
          <w:sz w:val="18"/>
          <w:szCs w:val="18"/>
          <w:color w:val="auto"/>
        </w:rPr>
      </w:pPr>
      <w:r>
        <w:rPr>
          <w:rFonts w:ascii="Arial" w:cs="Arial" w:eastAsia="Arial" w:hAnsi="Arial"/>
          <w:sz w:val="20"/>
          <w:szCs w:val="20"/>
          <w:b w:val="1"/>
          <w:bCs w:val="1"/>
          <w:color w:val="auto"/>
        </w:rPr>
        <w:t>Implementation</w:t>
      </w:r>
      <w:r>
        <w:rPr>
          <w:rFonts w:ascii="Arial" w:cs="Arial" w:eastAsia="Arial" w:hAnsi="Arial"/>
          <w:sz w:val="20"/>
          <w:szCs w:val="20"/>
          <w:color w:val="auto"/>
        </w:rPr>
        <w:t>: Employee agrees to promptly sign any documents and do anything else that is necessary in the</w:t>
      </w:r>
      <w:r>
        <w:rPr>
          <w:rFonts w:ascii="Arial" w:cs="Arial" w:eastAsia="Arial" w:hAnsi="Arial"/>
          <w:sz w:val="20"/>
          <w:szCs w:val="20"/>
          <w:b w:val="1"/>
          <w:bCs w:val="1"/>
          <w:color w:val="auto"/>
        </w:rPr>
        <w:t xml:space="preserve"> </w:t>
      </w:r>
      <w:r>
        <w:rPr>
          <w:rFonts w:ascii="Arial" w:cs="Arial" w:eastAsia="Arial" w:hAnsi="Arial"/>
          <w:sz w:val="20"/>
          <w:szCs w:val="20"/>
          <w:color w:val="auto"/>
        </w:rPr>
        <w:t>future to implement this Agreement.</w:t>
      </w:r>
    </w:p>
    <w:p>
      <w:pPr>
        <w:spacing w:after="0" w:line="14" w:lineRule="exact"/>
        <w:rPr>
          <w:rFonts w:ascii="Arial" w:cs="Arial" w:eastAsia="Arial" w:hAnsi="Arial"/>
          <w:sz w:val="18"/>
          <w:szCs w:val="18"/>
          <w:color w:val="auto"/>
        </w:rPr>
      </w:pPr>
    </w:p>
    <w:p>
      <w:pPr>
        <w:jc w:val="both"/>
        <w:ind w:left="660" w:firstLine="644"/>
        <w:spacing w:after="0" w:line="233" w:lineRule="auto"/>
        <w:tabs>
          <w:tab w:leader="none" w:pos="2126" w:val="left"/>
        </w:tabs>
        <w:numPr>
          <w:ilvl w:val="0"/>
          <w:numId w:val="130"/>
        </w:numPr>
        <w:rPr>
          <w:rFonts w:ascii="Arial" w:cs="Arial" w:eastAsia="Arial" w:hAnsi="Arial"/>
          <w:sz w:val="18"/>
          <w:szCs w:val="18"/>
          <w:color w:val="auto"/>
        </w:rPr>
      </w:pPr>
      <w:r>
        <w:rPr>
          <w:rFonts w:ascii="Arial" w:cs="Arial" w:eastAsia="Arial" w:hAnsi="Arial"/>
          <w:sz w:val="20"/>
          <w:szCs w:val="20"/>
          <w:b w:val="1"/>
          <w:bCs w:val="1"/>
          <w:color w:val="auto"/>
        </w:rPr>
        <w:t xml:space="preserve">FMLA and FLSA Rights Honored: </w:t>
      </w:r>
      <w:r>
        <w:rPr>
          <w:rFonts w:ascii="Arial" w:cs="Arial" w:eastAsia="Arial" w:hAnsi="Arial"/>
          <w:sz w:val="20"/>
          <w:szCs w:val="20"/>
          <w:color w:val="auto"/>
        </w:rPr>
        <w:t>Employee acknowledges that he/she has received all of the leave from work</w:t>
      </w:r>
      <w:r>
        <w:rPr>
          <w:rFonts w:ascii="Arial" w:cs="Arial" w:eastAsia="Arial" w:hAnsi="Arial"/>
          <w:sz w:val="20"/>
          <w:szCs w:val="20"/>
          <w:b w:val="1"/>
          <w:bCs w:val="1"/>
          <w:color w:val="auto"/>
        </w:rPr>
        <w:t xml:space="preserve"> </w:t>
      </w:r>
      <w:r>
        <w:rPr>
          <w:rFonts w:ascii="Arial" w:cs="Arial" w:eastAsia="Arial" w:hAnsi="Arial"/>
          <w:sz w:val="20"/>
          <w:szCs w:val="20"/>
          <w:color w:val="auto"/>
        </w:rPr>
        <w:t>for family and/or personal medical reasons and/or other benefits to which he/she believes he/she is entitled under Employer’s policy and the Family and Medical Leave Act of 1993 (“FMLA”), as amended. Employee has no pending request for FMLA leave with Employer; nor has Employer mistreated Employee in any way on account of any illness or injury to Employee or any member of Employee’s family. Employee further acknowledges that he/she has received all of the monetary compensation, including hourly wages, salary and/or overtime compensation, to which he/she believes he/she is entitled under the Fair Labor Standards Act (“FLSA”), as amended.</w:t>
      </w:r>
    </w:p>
    <w:p>
      <w:pPr>
        <w:spacing w:after="0" w:line="43" w:lineRule="exact"/>
        <w:rPr>
          <w:rFonts w:ascii="Arial" w:cs="Arial" w:eastAsia="Arial" w:hAnsi="Arial"/>
          <w:sz w:val="18"/>
          <w:szCs w:val="18"/>
          <w:color w:val="auto"/>
        </w:rPr>
      </w:pPr>
    </w:p>
    <w:p>
      <w:pPr>
        <w:jc w:val="both"/>
        <w:ind w:left="660" w:firstLine="644"/>
        <w:spacing w:after="0" w:line="254" w:lineRule="auto"/>
        <w:tabs>
          <w:tab w:leader="none" w:pos="2126" w:val="left"/>
        </w:tabs>
        <w:numPr>
          <w:ilvl w:val="0"/>
          <w:numId w:val="130"/>
        </w:numPr>
        <w:rPr>
          <w:rFonts w:ascii="Arial" w:cs="Arial" w:eastAsia="Arial" w:hAnsi="Arial"/>
          <w:sz w:val="16"/>
          <w:szCs w:val="16"/>
          <w:color w:val="auto"/>
        </w:rPr>
      </w:pPr>
      <w:r>
        <w:rPr>
          <w:rFonts w:ascii="Arial" w:cs="Arial" w:eastAsia="Arial" w:hAnsi="Arial"/>
          <w:sz w:val="18"/>
          <w:szCs w:val="18"/>
          <w:b w:val="1"/>
          <w:bCs w:val="1"/>
          <w:color w:val="auto"/>
        </w:rPr>
        <w:t xml:space="preserve">False Claims Representations, Cooperation, and Promises: </w:t>
      </w:r>
      <w:r>
        <w:rPr>
          <w:rFonts w:ascii="Arial" w:cs="Arial" w:eastAsia="Arial" w:hAnsi="Arial"/>
          <w:sz w:val="18"/>
          <w:szCs w:val="18"/>
          <w:color w:val="auto"/>
        </w:rPr>
        <w:t>With this Separation Agreement,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acknowledges that he/she has disclosed to the Company’s General Counsel in writing any information he/she has concerning any conduct involving the Company that he/she has any reason to believe may be unlawful, unethical or otherwise inappropriate, including conduct in violation of the Sarbanes-Oxley Act of 2002. Employee certifies that to the best of his/her knowledge, information and belief, no member of management or any other employee (including himself) who has a significant role in Employer’s internal control over financial reporting has committed any fraud or engaged in any act, practice, or course of conduct that operates or would operate as a fraud or deceit upon any person or entity. Employee promises to cooperate fully with the Company in any investigation the Company undertakes into matters which occurred during his/her employment with the Company. If requested by the Company, Employee will promptly and fully respond to all inquiries from the Company and its representatives relating to any claims or lawsuits which relate to matters which occurred during his/her employment with the Company. If Employee is contacted to participate in any way in any claim, investigation or litigation at any time, he/she agrees to provide the Company’s General Counsel with prompt notice; and in no event shall such notice be delivered to the Company later than two (2) days after receipt by Employee, providing the Company with the opportunity to object to and/or be present at or participate in the proceeding. This Section does not prohibit Employee’s participation as a witness if he/she is compelled to appear through an enforceable subpoena or an enforceable court order, but it does require that he/she provide the Company with notice and the opportunity to object and/or participate. Before Employee discloses any Company information or engages in any other activity that could possibly violate the promises he/she has made herein, Employee promises that he/she will discuss his/her proposed actions with the Company’s General Counsel, who will inform him/her within seventy-two (72) hours whether the proposed actions would violate these promises.</w:t>
      </w:r>
    </w:p>
    <w:p>
      <w:pPr>
        <w:spacing w:after="0" w:line="39" w:lineRule="exact"/>
        <w:rPr>
          <w:rFonts w:ascii="Arial" w:cs="Arial" w:eastAsia="Arial" w:hAnsi="Arial"/>
          <w:sz w:val="16"/>
          <w:szCs w:val="16"/>
          <w:color w:val="auto"/>
        </w:rPr>
      </w:pPr>
    </w:p>
    <w:p>
      <w:pPr>
        <w:jc w:val="both"/>
        <w:ind w:left="660" w:firstLine="644"/>
        <w:spacing w:after="0" w:line="257" w:lineRule="auto"/>
        <w:tabs>
          <w:tab w:leader="none" w:pos="2166" w:val="left"/>
        </w:tabs>
        <w:numPr>
          <w:ilvl w:val="0"/>
          <w:numId w:val="130"/>
        </w:numPr>
        <w:rPr>
          <w:rFonts w:ascii="Arial" w:cs="Arial" w:eastAsia="Arial" w:hAnsi="Arial"/>
          <w:sz w:val="16"/>
          <w:szCs w:val="16"/>
          <w:color w:val="auto"/>
        </w:rPr>
      </w:pPr>
      <w:r>
        <w:rPr>
          <w:rFonts w:ascii="Arial" w:cs="Arial" w:eastAsia="Arial" w:hAnsi="Arial"/>
          <w:sz w:val="18"/>
          <w:szCs w:val="18"/>
          <w:b w:val="1"/>
          <w:bCs w:val="1"/>
          <w:color w:val="auto"/>
        </w:rPr>
        <w:t>[If Employee is 40+-years-old:] ADEA Release Requirements Have Been Satisfied</w:t>
      </w:r>
      <w:r>
        <w:rPr>
          <w:rFonts w:ascii="Arial" w:cs="Arial" w:eastAsia="Arial" w:hAnsi="Arial"/>
          <w:sz w:val="18"/>
          <w:szCs w:val="18"/>
          <w:color w:val="auto"/>
        </w:rPr>
        <w:t>: Employee understands</w:t>
      </w:r>
      <w:r>
        <w:rPr>
          <w:rFonts w:ascii="Arial" w:cs="Arial" w:eastAsia="Arial" w:hAnsi="Arial"/>
          <w:sz w:val="18"/>
          <w:szCs w:val="18"/>
          <w:b w:val="1"/>
          <w:bCs w:val="1"/>
          <w:color w:val="auto"/>
        </w:rPr>
        <w:t xml:space="preserve"> </w:t>
      </w:r>
      <w:r>
        <w:rPr>
          <w:rFonts w:ascii="Arial" w:cs="Arial" w:eastAsia="Arial" w:hAnsi="Arial"/>
          <w:sz w:val="18"/>
          <w:szCs w:val="18"/>
          <w:color w:val="auto"/>
        </w:rPr>
        <w:t>that this Agreement has to meet certain requirements to validly release any ADEA claims Employee might have had, and Employee represents and warrants that all such requirements have been satisfied. Employee acknowledges that, before signing this Agreement, he/she was given at least twenty-one (21) days to consider this Agreement. Employee further acknowledges that: (1) he/she took advantage of as much of this period to consider this Agreement as he/she wished before signing it; (2) he/she carefully read this Agreement; (3) he/she fully understands it; (4) he/she entered into this Agreement knowingly and voluntarily (</w:t>
      </w:r>
      <w:r>
        <w:rPr>
          <w:rFonts w:ascii="Arial" w:cs="Arial" w:eastAsia="Arial" w:hAnsi="Arial"/>
          <w:sz w:val="18"/>
          <w:szCs w:val="18"/>
          <w:u w:val="single" w:color="auto"/>
          <w:color w:val="auto"/>
        </w:rPr>
        <w:t>i.e.</w:t>
      </w:r>
      <w:r>
        <w:rPr>
          <w:rFonts w:ascii="Arial" w:cs="Arial" w:eastAsia="Arial" w:hAnsi="Arial"/>
          <w:sz w:val="18"/>
          <w:szCs w:val="18"/>
          <w:color w:val="auto"/>
        </w:rPr>
        <w:t>, free from fraud, duress, coercion, or mistake of fact); (5) this Agreement is in writing and is understandable; (6) in this Agreement, Employee waives current ADEA claims; (7) Employee has not waived future ADEA claims; (8) Employee is receiving valuable consideration in exchange for execution of this Agreement that he/she would not otherwise be entitled to receive such consideration; and (9) Employer hereby encourages and advises Employee in writing to discuss this Agreement with his/her attorney (at his/her own expense) before signing it, and that he/she has done so to the extent he/she deemed appropriate.</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SECTION 4 - CONFIDENTIALITY, NON-SOLICITATION AND NON-COMPETITION</w:t>
      </w:r>
    </w:p>
    <w:p>
      <w:pPr>
        <w:spacing w:after="0" w:line="75" w:lineRule="exact"/>
        <w:rPr>
          <w:sz w:val="20"/>
          <w:szCs w:val="20"/>
          <w:color w:val="auto"/>
        </w:rPr>
      </w:pPr>
    </w:p>
    <w:p>
      <w:pPr>
        <w:jc w:val="both"/>
        <w:ind w:left="660" w:firstLine="644"/>
        <w:spacing w:after="0" w:line="233" w:lineRule="auto"/>
        <w:tabs>
          <w:tab w:leader="none" w:pos="2143" w:val="left"/>
        </w:tabs>
        <w:numPr>
          <w:ilvl w:val="0"/>
          <w:numId w:val="131"/>
        </w:numPr>
        <w:rPr>
          <w:rFonts w:ascii="Arial" w:cs="Arial" w:eastAsia="Arial" w:hAnsi="Arial"/>
          <w:sz w:val="20"/>
          <w:szCs w:val="20"/>
          <w:color w:val="auto"/>
        </w:rPr>
      </w:pPr>
      <w:r>
        <w:rPr>
          <w:rFonts w:ascii="Arial" w:cs="Arial" w:eastAsia="Arial" w:hAnsi="Arial"/>
          <w:sz w:val="20"/>
          <w:szCs w:val="20"/>
          <w:b w:val="1"/>
          <w:bCs w:val="1"/>
          <w:color w:val="auto"/>
        </w:rPr>
        <w:t xml:space="preserve">Purpose and Reasonableness of Provisions. </w:t>
      </w:r>
      <w:r>
        <w:rPr>
          <w:rFonts w:ascii="Arial" w:cs="Arial" w:eastAsia="Arial" w:hAnsi="Arial"/>
          <w:sz w:val="20"/>
          <w:szCs w:val="20"/>
          <w:color w:val="auto"/>
        </w:rPr>
        <w:t>Employee acknowledges that the Company and the Parent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(collectively referred to hereinafter, where applicable, as the “Protected Parties”) have furnished and may continue to furnish to Employee Trade Secrets and Confidential Information, which, if used by Employee on behalf of, or disclosed to, a competitor of the Protected Parties or other person, could cause substantial detriment to the Protected Parties. Moreover, the parties recognize that Employee, during</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18"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10(iii)A(88)</w:t>
      </w:r>
    </w:p>
    <w:p>
      <w:pPr>
        <w:spacing w:after="0" w:line="31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term of her employment with the Company, has developed important relationships with customers, agents and others having valuable business relationships with the Company, and that these relationships may continue to develop during the Severance Period. In view of the foregoing, Employee acknowledges and agrees that the restrictive covenants contained in this Section 4 are reasonably necessary to protect the Protected Parties’ legitimate business interests, Confidential Information, and good will.</w:t>
      </w:r>
    </w:p>
    <w:p>
      <w:pPr>
        <w:spacing w:after="0" w:line="18" w:lineRule="exact"/>
        <w:rPr>
          <w:sz w:val="20"/>
          <w:szCs w:val="20"/>
          <w:color w:val="auto"/>
        </w:rPr>
      </w:pPr>
    </w:p>
    <w:p>
      <w:pPr>
        <w:jc w:val="both"/>
        <w:ind w:firstLine="644"/>
        <w:spacing w:after="0" w:line="257" w:lineRule="auto"/>
        <w:tabs>
          <w:tab w:leader="none" w:pos="1556" w:val="left"/>
        </w:tabs>
        <w:numPr>
          <w:ilvl w:val="0"/>
          <w:numId w:val="132"/>
        </w:numPr>
        <w:rPr>
          <w:rFonts w:ascii="Arial" w:cs="Arial" w:eastAsia="Arial" w:hAnsi="Arial"/>
          <w:sz w:val="16"/>
          <w:szCs w:val="16"/>
          <w:color w:val="auto"/>
        </w:rPr>
      </w:pPr>
      <w:r>
        <w:rPr>
          <w:rFonts w:ascii="Arial" w:cs="Arial" w:eastAsia="Arial" w:hAnsi="Arial"/>
          <w:sz w:val="18"/>
          <w:szCs w:val="18"/>
          <w:b w:val="1"/>
          <w:bCs w:val="1"/>
          <w:color w:val="auto"/>
        </w:rPr>
        <w:t xml:space="preserve">Trade Secrets and Confidential Information. </w:t>
      </w:r>
      <w:r>
        <w:rPr>
          <w:rFonts w:ascii="Arial" w:cs="Arial" w:eastAsia="Arial" w:hAnsi="Arial"/>
          <w:sz w:val="18"/>
          <w:szCs w:val="18"/>
          <w:color w:val="auto"/>
        </w:rPr>
        <w:t>Employee agrees that he/she shall protect the Protected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Trade Secrets (as defined in Paragraph 4(k)(ii) below) and Confidential Information (as defined in Paragraph 4(k)(i) below) and shall not disclose to any person or entity, or otherwise use or disseminate, except in connection with the performance of his/her duties for the Company, any Trade Secrets or Confidential Information; provided, however, that Employee may make disclosures required by a valid order or subpoena issued by a court or administrative agency of competent jurisdiction, in which event Employee will promptly notify the Protected Parties of such order or subpoena to provide the Protected Parties an opportunity to protect their interests. Employee’s obligations under this Section 4(b) shall apply after his/her Separation Date, shall continue through the Severance Period, and shall survive any expiration or termination of this Agreement, so long as the information or material remains Confidential Information or a Trade Secret, as applicable. Employee further confirms that he/she has not and will not offer, disclose or use on Employee’s own behalf or on behalf of the Company, any information Employee received prior to employment by the Company which was supplied to Employee confidentially or which Employee should reasonably know to be confidential.</w:t>
      </w:r>
    </w:p>
    <w:p>
      <w:pPr>
        <w:spacing w:after="0" w:line="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Nothing in this Agreement prohibits Employee from reporting possible violations of federal law or regulation to any governmental agency or entity including but not limited to the Department of Justice, the Securities and Exchange Commission, Congress, or any Inspector General, or making other disclosures that are protected under the whistleblower provisions of federal law or regulation. Employee does not need the prior authorization of Employer to make any such reports or disclosures, and Employee is not required to notify Employer that Employee has made such reports or disclosures.</w:t>
      </w:r>
    </w:p>
    <w:p>
      <w:pPr>
        <w:spacing w:after="0" w:line="255" w:lineRule="exact"/>
        <w:rPr>
          <w:sz w:val="20"/>
          <w:szCs w:val="20"/>
          <w:color w:val="auto"/>
        </w:rPr>
      </w:pPr>
    </w:p>
    <w:p>
      <w:pPr>
        <w:jc w:val="both"/>
        <w:ind w:firstLine="644"/>
        <w:spacing w:after="0" w:line="245" w:lineRule="auto"/>
        <w:tabs>
          <w:tab w:leader="none" w:pos="1506" w:val="left"/>
        </w:tabs>
        <w:numPr>
          <w:ilvl w:val="0"/>
          <w:numId w:val="133"/>
        </w:numPr>
        <w:rPr>
          <w:rFonts w:ascii="Arial" w:cs="Arial" w:eastAsia="Arial" w:hAnsi="Arial"/>
          <w:sz w:val="17"/>
          <w:szCs w:val="17"/>
          <w:color w:val="auto"/>
        </w:rPr>
      </w:pPr>
      <w:r>
        <w:rPr>
          <w:rFonts w:ascii="Arial" w:cs="Arial" w:eastAsia="Arial" w:hAnsi="Arial"/>
          <w:sz w:val="19"/>
          <w:szCs w:val="19"/>
          <w:b w:val="1"/>
          <w:bCs w:val="1"/>
          <w:color w:val="auto"/>
        </w:rPr>
        <w:t xml:space="preserve">Return of Property. </w:t>
      </w:r>
      <w:r>
        <w:rPr>
          <w:rFonts w:ascii="Arial" w:cs="Arial" w:eastAsia="Arial" w:hAnsi="Arial"/>
          <w:sz w:val="19"/>
          <w:szCs w:val="19"/>
          <w:color w:val="auto"/>
        </w:rPr>
        <w:t>Employee agrees to deliver promptly to the Company all files, customer lists, management</w:t>
      </w:r>
      <w:r>
        <w:rPr>
          <w:rFonts w:ascii="Arial" w:cs="Arial" w:eastAsia="Arial" w:hAnsi="Arial"/>
          <w:sz w:val="19"/>
          <w:szCs w:val="19"/>
          <w:b w:val="1"/>
          <w:bCs w:val="1"/>
          <w:color w:val="auto"/>
        </w:rPr>
        <w:t xml:space="preserve"> </w:t>
      </w:r>
      <w:r>
        <w:rPr>
          <w:rFonts w:ascii="Arial" w:cs="Arial" w:eastAsia="Arial" w:hAnsi="Arial"/>
          <w:sz w:val="19"/>
          <w:szCs w:val="19"/>
          <w:color w:val="auto"/>
        </w:rPr>
        <w:t>reports, memoranda, research, Company forms and documents, financial data and reports and other documents (including all such data and documents in electronic form or on flash or external hard drives) of the Protected Parties, supplied to or created by him/her in connection with his/her employment hereunder (including all copies of the foregoing) in his/her possession or control, and all of the Company’s equipment (e.g., mobile devices, laptop, computer, flash or hard drives, etc.) and other materials in his/her possession or control. Employee’s obligations under this Section 4(c) shall survive any expiration or termination of this Agreement. Employee agrees and covenants to permanently delete any such information residing in electronic format to the best of his/her ability and to not attempt to retrieve it.</w:t>
      </w:r>
    </w:p>
    <w:p>
      <w:pPr>
        <w:spacing w:after="0" w:line="38" w:lineRule="exact"/>
        <w:rPr>
          <w:rFonts w:ascii="Arial" w:cs="Arial" w:eastAsia="Arial" w:hAnsi="Arial"/>
          <w:sz w:val="17"/>
          <w:szCs w:val="17"/>
          <w:color w:val="auto"/>
        </w:rPr>
      </w:pPr>
    </w:p>
    <w:p>
      <w:pPr>
        <w:jc w:val="both"/>
        <w:ind w:firstLine="644"/>
        <w:spacing w:after="0" w:line="234" w:lineRule="auto"/>
        <w:tabs>
          <w:tab w:leader="none" w:pos="1506" w:val="left"/>
        </w:tabs>
        <w:numPr>
          <w:ilvl w:val="0"/>
          <w:numId w:val="133"/>
        </w:numPr>
        <w:rPr>
          <w:rFonts w:ascii="Arial" w:cs="Arial" w:eastAsia="Arial" w:hAnsi="Arial"/>
          <w:sz w:val="18"/>
          <w:szCs w:val="18"/>
          <w:color w:val="auto"/>
        </w:rPr>
      </w:pPr>
      <w:r>
        <w:rPr>
          <w:rFonts w:ascii="Arial" w:cs="Arial" w:eastAsia="Arial" w:hAnsi="Arial"/>
          <w:sz w:val="20"/>
          <w:szCs w:val="20"/>
          <w:b w:val="1"/>
          <w:bCs w:val="1"/>
          <w:color w:val="auto"/>
        </w:rPr>
        <w:t xml:space="preserve">Inventions. </w:t>
      </w:r>
      <w:r>
        <w:rPr>
          <w:rFonts w:ascii="Arial" w:cs="Arial" w:eastAsia="Arial" w:hAnsi="Arial"/>
          <w:sz w:val="20"/>
          <w:szCs w:val="20"/>
          <w:color w:val="auto"/>
        </w:rPr>
        <w:t>Employee does hereby assign to the Company the entire right, title and interest in any Invention</w:t>
      </w:r>
      <w:r>
        <w:rPr>
          <w:rFonts w:ascii="Arial" w:cs="Arial" w:eastAsia="Arial" w:hAnsi="Arial"/>
          <w:sz w:val="20"/>
          <w:szCs w:val="20"/>
          <w:b w:val="1"/>
          <w:bCs w:val="1"/>
          <w:color w:val="auto"/>
        </w:rPr>
        <w:t xml:space="preserve"> </w:t>
      </w:r>
      <w:r>
        <w:rPr>
          <w:rFonts w:ascii="Arial" w:cs="Arial" w:eastAsia="Arial" w:hAnsi="Arial"/>
          <w:sz w:val="20"/>
          <w:szCs w:val="20"/>
          <w:color w:val="auto"/>
        </w:rPr>
        <w:t>which is or was made or conceived, either solely or jointly with others, during his/her employment with the Company, including during the Severance Period. Employee attests that he/she has disclosed (or promptly will disclose, if during the Severance Period) to the Company all such Inventions. Employee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45" w:lineRule="exact"/>
        <w:rPr>
          <w:rFonts w:ascii="Arial" w:cs="Arial" w:eastAsia="Arial" w:hAnsi="Arial"/>
          <w:sz w:val="18"/>
          <w:szCs w:val="18"/>
          <w:color w:val="auto"/>
        </w:rPr>
      </w:pPr>
    </w:p>
    <w:p>
      <w:pPr>
        <w:jc w:val="both"/>
        <w:ind w:firstLine="644"/>
        <w:spacing w:after="0" w:line="236" w:lineRule="auto"/>
        <w:tabs>
          <w:tab w:leader="none" w:pos="1506" w:val="left"/>
        </w:tabs>
        <w:numPr>
          <w:ilvl w:val="0"/>
          <w:numId w:val="133"/>
        </w:numPr>
        <w:rPr>
          <w:rFonts w:ascii="Arial" w:cs="Arial" w:eastAsia="Arial" w:hAnsi="Arial"/>
          <w:sz w:val="18"/>
          <w:szCs w:val="18"/>
          <w:color w:val="auto"/>
        </w:rPr>
      </w:pPr>
      <w:r>
        <w:rPr>
          <w:rFonts w:ascii="Arial" w:cs="Arial" w:eastAsia="Arial" w:hAnsi="Arial"/>
          <w:sz w:val="20"/>
          <w:szCs w:val="20"/>
          <w:b w:val="1"/>
          <w:bCs w:val="1"/>
          <w:color w:val="auto"/>
        </w:rPr>
        <w:t xml:space="preserve">Non-Competition. </w:t>
      </w:r>
      <w:r>
        <w:rPr>
          <w:rFonts w:ascii="Arial" w:cs="Arial" w:eastAsia="Arial" w:hAnsi="Arial"/>
          <w:sz w:val="20"/>
          <w:szCs w:val="20"/>
          <w:color w:val="auto"/>
        </w:rPr>
        <w:t>Employee acknowledges and agrees that, for twelve (12) months after the last day of his/her</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with the Company, he/she will not, directly or indirectly, engage in, provide, or perform any Executive Services on behalf of any person or entity (or in the case of an entity that is organized into divisions or units, any distinct division or operating unit of such entity) in the Territory (as defined in Section 4(k)(vii) below) that derives income from providing goods or services substantially similar to those which comprise the Company’s Business.</w:t>
      </w:r>
    </w:p>
    <w:p>
      <w:pPr>
        <w:spacing w:after="0" w:line="43" w:lineRule="exact"/>
        <w:rPr>
          <w:rFonts w:ascii="Arial" w:cs="Arial" w:eastAsia="Arial" w:hAnsi="Arial"/>
          <w:sz w:val="18"/>
          <w:szCs w:val="18"/>
          <w:color w:val="auto"/>
        </w:rPr>
      </w:pPr>
    </w:p>
    <w:p>
      <w:pPr>
        <w:jc w:val="both"/>
        <w:ind w:firstLine="644"/>
        <w:spacing w:after="0" w:line="246" w:lineRule="auto"/>
        <w:tabs>
          <w:tab w:leader="none" w:pos="1506" w:val="left"/>
        </w:tabs>
        <w:numPr>
          <w:ilvl w:val="0"/>
          <w:numId w:val="133"/>
        </w:numPr>
        <w:rPr>
          <w:rFonts w:ascii="Arial" w:cs="Arial" w:eastAsia="Arial" w:hAnsi="Arial"/>
          <w:sz w:val="18"/>
          <w:szCs w:val="18"/>
          <w:color w:val="auto"/>
        </w:rPr>
      </w:pPr>
      <w:r>
        <w:rPr>
          <w:rFonts w:ascii="Arial" w:cs="Arial" w:eastAsia="Arial" w:hAnsi="Arial"/>
          <w:sz w:val="20"/>
          <w:szCs w:val="20"/>
          <w:b w:val="1"/>
          <w:bCs w:val="1"/>
          <w:color w:val="auto"/>
        </w:rPr>
        <w:t xml:space="preserve">Non-Solicitation of Customers and Sales Agents. </w:t>
      </w:r>
      <w:r>
        <w:rPr>
          <w:rFonts w:ascii="Arial" w:cs="Arial" w:eastAsia="Arial" w:hAnsi="Arial"/>
          <w:sz w:val="20"/>
          <w:szCs w:val="20"/>
          <w:color w:val="auto"/>
        </w:rPr>
        <w:t>Employee acknowledges and agrees that, for</w:t>
      </w:r>
      <w:r>
        <w:rPr>
          <w:rFonts w:ascii="Arial" w:cs="Arial" w:eastAsia="Arial" w:hAnsi="Arial"/>
          <w:sz w:val="20"/>
          <w:szCs w:val="20"/>
          <w:b w:val="1"/>
          <w:bCs w:val="1"/>
          <w:color w:val="auto"/>
        </w:rPr>
        <w:t xml:space="preserve"> twenty</w:t>
      </w:r>
      <w:r>
        <w:rPr>
          <w:rFonts w:ascii="Arial" w:cs="Arial" w:eastAsia="Arial" w:hAnsi="Arial"/>
          <w:sz w:val="20"/>
          <w:szCs w:val="20"/>
          <w:color w:val="auto"/>
        </w:rPr>
        <w:t>-four (24)</w:t>
      </w:r>
      <w:r>
        <w:rPr>
          <w:rFonts w:ascii="Arial" w:cs="Arial" w:eastAsia="Arial" w:hAnsi="Arial"/>
          <w:sz w:val="20"/>
          <w:szCs w:val="20"/>
          <w:b w:val="1"/>
          <w:bCs w:val="1"/>
          <w:color w:val="auto"/>
        </w:rPr>
        <w:t xml:space="preserve"> </w:t>
      </w:r>
      <w:r>
        <w:rPr>
          <w:rFonts w:ascii="Arial" w:cs="Arial" w:eastAsia="Arial" w:hAnsi="Arial"/>
          <w:sz w:val="20"/>
          <w:szCs w:val="20"/>
          <w:color w:val="auto"/>
        </w:rPr>
        <w:t>months after the last day of his/her employment with the Company, Employee will not directly or indirectly solicit Customers (as defined in Section 4(k)(v) below) or Sales Agents (as defined in</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80"/>
          </w:cols>
          <w:pgMar w:left="980" w:top="118"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10(iii)A(88)</w:t>
      </w:r>
    </w:p>
    <w:p>
      <w:pPr>
        <w:spacing w:after="0" w:line="311" w:lineRule="exact"/>
        <w:rPr>
          <w:sz w:val="20"/>
          <w:szCs w:val="20"/>
          <w:color w:val="auto"/>
        </w:rPr>
      </w:pPr>
    </w:p>
    <w:p>
      <w:pPr>
        <w:jc w:val="both"/>
        <w:ind w:left="4"/>
        <w:spacing w:after="0" w:line="234" w:lineRule="auto"/>
        <w:rPr>
          <w:sz w:val="20"/>
          <w:szCs w:val="20"/>
          <w:color w:val="auto"/>
        </w:rPr>
      </w:pPr>
      <w:r>
        <w:rPr>
          <w:rFonts w:ascii="Arial" w:cs="Arial" w:eastAsia="Arial" w:hAnsi="Arial"/>
          <w:sz w:val="20"/>
          <w:szCs w:val="20"/>
          <w:color w:val="auto"/>
        </w:rPr>
        <w:t>Section 4(k)(ix) below) of the Company and its affiliates with whom he/she had Material Contact (as defined in Section 4(k)(viii) below) for the purpose of providing goods and/or services competitive with the Company’s Business. Notwithstanding the foregoing, this Section shall not prevent Employee, during the course of his/her Severance Period, from soliciting a person or entity that has since discontinued all business communications with the Company.</w:t>
      </w:r>
    </w:p>
    <w:p>
      <w:pPr>
        <w:spacing w:after="0" w:line="42" w:lineRule="exact"/>
        <w:rPr>
          <w:sz w:val="20"/>
          <w:szCs w:val="20"/>
          <w:color w:val="auto"/>
        </w:rPr>
      </w:pPr>
    </w:p>
    <w:p>
      <w:pPr>
        <w:jc w:val="both"/>
        <w:ind w:left="4" w:firstLine="644"/>
        <w:spacing w:after="0" w:line="236" w:lineRule="auto"/>
        <w:tabs>
          <w:tab w:leader="none" w:pos="1480" w:val="left"/>
        </w:tabs>
        <w:numPr>
          <w:ilvl w:val="1"/>
          <w:numId w:val="134"/>
        </w:numPr>
        <w:rPr>
          <w:rFonts w:ascii="Arial" w:cs="Arial" w:eastAsia="Arial" w:hAnsi="Arial"/>
          <w:sz w:val="18"/>
          <w:szCs w:val="18"/>
          <w:color w:val="auto"/>
        </w:rPr>
      </w:pPr>
      <w:r>
        <w:rPr>
          <w:rFonts w:ascii="Arial" w:cs="Arial" w:eastAsia="Arial" w:hAnsi="Arial"/>
          <w:sz w:val="20"/>
          <w:szCs w:val="20"/>
          <w:b w:val="1"/>
          <w:bCs w:val="1"/>
          <w:color w:val="auto"/>
        </w:rPr>
        <w:t xml:space="preserve">Non-Solicitation of Employees and Agents. </w:t>
      </w:r>
      <w:r>
        <w:rPr>
          <w:rFonts w:ascii="Arial" w:cs="Arial" w:eastAsia="Arial" w:hAnsi="Arial"/>
          <w:sz w:val="20"/>
          <w:szCs w:val="20"/>
          <w:color w:val="auto"/>
        </w:rPr>
        <w:t>Employee acknowledges and agrees that, for twenty-four (24)</w:t>
      </w:r>
      <w:r>
        <w:rPr>
          <w:rFonts w:ascii="Arial" w:cs="Arial" w:eastAsia="Arial" w:hAnsi="Arial"/>
          <w:sz w:val="20"/>
          <w:szCs w:val="20"/>
          <w:b w:val="1"/>
          <w:bCs w:val="1"/>
          <w:color w:val="auto"/>
        </w:rPr>
        <w:t xml:space="preserve"> </w:t>
      </w:r>
      <w:r>
        <w:rPr>
          <w:rFonts w:ascii="Arial" w:cs="Arial" w:eastAsia="Arial" w:hAnsi="Arial"/>
          <w:sz w:val="20"/>
          <w:szCs w:val="20"/>
          <w:color w:val="auto"/>
        </w:rPr>
        <w:t>months after the last day of his/her employment with the Company, Employee will not, directly or indirectly, whether on behalf of Employee or others, solicit, lure or attempt to hire away any of the Company’s or its affiliates’ employees or agents. Notwithstanding the foregoing, this Section shall not prevent Employee from soliciting an employee or agent that has since discontinued all business dealings with the Company.</w:t>
      </w:r>
    </w:p>
    <w:p>
      <w:pPr>
        <w:spacing w:after="0" w:line="43" w:lineRule="exact"/>
        <w:rPr>
          <w:rFonts w:ascii="Arial" w:cs="Arial" w:eastAsia="Arial" w:hAnsi="Arial"/>
          <w:sz w:val="18"/>
          <w:szCs w:val="18"/>
          <w:color w:val="auto"/>
        </w:rPr>
      </w:pPr>
    </w:p>
    <w:p>
      <w:pPr>
        <w:jc w:val="both"/>
        <w:ind w:left="4" w:firstLine="644"/>
        <w:spacing w:after="0" w:line="265" w:lineRule="auto"/>
        <w:tabs>
          <w:tab w:leader="none" w:pos="1490" w:val="left"/>
        </w:tabs>
        <w:numPr>
          <w:ilvl w:val="1"/>
          <w:numId w:val="134"/>
        </w:numPr>
        <w:rPr>
          <w:rFonts w:ascii="Arial" w:cs="Arial" w:eastAsia="Arial" w:hAnsi="Arial"/>
          <w:sz w:val="16"/>
          <w:szCs w:val="16"/>
          <w:color w:val="auto"/>
        </w:rPr>
      </w:pPr>
      <w:r>
        <w:rPr>
          <w:rFonts w:ascii="Arial" w:cs="Arial" w:eastAsia="Arial" w:hAnsi="Arial"/>
          <w:sz w:val="18"/>
          <w:szCs w:val="18"/>
          <w:b w:val="1"/>
          <w:bCs w:val="1"/>
          <w:color w:val="auto"/>
        </w:rPr>
        <w:t>Non-Disparagement</w:t>
      </w:r>
      <w:r>
        <w:rPr>
          <w:rFonts w:ascii="Arial" w:cs="Arial" w:eastAsia="Arial" w:hAnsi="Arial"/>
          <w:sz w:val="18"/>
          <w:szCs w:val="18"/>
          <w:color w:val="auto"/>
        </w:rPr>
        <w:t>: Employee agrees that he/she will not make any disparaging statements or comments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or entity by any medium, whether oral or written, about Employer, any of its affiliates or any of its respective officers, directors, employees, shareholders, agents, representatives or independent contractors. Nor shall Employee communicate to any person or entity by any medium, whether oral or written, any information harmful or adverse to Employer, any of its affiliates or any of its respective officers, directors, employees, shareholders, agents, representatives or independent contractors. Nothing in this section shall prevent Employee from providing truthful testimony pursuant to a lawful subpoena or other court order.</w:t>
      </w:r>
    </w:p>
    <w:p>
      <w:pPr>
        <w:spacing w:after="0" w:line="19" w:lineRule="exact"/>
        <w:rPr>
          <w:rFonts w:ascii="Arial" w:cs="Arial" w:eastAsia="Arial" w:hAnsi="Arial"/>
          <w:sz w:val="16"/>
          <w:szCs w:val="16"/>
          <w:color w:val="auto"/>
        </w:rPr>
      </w:pPr>
    </w:p>
    <w:p>
      <w:pPr>
        <w:jc w:val="both"/>
        <w:ind w:left="4" w:firstLine="644"/>
        <w:spacing w:after="0" w:line="246" w:lineRule="auto"/>
        <w:tabs>
          <w:tab w:leader="none" w:pos="1470" w:val="left"/>
        </w:tabs>
        <w:numPr>
          <w:ilvl w:val="1"/>
          <w:numId w:val="134"/>
        </w:numPr>
        <w:rPr>
          <w:rFonts w:ascii="Arial" w:cs="Arial" w:eastAsia="Arial" w:hAnsi="Arial"/>
          <w:sz w:val="17"/>
          <w:szCs w:val="17"/>
          <w:color w:val="auto"/>
        </w:rPr>
      </w:pPr>
      <w:r>
        <w:rPr>
          <w:rFonts w:ascii="Arial" w:cs="Arial" w:eastAsia="Arial" w:hAnsi="Arial"/>
          <w:sz w:val="19"/>
          <w:szCs w:val="19"/>
          <w:b w:val="1"/>
          <w:bCs w:val="1"/>
          <w:color w:val="auto"/>
        </w:rPr>
        <w:t xml:space="preserve">Injunctive Relief. </w:t>
      </w:r>
      <w:r>
        <w:rPr>
          <w:rFonts w:ascii="Arial" w:cs="Arial" w:eastAsia="Arial" w:hAnsi="Arial"/>
          <w:sz w:val="19"/>
          <w:szCs w:val="19"/>
          <w:color w:val="auto"/>
        </w:rPr>
        <w:t>Employee acknowledges that if he/she breaches or threatens to breach any of the provisions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Section 4, his/her actions may cause irreparable harm and damage to the Protected Parties which could not be compensated in damages. Accordingly, if Employee breaches or threatens to breach any of the provisions of this Section 4, the Company (or, if applicable, the Protected Parties) shall be entitled to seek injunctive relief, in addition to any other rights or remedies the Company (or, if applicable, the Protected Parties) may have. The existence of any claim or cause of action by Employee against the Company, whether predicated on this Agreement or otherwise, shall not constitute a defense to the enforcement by the Company (or, if applicable, the Protected Parties) of Employee’s agreements under this Section 4.</w:t>
      </w:r>
    </w:p>
    <w:p>
      <w:pPr>
        <w:spacing w:after="0" w:line="38" w:lineRule="exact"/>
        <w:rPr>
          <w:rFonts w:ascii="Arial" w:cs="Arial" w:eastAsia="Arial" w:hAnsi="Arial"/>
          <w:sz w:val="17"/>
          <w:szCs w:val="17"/>
          <w:color w:val="auto"/>
        </w:rPr>
      </w:pPr>
    </w:p>
    <w:p>
      <w:pPr>
        <w:jc w:val="both"/>
        <w:ind w:left="4" w:firstLine="644"/>
        <w:spacing w:after="0" w:line="236" w:lineRule="auto"/>
        <w:tabs>
          <w:tab w:leader="none" w:pos="1510" w:val="left"/>
        </w:tabs>
        <w:numPr>
          <w:ilvl w:val="1"/>
          <w:numId w:val="134"/>
        </w:numPr>
        <w:rPr>
          <w:rFonts w:ascii="Arial" w:cs="Arial" w:eastAsia="Arial" w:hAnsi="Arial"/>
          <w:sz w:val="18"/>
          <w:szCs w:val="18"/>
          <w:color w:val="auto"/>
        </w:rPr>
      </w:pPr>
      <w:r>
        <w:rPr>
          <w:rFonts w:ascii="Arial" w:cs="Arial" w:eastAsia="Arial" w:hAnsi="Arial"/>
          <w:sz w:val="20"/>
          <w:szCs w:val="20"/>
          <w:b w:val="1"/>
          <w:bCs w:val="1"/>
          <w:color w:val="auto"/>
        </w:rPr>
        <w:t xml:space="preserve">Provisions Severable. </w:t>
      </w:r>
      <w:r>
        <w:rPr>
          <w:rFonts w:ascii="Arial" w:cs="Arial" w:eastAsia="Arial" w:hAnsi="Arial"/>
          <w:sz w:val="20"/>
          <w:szCs w:val="20"/>
          <w:color w:val="auto"/>
        </w:rPr>
        <w:t>If any provision in this Section 4 is determined to be in violation of any law, rule or</w:t>
      </w:r>
      <w:r>
        <w:rPr>
          <w:rFonts w:ascii="Arial" w:cs="Arial" w:eastAsia="Arial" w:hAnsi="Arial"/>
          <w:sz w:val="20"/>
          <w:szCs w:val="20"/>
          <w:b w:val="1"/>
          <w:bCs w:val="1"/>
          <w:color w:val="auto"/>
        </w:rPr>
        <w:t xml:space="preserve"> </w:t>
      </w:r>
      <w:r>
        <w:rPr>
          <w:rFonts w:ascii="Arial" w:cs="Arial" w:eastAsia="Arial" w:hAnsi="Arial"/>
          <w:sz w:val="20"/>
          <w:szCs w:val="20"/>
          <w:color w:val="auto"/>
        </w:rPr>
        <w:t>regulation or otherwise unenforceable, and cannot be modified to be enforceable, such determination shall not affect the validity of any other provisions of this Agreement, but such other provisions shall remain in full force and effect. Each and every provision, paragraph and subparagraph of this Section 4 is severable from the other provisions, paragraphs and subparagraphs and constitutes a separate and distinct covenant.</w:t>
      </w:r>
    </w:p>
    <w:p>
      <w:pPr>
        <w:spacing w:after="0" w:line="43" w:lineRule="exact"/>
        <w:rPr>
          <w:rFonts w:ascii="Arial" w:cs="Arial" w:eastAsia="Arial" w:hAnsi="Arial"/>
          <w:sz w:val="18"/>
          <w:szCs w:val="18"/>
          <w:color w:val="auto"/>
        </w:rPr>
      </w:pPr>
    </w:p>
    <w:p>
      <w:pPr>
        <w:ind w:left="1504" w:hanging="856"/>
        <w:spacing w:after="0"/>
        <w:tabs>
          <w:tab w:leader="none" w:pos="1504" w:val="left"/>
        </w:tabs>
        <w:numPr>
          <w:ilvl w:val="1"/>
          <w:numId w:val="134"/>
        </w:numPr>
        <w:rPr>
          <w:rFonts w:ascii="Arial" w:cs="Arial" w:eastAsia="Arial" w:hAnsi="Arial"/>
          <w:sz w:val="18"/>
          <w:szCs w:val="18"/>
          <w:color w:val="auto"/>
        </w:rPr>
      </w:pPr>
      <w:r>
        <w:rPr>
          <w:rFonts w:ascii="Arial" w:cs="Arial" w:eastAsia="Arial" w:hAnsi="Arial"/>
          <w:sz w:val="20"/>
          <w:szCs w:val="20"/>
          <w:b w:val="1"/>
          <w:bCs w:val="1"/>
          <w:color w:val="auto"/>
        </w:rPr>
        <w:t>Definitions:</w:t>
      </w:r>
    </w:p>
    <w:p>
      <w:pPr>
        <w:spacing w:after="0" w:line="86" w:lineRule="exact"/>
        <w:rPr>
          <w:rFonts w:ascii="Arial" w:cs="Arial" w:eastAsia="Arial" w:hAnsi="Arial"/>
          <w:sz w:val="18"/>
          <w:szCs w:val="18"/>
          <w:color w:val="auto"/>
        </w:rPr>
      </w:pPr>
    </w:p>
    <w:p>
      <w:pPr>
        <w:ind w:left="2044" w:hanging="748"/>
        <w:spacing w:after="0"/>
        <w:tabs>
          <w:tab w:leader="none" w:pos="2044" w:val="left"/>
        </w:tabs>
        <w:numPr>
          <w:ilvl w:val="2"/>
          <w:numId w:val="134"/>
        </w:numPr>
        <w:rPr>
          <w:rFonts w:ascii="Arial" w:cs="Arial" w:eastAsia="Arial" w:hAnsi="Arial"/>
          <w:sz w:val="18"/>
          <w:szCs w:val="18"/>
          <w:color w:val="auto"/>
        </w:rPr>
      </w:pPr>
      <w:r>
        <w:rPr>
          <w:rFonts w:ascii="Arial" w:cs="Arial" w:eastAsia="Arial" w:hAnsi="Arial"/>
          <w:sz w:val="20"/>
          <w:szCs w:val="20"/>
          <w:color w:val="auto"/>
        </w:rPr>
        <w:t>Confidential Information” means:</w:t>
      </w:r>
    </w:p>
    <w:p>
      <w:pPr>
        <w:spacing w:after="0" w:line="80" w:lineRule="exact"/>
        <w:rPr>
          <w:rFonts w:ascii="Arial" w:cs="Arial" w:eastAsia="Arial" w:hAnsi="Arial"/>
          <w:sz w:val="18"/>
          <w:szCs w:val="18"/>
          <w:color w:val="auto"/>
        </w:rPr>
      </w:pPr>
    </w:p>
    <w:p>
      <w:pPr>
        <w:jc w:val="both"/>
        <w:ind w:left="4" w:firstLine="1940"/>
        <w:spacing w:after="0" w:line="254" w:lineRule="auto"/>
        <w:tabs>
          <w:tab w:leader="none" w:pos="2731" w:val="left"/>
        </w:tabs>
        <w:numPr>
          <w:ilvl w:val="3"/>
          <w:numId w:val="134"/>
        </w:numPr>
        <w:rPr>
          <w:rFonts w:ascii="Arial" w:cs="Arial" w:eastAsia="Arial" w:hAnsi="Arial"/>
          <w:sz w:val="16"/>
          <w:szCs w:val="16"/>
          <w:color w:val="auto"/>
        </w:rPr>
      </w:pPr>
      <w:r>
        <w:rPr>
          <w:rFonts w:ascii="Arial" w:cs="Arial" w:eastAsia="Arial" w:hAnsi="Arial"/>
          <w:sz w:val="18"/>
          <w:szCs w:val="18"/>
          <w:color w:val="auto"/>
        </w:rPr>
        <w:t>Data and information relating to the Company’s Business; disclosed to Employee or of which Employee became aware of as a consequence of Employee’s relationship with the Company; having value to the employer; not generally known to the competitors for the employer; and which includes trade secrets, methods of operation, names of customers, price lists, financial information and projections, route books, personnel data, and similar information. For purposes of this Agreement, subject to the foregoing, and according to terminology commonly used by the Company, the Company’s Confidential Information shall include, but not be limited to, information pertaining to: (1) Business Opportunities (as defined below); (2) data and compilations of data relating to the Company’s Business; (3) compilations of information about, and communications and agreements with, customers and potential customers of the Company; (4) computer software, hardware, network and internet technology utilized, modified or enhanced by the Company or by Employee in furtherance of Employee’s duties with the Company;</w:t>
      </w:r>
    </w:p>
    <w:p>
      <w:pPr>
        <w:spacing w:after="0" w:line="1" w:lineRule="exact"/>
        <w:rPr>
          <w:rFonts w:ascii="Arial" w:cs="Arial" w:eastAsia="Arial" w:hAnsi="Arial"/>
          <w:sz w:val="16"/>
          <w:szCs w:val="16"/>
          <w:color w:val="auto"/>
        </w:rPr>
      </w:pPr>
    </w:p>
    <w:p>
      <w:pPr>
        <w:jc w:val="both"/>
        <w:ind w:left="4" w:hanging="4"/>
        <w:spacing w:after="0" w:line="229" w:lineRule="auto"/>
        <w:tabs>
          <w:tab w:leader="none" w:pos="291" w:val="left"/>
        </w:tabs>
        <w:numPr>
          <w:ilvl w:val="0"/>
          <w:numId w:val="135"/>
        </w:numPr>
        <w:rPr>
          <w:rFonts w:ascii="Arial" w:cs="Arial" w:eastAsia="Arial" w:hAnsi="Arial"/>
          <w:sz w:val="20"/>
          <w:szCs w:val="20"/>
          <w:color w:val="auto"/>
        </w:rPr>
      </w:pPr>
      <w:r>
        <w:rPr>
          <w:rFonts w:ascii="Arial" w:cs="Arial" w:eastAsia="Arial" w:hAnsi="Arial"/>
          <w:sz w:val="20"/>
          <w:szCs w:val="20"/>
          <w:color w:val="auto"/>
        </w:rPr>
        <w:t>compilations of data concerning Company products, services, customers, and end users including but not limited to compilations concerning projected sales, new project timelines, inventory reports, sales, and cost and expense reports; (6) compilations of information about the Company’s employees and independent contracting consultants; (7) the Company’s financial information, including, without limitation, amounts charged to customers and amounts charged to the Company by its vendors, suppliers, and service providers; (8) proposals submitted to the</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84"/>
          </w:cols>
          <w:pgMar w:left="976" w:top="118" w:right="339" w:bottom="1440" w:gutter="0" w:footer="0" w:header="0"/>
        </w:sectPr>
      </w:pPr>
    </w:p>
    <w:bookmarkStart w:id="167" w:name="page168"/>
    <w:bookmarkEnd w:id="167"/>
    <w:p>
      <w:pPr>
        <w:ind w:left="9680"/>
        <w:spacing w:after="0"/>
        <w:rPr>
          <w:sz w:val="20"/>
          <w:szCs w:val="20"/>
          <w:color w:val="auto"/>
        </w:rPr>
      </w:pPr>
      <w:r>
        <w:rPr>
          <w:rFonts w:ascii="Arial" w:cs="Arial" w:eastAsia="Arial" w:hAnsi="Arial"/>
          <w:sz w:val="17"/>
          <w:szCs w:val="17"/>
          <w:b w:val="1"/>
          <w:bCs w:val="1"/>
          <w:color w:val="auto"/>
        </w:rPr>
        <w:t>Exhibit 10(iii)A(88)</w:t>
      </w:r>
    </w:p>
    <w:p>
      <w:pPr>
        <w:spacing w:after="0" w:line="323"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Company’s customers, potential customers, wholesalers, distributors, vendors, suppliers and service providers; (9) the Company’s marketing strategies and compilations of marketing data; (10) compilations of data or information concerning, and communications and agreements with, vendors, suppliers and licensors to the Company and other sources of technology, products, services or components used in the Company’s Business; (11) any information concerning services requested and services performed on behalf of customers of the Company, including planned products or services; and (12) the Company’s research and development records and data. Confidential Information also includes any summary, extract or analysis of such information together with information that has been received or disclosed to the Company by any third party as to which the Company has an obligation to treat as confidential.</w:t>
      </w:r>
    </w:p>
    <w:p>
      <w:pPr>
        <w:spacing w:after="0" w:line="35" w:lineRule="exact"/>
        <w:rPr>
          <w:sz w:val="20"/>
          <w:szCs w:val="20"/>
          <w:color w:val="auto"/>
        </w:rPr>
      </w:pPr>
    </w:p>
    <w:p>
      <w:pPr>
        <w:ind w:left="3380" w:hanging="780"/>
        <w:spacing w:after="0"/>
        <w:tabs>
          <w:tab w:leader="none" w:pos="3380" w:val="left"/>
        </w:tabs>
        <w:numPr>
          <w:ilvl w:val="0"/>
          <w:numId w:val="136"/>
        </w:numPr>
        <w:rPr>
          <w:rFonts w:ascii="Arial" w:cs="Arial" w:eastAsia="Arial" w:hAnsi="Arial"/>
          <w:sz w:val="18"/>
          <w:szCs w:val="18"/>
          <w:color w:val="auto"/>
        </w:rPr>
      </w:pPr>
      <w:r>
        <w:rPr>
          <w:rFonts w:ascii="Arial" w:cs="Arial" w:eastAsia="Arial" w:hAnsi="Arial"/>
          <w:sz w:val="20"/>
          <w:szCs w:val="20"/>
          <w:color w:val="auto"/>
        </w:rPr>
        <w:t>Confidential Information shall not include:</w:t>
      </w:r>
    </w:p>
    <w:p>
      <w:pPr>
        <w:spacing w:after="0" w:line="80" w:lineRule="exact"/>
        <w:rPr>
          <w:rFonts w:ascii="Arial" w:cs="Arial" w:eastAsia="Arial" w:hAnsi="Arial"/>
          <w:sz w:val="18"/>
          <w:szCs w:val="18"/>
          <w:color w:val="auto"/>
        </w:rPr>
      </w:pPr>
    </w:p>
    <w:p>
      <w:pPr>
        <w:ind w:left="4000" w:hanging="752"/>
        <w:spacing w:after="0"/>
        <w:tabs>
          <w:tab w:leader="none" w:pos="4000" w:val="left"/>
        </w:tabs>
        <w:numPr>
          <w:ilvl w:val="1"/>
          <w:numId w:val="136"/>
        </w:numPr>
        <w:rPr>
          <w:rFonts w:ascii="Arial" w:cs="Arial" w:eastAsia="Arial" w:hAnsi="Arial"/>
          <w:sz w:val="16"/>
          <w:szCs w:val="16"/>
          <w:color w:val="auto"/>
        </w:rPr>
      </w:pPr>
      <w:r>
        <w:rPr>
          <w:rFonts w:ascii="Arial" w:cs="Arial" w:eastAsia="Arial" w:hAnsi="Arial"/>
          <w:sz w:val="18"/>
          <w:szCs w:val="18"/>
          <w:color w:val="auto"/>
        </w:rPr>
        <w:t>Information generally available to the public other than as a result of improper disclosure</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by Employee;</w:t>
      </w:r>
    </w:p>
    <w:p>
      <w:pPr>
        <w:spacing w:after="0" w:line="51" w:lineRule="exact"/>
        <w:rPr>
          <w:sz w:val="20"/>
          <w:szCs w:val="20"/>
          <w:color w:val="auto"/>
        </w:rPr>
      </w:pPr>
    </w:p>
    <w:p>
      <w:pPr>
        <w:ind w:left="660" w:right="20" w:firstLine="2588"/>
        <w:spacing w:after="0" w:line="305" w:lineRule="auto"/>
        <w:tabs>
          <w:tab w:leader="none" w:pos="4045" w:val="left"/>
        </w:tabs>
        <w:numPr>
          <w:ilvl w:val="0"/>
          <w:numId w:val="137"/>
        </w:numPr>
        <w:rPr>
          <w:rFonts w:ascii="Arial" w:cs="Arial" w:eastAsia="Arial" w:hAnsi="Arial"/>
          <w:sz w:val="16"/>
          <w:szCs w:val="16"/>
          <w:color w:val="auto"/>
        </w:rPr>
      </w:pPr>
      <w:r>
        <w:rPr>
          <w:rFonts w:ascii="Arial" w:cs="Arial" w:eastAsia="Arial" w:hAnsi="Arial"/>
          <w:sz w:val="18"/>
          <w:szCs w:val="18"/>
          <w:color w:val="auto"/>
        </w:rPr>
        <w:t>Information that becomes available to Employee from a source other than the Company (provided Employee has no knowledge that such information was obtained from a source in breach of a duty to the Company);</w:t>
      </w:r>
    </w:p>
    <w:p>
      <w:pPr>
        <w:ind w:left="4100" w:hanging="852"/>
        <w:spacing w:after="0"/>
        <w:tabs>
          <w:tab w:leader="none" w:pos="4100" w:val="left"/>
        </w:tabs>
        <w:numPr>
          <w:ilvl w:val="0"/>
          <w:numId w:val="137"/>
        </w:numPr>
        <w:rPr>
          <w:rFonts w:ascii="Arial" w:cs="Arial" w:eastAsia="Arial" w:hAnsi="Arial"/>
          <w:sz w:val="16"/>
          <w:szCs w:val="16"/>
          <w:color w:val="auto"/>
        </w:rPr>
      </w:pPr>
      <w:r>
        <w:rPr>
          <w:rFonts w:ascii="Arial" w:cs="Arial" w:eastAsia="Arial" w:hAnsi="Arial"/>
          <w:sz w:val="18"/>
          <w:szCs w:val="18"/>
          <w:color w:val="auto"/>
        </w:rPr>
        <w:t>Information disclosed pursuant to law, regulations or pursuant to a subpoena, court order</w:t>
      </w:r>
    </w:p>
    <w:p>
      <w:pPr>
        <w:spacing w:after="0" w:line="3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or legal process; and/or</w:t>
      </w:r>
    </w:p>
    <w:p>
      <w:pPr>
        <w:spacing w:after="0" w:line="51" w:lineRule="exact"/>
        <w:rPr>
          <w:rFonts w:ascii="Arial" w:cs="Arial" w:eastAsia="Arial" w:hAnsi="Arial"/>
          <w:sz w:val="16"/>
          <w:szCs w:val="16"/>
          <w:color w:val="auto"/>
        </w:rPr>
      </w:pPr>
    </w:p>
    <w:p>
      <w:pPr>
        <w:ind w:left="4060" w:hanging="812"/>
        <w:spacing w:after="0"/>
        <w:tabs>
          <w:tab w:leader="none" w:pos="4060" w:val="left"/>
        </w:tabs>
        <w:numPr>
          <w:ilvl w:val="0"/>
          <w:numId w:val="137"/>
        </w:numPr>
        <w:rPr>
          <w:rFonts w:ascii="Arial" w:cs="Arial" w:eastAsia="Arial" w:hAnsi="Arial"/>
          <w:sz w:val="18"/>
          <w:szCs w:val="18"/>
          <w:color w:val="auto"/>
        </w:rPr>
      </w:pPr>
      <w:r>
        <w:rPr>
          <w:rFonts w:ascii="Arial" w:cs="Arial" w:eastAsia="Arial" w:hAnsi="Arial"/>
          <w:sz w:val="20"/>
          <w:szCs w:val="20"/>
          <w:color w:val="auto"/>
        </w:rPr>
        <w:t>Information obtained in filings with the Securities and Exchange Commission.</w:t>
      </w:r>
    </w:p>
    <w:p>
      <w:pPr>
        <w:sectPr>
          <w:pgSz w:w="11900" w:h="16838" w:orient="portrait"/>
          <w:cols w:equalWidth="0" w:num="1">
            <w:col w:w="11240"/>
          </w:cols>
          <w:pgMar w:left="320" w:top="118" w:right="339" w:bottom="1440" w:gutter="0" w:footer="0" w:header="0"/>
        </w:sectPr>
      </w:pP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10-1-760, </w:t>
      </w:r>
      <w:r>
        <w:rPr>
          <w:rFonts w:ascii="Arial" w:cs="Arial" w:eastAsia="Arial" w:hAnsi="Arial"/>
          <w:sz w:val="20"/>
          <w:szCs w:val="20"/>
          <w:i w:val="1"/>
          <w:iCs w:val="1"/>
          <w:color w:val="auto"/>
        </w:rPr>
        <w:t>et seq</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“Trade Secrets” means Confidential Information constituting a trade secret under Georgia Law, O.C.G.A.</w:t>
      </w:r>
    </w:p>
    <w:p>
      <w:pPr>
        <w:spacing w:after="0" w:line="319" w:lineRule="exact"/>
        <w:rPr>
          <w:sz w:val="20"/>
          <w:szCs w:val="20"/>
          <w:color w:val="auto"/>
        </w:rPr>
      </w:pPr>
    </w:p>
    <w:p>
      <w:pPr>
        <w:sectPr>
          <w:pgSz w:w="11900" w:h="16838" w:orient="portrait"/>
          <w:cols w:equalWidth="0" w:num="2">
            <w:col w:w="2100" w:space="640"/>
            <w:col w:w="8500"/>
          </w:cols>
          <w:pgMar w:left="320" w:top="118" w:right="339" w:bottom="1440" w:gutter="0" w:footer="0" w:header="0"/>
          <w:type w:val="continuous"/>
        </w:sectPr>
      </w:pPr>
    </w:p>
    <w:p>
      <w:pPr>
        <w:jc w:val="both"/>
        <w:ind w:firstLine="1952"/>
        <w:spacing w:after="0" w:line="231" w:lineRule="auto"/>
        <w:tabs>
          <w:tab w:leader="none" w:pos="2787" w:val="left"/>
        </w:tabs>
        <w:numPr>
          <w:ilvl w:val="0"/>
          <w:numId w:val="138"/>
        </w:numPr>
        <w:rPr>
          <w:rFonts w:ascii="Arial" w:cs="Arial" w:eastAsia="Arial" w:hAnsi="Arial"/>
          <w:sz w:val="18"/>
          <w:szCs w:val="18"/>
          <w:color w:val="auto"/>
        </w:rPr>
      </w:pPr>
      <w:r>
        <w:rPr>
          <w:rFonts w:ascii="Arial" w:cs="Arial" w:eastAsia="Arial" w:hAnsi="Arial"/>
          <w:sz w:val="20"/>
          <w:szCs w:val="20"/>
          <w:color w:val="auto"/>
        </w:rPr>
        <w:t>“Executive Services” shall mean the duties and services the Employee performed in his/her executive capacity on behalf of the Company, including anything of the type conducted, authorized, offered, or provided by the Employee in his/her Executive Capacity, within twelve (12) months prior the start of the Severance Period. Employee acknowledges that through the Company’s investment of time, training, money, trust, exposure to the public or exposure to customers, vendors or other business relationships during the course of Employee’s employment with the Company, Employee was an employee who gained a degree of notoriety, fame, reputation as the Company’s representative, as well as a degree of influence or credibility with the employer’s customers, vendors, or other business relationships and is intimately involved in the planning for the direction of the Company’s business or a defined unit of the business of the Company.</w:t>
      </w:r>
    </w:p>
    <w:p>
      <w:pPr>
        <w:spacing w:after="0" w:line="348" w:lineRule="exact"/>
        <w:rPr>
          <w:rFonts w:ascii="Arial" w:cs="Arial" w:eastAsia="Arial" w:hAnsi="Arial"/>
          <w:sz w:val="18"/>
          <w:szCs w:val="18"/>
          <w:color w:val="auto"/>
        </w:rPr>
      </w:pPr>
    </w:p>
    <w:p>
      <w:pPr>
        <w:jc w:val="both"/>
        <w:ind w:firstLine="1952"/>
        <w:spacing w:after="0" w:line="253" w:lineRule="auto"/>
        <w:tabs>
          <w:tab w:leader="none" w:pos="2765" w:val="left"/>
        </w:tabs>
        <w:numPr>
          <w:ilvl w:val="0"/>
          <w:numId w:val="138"/>
        </w:numPr>
        <w:rPr>
          <w:rFonts w:ascii="Arial" w:cs="Arial" w:eastAsia="Arial" w:hAnsi="Arial"/>
          <w:sz w:val="17"/>
          <w:szCs w:val="17"/>
          <w:color w:val="auto"/>
        </w:rPr>
      </w:pPr>
      <w:r>
        <w:rPr>
          <w:rFonts w:ascii="Arial" w:cs="Arial" w:eastAsia="Arial" w:hAnsi="Arial"/>
          <w:sz w:val="19"/>
          <w:szCs w:val="19"/>
          <w:color w:val="auto"/>
        </w:rPr>
        <w:t>“Inventions” means contributions, discoveries, improvements and ideas and works of authorship, whether or not patentable or copyrightable, and: (i) which relate directly to the business of the Company, or (ii) which result from any work performed by Employee or by Employee’s fellow employees for the Company, or (iii) for which equipment, supplies, facilities, Confidential Information or Trade Secrets of the Protected Parties are used, or (iv) which was developed on the Company’s time.</w:t>
      </w:r>
    </w:p>
    <w:p>
      <w:pPr>
        <w:spacing w:after="0" w:line="37" w:lineRule="exact"/>
        <w:rPr>
          <w:rFonts w:ascii="Arial" w:cs="Arial" w:eastAsia="Arial" w:hAnsi="Arial"/>
          <w:sz w:val="17"/>
          <w:szCs w:val="17"/>
          <w:color w:val="auto"/>
        </w:rPr>
      </w:pPr>
    </w:p>
    <w:p>
      <w:pPr>
        <w:jc w:val="both"/>
        <w:ind w:firstLine="1952"/>
        <w:spacing w:after="0" w:line="235" w:lineRule="auto"/>
        <w:tabs>
          <w:tab w:leader="none" w:pos="2715" w:val="left"/>
        </w:tabs>
        <w:numPr>
          <w:ilvl w:val="0"/>
          <w:numId w:val="138"/>
        </w:numPr>
        <w:rPr>
          <w:rFonts w:ascii="Arial" w:cs="Arial" w:eastAsia="Arial" w:hAnsi="Arial"/>
          <w:sz w:val="18"/>
          <w:szCs w:val="18"/>
          <w:color w:val="auto"/>
        </w:rPr>
      </w:pPr>
      <w:r>
        <w:rPr>
          <w:rFonts w:ascii="Arial" w:cs="Arial" w:eastAsia="Arial" w:hAnsi="Arial"/>
          <w:sz w:val="20"/>
          <w:szCs w:val="20"/>
          <w:color w:val="auto"/>
        </w:rPr>
        <w:t>“Customers” means those entities and/or individuals who are customers of Company and/or its affiliates with respect to which, within the two-year period preceding the start of the Severance Period: (i) Employee had Material Contact on behalf of the Company; (ii) Employee acquired, directly or indirectly, Confidential Information or Trade Secrets as a result of his employment with the Company; and/or (iii) Employee exercised oversight or responsibility of subordinates who engaged in Material Contact on behalf of the Company.</w:t>
      </w:r>
    </w:p>
    <w:p>
      <w:pPr>
        <w:spacing w:after="0" w:line="42" w:lineRule="exact"/>
        <w:rPr>
          <w:rFonts w:ascii="Arial" w:cs="Arial" w:eastAsia="Arial" w:hAnsi="Arial"/>
          <w:sz w:val="18"/>
          <w:szCs w:val="18"/>
          <w:color w:val="auto"/>
        </w:rPr>
      </w:pPr>
    </w:p>
    <w:p>
      <w:pPr>
        <w:jc w:val="both"/>
        <w:ind w:firstLine="1952"/>
        <w:spacing w:after="0" w:line="262" w:lineRule="auto"/>
        <w:tabs>
          <w:tab w:leader="none" w:pos="2777" w:val="left"/>
        </w:tabs>
        <w:numPr>
          <w:ilvl w:val="0"/>
          <w:numId w:val="138"/>
        </w:numPr>
        <w:rPr>
          <w:rFonts w:ascii="Arial" w:cs="Arial" w:eastAsia="Arial" w:hAnsi="Arial"/>
          <w:sz w:val="16"/>
          <w:szCs w:val="16"/>
          <w:color w:val="auto"/>
        </w:rPr>
      </w:pPr>
      <w:r>
        <w:rPr>
          <w:rFonts w:ascii="Arial" w:cs="Arial" w:eastAsia="Arial" w:hAnsi="Arial"/>
          <w:sz w:val="18"/>
          <w:szCs w:val="18"/>
          <w:b w:val="1"/>
          <w:bCs w:val="1"/>
          <w:color w:val="auto"/>
        </w:rPr>
        <w:t xml:space="preserve">[To be updated as the business evolves during Executive’s tenure with the Company:] </w:t>
      </w:r>
      <w:r>
        <w:rPr>
          <w:rFonts w:ascii="Arial" w:cs="Arial" w:eastAsia="Arial" w:hAnsi="Arial"/>
          <w:sz w:val="18"/>
          <w:szCs w:val="18"/>
          <w:color w:val="auto"/>
        </w:rPr>
        <w:t>“Company’s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means the design, manufacture, installation, servicing, and/or sale of one or more of the following and any related products and/or services: lighting fixtures and systems; lighting control components and systems (including but not limited to dimmers, switches, relays, programmable lighting controllers, sensors, timers, and range extenders for lighting and energy management and other purposes); building management and/or control systems; commercial building lighting controls; intelligent building automation and energy management technologies, products, software and solutions with respect to HVAC systems and HVAC controls and sensors; motorized shading and blind controls; building security and access control and monitoring for fire and life safety; emergency lighting</w:t>
      </w:r>
    </w:p>
    <w:p>
      <w:pPr>
        <w:spacing w:after="0" w:line="168"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18" w:right="339" w:bottom="1440" w:gutter="0" w:footer="0" w:header="0"/>
          <w:type w:val="continuous"/>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10(iii)A(88)</w:t>
      </w:r>
    </w:p>
    <w:p>
      <w:pPr>
        <w:spacing w:after="0" w:line="311"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fixtures and systems (including but not limited to exit signs, emergency light units, inverters, back-up power battery packs, and combinations thereof); battery powered and/or photovoltaic lighting fixtures; electric lighting track units; hardware for mounting and hanging electrical lighting fixtures; aluminum, steel and fiberglass fixture poles for electric lighting; light fixture lenses; sound and electromagnetic wave receivers and transmitters; flexible and modular wiring systems and components (namely, flexible branch circuits, attachment plugs, receptacles, connectors and fittings); LED drivers and other power supplies; daylighting systems including but not limited to prismatic skylighting and related controls; organic LED products and technology; medical and patient care lighting devices and systems; indoor positioning products and technology; sensor based information networks; distributed software services; and any wired or wireless communications and monitoring hardware or software related to any of the above.</w:t>
      </w:r>
    </w:p>
    <w:p>
      <w:pPr>
        <w:spacing w:after="0" w:line="41" w:lineRule="exact"/>
        <w:rPr>
          <w:sz w:val="20"/>
          <w:szCs w:val="20"/>
          <w:color w:val="auto"/>
        </w:rPr>
      </w:pPr>
    </w:p>
    <w:p>
      <w:pPr>
        <w:jc w:val="both"/>
        <w:ind w:firstLine="1952"/>
        <w:spacing w:after="0" w:line="259" w:lineRule="auto"/>
        <w:tabs>
          <w:tab w:leader="none" w:pos="2827" w:val="left"/>
        </w:tabs>
        <w:numPr>
          <w:ilvl w:val="0"/>
          <w:numId w:val="139"/>
        </w:numPr>
        <w:rPr>
          <w:rFonts w:ascii="Arial" w:cs="Arial" w:eastAsia="Arial" w:hAnsi="Arial"/>
          <w:sz w:val="16"/>
          <w:szCs w:val="16"/>
          <w:color w:val="auto"/>
        </w:rPr>
      </w:pPr>
      <w:r>
        <w:rPr>
          <w:rFonts w:ascii="Arial" w:cs="Arial" w:eastAsia="Arial" w:hAnsi="Arial"/>
          <w:sz w:val="18"/>
          <w:szCs w:val="18"/>
          <w:b w:val="1"/>
          <w:bCs w:val="1"/>
          <w:color w:val="auto"/>
        </w:rPr>
        <w:t xml:space="preserve">[To be updated based on the scope of geography for which Executive worked while at the Company:] </w:t>
      </w:r>
      <w:r>
        <w:rPr>
          <w:rFonts w:ascii="Arial" w:cs="Arial" w:eastAsia="Arial" w:hAnsi="Arial"/>
          <w:sz w:val="18"/>
          <w:szCs w:val="18"/>
          <w:color w:val="auto"/>
        </w:rPr>
        <w:t>“Territory” means ___________________. Employee acknowledges that the Company is licensed to do business and in fact</w:t>
      </w:r>
      <w:r>
        <w:rPr>
          <w:rFonts w:ascii="Arial" w:cs="Arial" w:eastAsia="Arial" w:hAnsi="Arial"/>
          <w:sz w:val="18"/>
          <w:szCs w:val="18"/>
          <w:b w:val="1"/>
          <w:bCs w:val="1"/>
          <w:color w:val="auto"/>
        </w:rPr>
        <w:t xml:space="preserve"> </w:t>
      </w:r>
      <w:r>
        <w:rPr>
          <w:rFonts w:ascii="Arial" w:cs="Arial" w:eastAsia="Arial" w:hAnsi="Arial"/>
          <w:sz w:val="18"/>
          <w:szCs w:val="18"/>
          <w:color w:val="auto"/>
        </w:rPr>
        <w:t>does business in all fifty states in the United States and all provinces in Canada. Employee further acknowledges that the services he/she has performed on behalf of the Company and its affiliates, including Executive Services, have been at a senior managerial level and were not limited in their territorial scope to any particular city, state, or region, but instead affected the Company’s activity within the entire United States and Canada. Specifically, Employee provided Executive Services on the Company’s behalf, traveled throughout the United States and Canada to attend Company meetings, visited Company factories and distribution centers, met with Company agents and distributors, and attended trade shows. Accordingly, Employee agrees that these restrictions are reasonable and necessary to protect the Confidential Information, trade secrets, business relationships, and goodwill of the Company.</w:t>
      </w:r>
    </w:p>
    <w:p>
      <w:pPr>
        <w:spacing w:after="0" w:line="34" w:lineRule="exact"/>
        <w:rPr>
          <w:rFonts w:ascii="Arial" w:cs="Arial" w:eastAsia="Arial" w:hAnsi="Arial"/>
          <w:sz w:val="16"/>
          <w:szCs w:val="16"/>
          <w:color w:val="auto"/>
        </w:rPr>
      </w:pPr>
    </w:p>
    <w:p>
      <w:pPr>
        <w:jc w:val="both"/>
        <w:ind w:firstLine="1952"/>
        <w:spacing w:after="0" w:line="247" w:lineRule="auto"/>
        <w:tabs>
          <w:tab w:leader="none" w:pos="2877" w:val="left"/>
        </w:tabs>
        <w:numPr>
          <w:ilvl w:val="0"/>
          <w:numId w:val="139"/>
        </w:numPr>
        <w:rPr>
          <w:rFonts w:ascii="Arial" w:cs="Arial" w:eastAsia="Arial" w:hAnsi="Arial"/>
          <w:sz w:val="17"/>
          <w:szCs w:val="17"/>
          <w:color w:val="auto"/>
        </w:rPr>
      </w:pPr>
      <w:r>
        <w:rPr>
          <w:rFonts w:ascii="Arial" w:cs="Arial" w:eastAsia="Arial" w:hAnsi="Arial"/>
          <w:sz w:val="19"/>
          <w:szCs w:val="19"/>
          <w:color w:val="auto"/>
        </w:rPr>
        <w:t>“Material Contact” shall have the meaning set forth in O.C.G.A. § 13-8-51(10), which includes contact between an employee and each customer or potential customer: with whom or which the employee dealt on behalf of the employer; whose dealings with the employer were coordinated or supervised by the employee; about whom the employee obtained confidential information in the ordinary course of business as a result of such employee’s association with the employer; or who receives products or services authorized by the employer, the sale or provision of which results of resulted in compensation, commissions, or earnings for the employee within two years prior to the date of the start of the Severance Period.</w:t>
      </w:r>
    </w:p>
    <w:p>
      <w:pPr>
        <w:spacing w:after="0" w:line="41" w:lineRule="exact"/>
        <w:rPr>
          <w:rFonts w:ascii="Arial" w:cs="Arial" w:eastAsia="Arial" w:hAnsi="Arial"/>
          <w:sz w:val="17"/>
          <w:szCs w:val="17"/>
          <w:color w:val="auto"/>
        </w:rPr>
      </w:pPr>
    </w:p>
    <w:p>
      <w:pPr>
        <w:jc w:val="both"/>
        <w:ind w:firstLine="1952"/>
        <w:spacing w:after="0" w:line="243" w:lineRule="auto"/>
        <w:tabs>
          <w:tab w:leader="none" w:pos="2777" w:val="left"/>
        </w:tabs>
        <w:numPr>
          <w:ilvl w:val="0"/>
          <w:numId w:val="139"/>
        </w:numPr>
        <w:rPr>
          <w:rFonts w:ascii="Arial" w:cs="Arial" w:eastAsia="Arial" w:hAnsi="Arial"/>
          <w:sz w:val="18"/>
          <w:szCs w:val="18"/>
          <w:color w:val="auto"/>
        </w:rPr>
      </w:pPr>
      <w:r>
        <w:rPr>
          <w:rFonts w:ascii="Arial" w:cs="Arial" w:eastAsia="Arial" w:hAnsi="Arial"/>
          <w:sz w:val="20"/>
          <w:szCs w:val="20"/>
          <w:color w:val="auto"/>
        </w:rPr>
        <w:t>“Sales Agent” is any third-party agency and/or systems integrator, and/or its representatives, with which or whom the Company or its affiliates has contracted for the purpose of facilitating the sale of the Company’s or its affiliates’ products or services during the last two years of Employee’s employment with the Company.</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color w:val="auto"/>
        </w:rPr>
        <w:t>Section 5 - Confidentiality and damages for breach</w:t>
      </w:r>
    </w:p>
    <w:p>
      <w:pPr>
        <w:spacing w:after="0" w:line="135" w:lineRule="exact"/>
        <w:rPr>
          <w:sz w:val="20"/>
          <w:szCs w:val="20"/>
          <w:color w:val="auto"/>
        </w:rPr>
      </w:pPr>
    </w:p>
    <w:p>
      <w:pPr>
        <w:jc w:val="both"/>
        <w:ind w:left="660" w:firstLine="644"/>
        <w:spacing w:after="0" w:line="233" w:lineRule="auto"/>
        <w:tabs>
          <w:tab w:leader="none" w:pos="2206" w:val="left"/>
        </w:tabs>
        <w:numPr>
          <w:ilvl w:val="0"/>
          <w:numId w:val="140"/>
        </w:numPr>
        <w:rPr>
          <w:rFonts w:ascii="Arial" w:cs="Arial" w:eastAsia="Arial" w:hAnsi="Arial"/>
          <w:sz w:val="18"/>
          <w:szCs w:val="18"/>
          <w:color w:val="auto"/>
        </w:rPr>
      </w:pPr>
      <w:r>
        <w:rPr>
          <w:rFonts w:ascii="Arial" w:cs="Arial" w:eastAsia="Arial" w:hAnsi="Arial"/>
          <w:sz w:val="20"/>
          <w:szCs w:val="20"/>
          <w:color w:val="auto"/>
        </w:rPr>
        <w:t>Employee represents and warrants that he/she has kept and will keep the nature and content of the discussions related to this Agreement, the existence and/or content of this Agreement, the amount of payment and consideration paid to Employee, and all terms of this Agreement completely confidential. Employee represents and warrants that he/she will not hereafter disclose any information concerning the fact, nature and/or content of the discussions related to this Agreement, the existence and/or content of this Agreement, the amount of payment and consideration paid to Employee, and/or terms of this Agreement to any other person or entity.</w:t>
      </w:r>
    </w:p>
    <w:p>
      <w:pPr>
        <w:spacing w:after="0" w:line="50" w:lineRule="exact"/>
        <w:rPr>
          <w:rFonts w:ascii="Arial" w:cs="Arial" w:eastAsia="Arial" w:hAnsi="Arial"/>
          <w:sz w:val="18"/>
          <w:szCs w:val="18"/>
          <w:color w:val="auto"/>
        </w:rPr>
      </w:pPr>
    </w:p>
    <w:p>
      <w:pPr>
        <w:jc w:val="both"/>
        <w:ind w:left="660" w:firstLine="644"/>
        <w:spacing w:after="0" w:line="231" w:lineRule="auto"/>
        <w:tabs>
          <w:tab w:leader="none" w:pos="2187" w:val="left"/>
        </w:tabs>
        <w:numPr>
          <w:ilvl w:val="0"/>
          <w:numId w:val="140"/>
        </w:numPr>
        <w:rPr>
          <w:rFonts w:ascii="Arial" w:cs="Arial" w:eastAsia="Arial" w:hAnsi="Arial"/>
          <w:sz w:val="20"/>
          <w:szCs w:val="20"/>
          <w:color w:val="auto"/>
        </w:rPr>
      </w:pPr>
      <w:r>
        <w:rPr>
          <w:rFonts w:ascii="Arial" w:cs="Arial" w:eastAsia="Arial" w:hAnsi="Arial"/>
          <w:sz w:val="20"/>
          <w:szCs w:val="20"/>
          <w:color w:val="auto"/>
        </w:rPr>
        <w:t>Excepted from Section 5(a) for Employee shall be: (i) disclosure under seal in an arbitration to enforce this Agreement, but even then only the paragraph(s) at issue in the proceeding; (ii) legal counsel and tax advisors for the purpose of complying with tax laws and regulations for the preparation and filing of all relevant tax returns; and (iii) his/her spouse. Prior to disclosing any information permitted by this Paragraph, Employee must obtain the agreement by the person or entity permitted hereunder to maintain the information as Confidential. Any breach of this Confidentiality agreement by any person or entity shall be deemed a breach by Employee.</w:t>
      </w:r>
    </w:p>
    <w:p>
      <w:pPr>
        <w:spacing w:after="0" w:line="48" w:lineRule="exact"/>
        <w:rPr>
          <w:rFonts w:ascii="Arial" w:cs="Arial" w:eastAsia="Arial" w:hAnsi="Arial"/>
          <w:sz w:val="20"/>
          <w:szCs w:val="20"/>
          <w:color w:val="auto"/>
        </w:rPr>
      </w:pPr>
    </w:p>
    <w:p>
      <w:pPr>
        <w:jc w:val="both"/>
        <w:ind w:left="660" w:firstLine="644"/>
        <w:spacing w:after="0" w:line="237" w:lineRule="auto"/>
        <w:tabs>
          <w:tab w:leader="none" w:pos="2166" w:val="left"/>
        </w:tabs>
        <w:numPr>
          <w:ilvl w:val="0"/>
          <w:numId w:val="140"/>
        </w:numPr>
        <w:rPr>
          <w:rFonts w:ascii="Arial" w:cs="Arial" w:eastAsia="Arial" w:hAnsi="Arial"/>
          <w:sz w:val="18"/>
          <w:szCs w:val="18"/>
          <w:color w:val="auto"/>
        </w:rPr>
      </w:pPr>
      <w:r>
        <w:rPr>
          <w:rFonts w:ascii="Arial" w:cs="Arial" w:eastAsia="Arial" w:hAnsi="Arial"/>
          <w:sz w:val="20"/>
          <w:szCs w:val="20"/>
          <w:color w:val="auto"/>
        </w:rPr>
        <w:t>Employee and his/her agents shall not under any circumstances bring to the attention of, solicit or otherwise encourage any person or entity, to solicit or otherwise encourage any inquiry into the fact, nature, and/or content of the discussions related to this Agreement, the existence and/or content of this Agreement, the amount of payment and consideration paid to Employee, and/or any of the terms of this Agreement. If</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18" w:right="339" w:bottom="1440" w:gutter="0" w:footer="0" w:header="0"/>
        </w:sectPr>
      </w:pPr>
    </w:p>
    <w:bookmarkStart w:id="169" w:name="page170"/>
    <w:bookmarkEnd w:id="169"/>
    <w:p>
      <w:pPr>
        <w:ind w:left="9680"/>
        <w:spacing w:after="0"/>
        <w:rPr>
          <w:sz w:val="20"/>
          <w:szCs w:val="20"/>
          <w:color w:val="auto"/>
        </w:rPr>
      </w:pPr>
      <w:r>
        <w:rPr>
          <w:rFonts w:ascii="Arial" w:cs="Arial" w:eastAsia="Arial" w:hAnsi="Arial"/>
          <w:sz w:val="17"/>
          <w:szCs w:val="17"/>
          <w:b w:val="1"/>
          <w:bCs w:val="1"/>
          <w:color w:val="auto"/>
        </w:rPr>
        <w:t>Exhibit 10(iii)A(88)</w:t>
      </w:r>
    </w:p>
    <w:p>
      <w:pPr>
        <w:spacing w:after="0" w:line="323" w:lineRule="exact"/>
        <w:rPr>
          <w:sz w:val="20"/>
          <w:szCs w:val="20"/>
          <w:color w:val="auto"/>
        </w:rPr>
      </w:pPr>
    </w:p>
    <w:p>
      <w:pPr>
        <w:jc w:val="both"/>
        <w:ind w:left="660"/>
        <w:spacing w:after="0" w:line="275" w:lineRule="auto"/>
        <w:rPr>
          <w:sz w:val="20"/>
          <w:szCs w:val="20"/>
          <w:color w:val="auto"/>
        </w:rPr>
      </w:pPr>
      <w:r>
        <w:rPr>
          <w:rFonts w:ascii="Arial" w:cs="Arial" w:eastAsia="Arial" w:hAnsi="Arial"/>
          <w:sz w:val="18"/>
          <w:szCs w:val="18"/>
          <w:color w:val="auto"/>
        </w:rPr>
        <w:t>contacted or asked by any person or entity as to the status of the Agreement, the disposition, fact, nature, or content of the discussions related to this Agreement, the existence and/or content of this Agreement, the amount of payment and consideration paid to Employee, and/or any of the terms of this Agreement, Employee agrees that he/she will say only that “I will not comment.”</w:t>
      </w:r>
    </w:p>
    <w:p>
      <w:pPr>
        <w:spacing w:after="0" w:line="17" w:lineRule="exact"/>
        <w:rPr>
          <w:sz w:val="20"/>
          <w:szCs w:val="20"/>
          <w:color w:val="auto"/>
        </w:rPr>
      </w:pPr>
    </w:p>
    <w:p>
      <w:pPr>
        <w:jc w:val="both"/>
        <w:ind w:left="660" w:firstLine="644"/>
        <w:spacing w:after="0" w:line="242" w:lineRule="auto"/>
        <w:tabs>
          <w:tab w:leader="none" w:pos="2156" w:val="left"/>
        </w:tabs>
        <w:numPr>
          <w:ilvl w:val="0"/>
          <w:numId w:val="141"/>
        </w:numPr>
        <w:rPr>
          <w:rFonts w:ascii="Arial" w:cs="Arial" w:eastAsia="Arial" w:hAnsi="Arial"/>
          <w:sz w:val="17"/>
          <w:szCs w:val="17"/>
          <w:color w:val="auto"/>
        </w:rPr>
      </w:pPr>
      <w:r>
        <w:rPr>
          <w:rFonts w:ascii="Arial" w:cs="Arial" w:eastAsia="Arial" w:hAnsi="Arial"/>
          <w:sz w:val="19"/>
          <w:szCs w:val="19"/>
          <w:color w:val="auto"/>
        </w:rPr>
        <w:t>Employee agrees that he/she will not solicit or otherwise encourage any person or entity to seek this Agreement or the terms of this Agreement in any proceeding, agency investigation, litigation or arbitration. Likewise, Employee will not voluntarily participate in any proceeding, litigation or arbitration against Employer. Should Employee receive an enforceable subpoena or an enforceable court order, he/she agrees to provide Employer with prompt notice; and in no event shall such notice be delivered to the Company later than two (2) days after receipt by Employee, providing Employer with the opportunity to object to and/or be present at or participate in the proceeding. Employee agrees to fully cooperate with Employer in opposing any effort by any person or entity to obtain this Agreement or its terms and to refrain from responding or otherwise participating with respect to the disclosure of this Agreement or its terms until a Court of competent jurisdiction has ruled on Employer’s and Employee’s joint objections. Nothing in this Paragraph shall require Employee to disobey a final Court or other final enforceable order to produce this Agreement or disclose its terms.</w:t>
      </w:r>
    </w:p>
    <w:p>
      <w:pPr>
        <w:spacing w:after="0" w:line="51" w:lineRule="exact"/>
        <w:rPr>
          <w:sz w:val="20"/>
          <w:szCs w:val="20"/>
          <w:color w:val="auto"/>
        </w:rPr>
      </w:pPr>
    </w:p>
    <w:p>
      <w:pPr>
        <w:jc w:val="both"/>
        <w:ind w:left="660" w:firstLine="644"/>
        <w:spacing w:after="0" w:line="243" w:lineRule="auto"/>
        <w:tabs>
          <w:tab w:leader="none" w:pos="2235" w:val="left"/>
        </w:tabs>
        <w:numPr>
          <w:ilvl w:val="0"/>
          <w:numId w:val="142"/>
        </w:numPr>
        <w:rPr>
          <w:rFonts w:ascii="Arial" w:cs="Arial" w:eastAsia="Arial" w:hAnsi="Arial"/>
          <w:sz w:val="18"/>
          <w:szCs w:val="18"/>
          <w:color w:val="auto"/>
        </w:rPr>
      </w:pPr>
      <w:r>
        <w:rPr>
          <w:rFonts w:ascii="Arial" w:cs="Arial" w:eastAsia="Arial" w:hAnsi="Arial"/>
          <w:sz w:val="20"/>
          <w:szCs w:val="20"/>
          <w:color w:val="auto"/>
        </w:rPr>
        <w:t>Any disclosure of the terms of this Agreement by Employee or anyone permitted hereunder to any person or entity not permitted by this Agreement shall be deemed a violation by Employee of this Agreement and subject to the damages articulated in Section 5(f) of this Agreement.</w:t>
      </w:r>
    </w:p>
    <w:p>
      <w:pPr>
        <w:spacing w:after="0" w:line="44"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7"/>
          <w:szCs w:val="17"/>
          <w:color w:val="auto"/>
        </w:rPr>
        <w:t xml:space="preserve">(ab) </w:t>
      </w:r>
      <w:r>
        <w:rPr>
          <w:rFonts w:ascii="Arial" w:cs="Arial" w:eastAsia="Arial" w:hAnsi="Arial"/>
          <w:sz w:val="18"/>
          <w:szCs w:val="18"/>
          <w:color w:val="auto"/>
        </w:rPr>
        <w:t>In addition to any other remedies or relief that may be available, Employee agrees that Employer will be</w:t>
      </w:r>
      <w:r>
        <w:rPr>
          <w:rFonts w:ascii="Arial" w:cs="Arial" w:eastAsia="Arial" w:hAnsi="Arial"/>
          <w:sz w:val="17"/>
          <w:szCs w:val="17"/>
          <w:color w:val="auto"/>
        </w:rPr>
        <w:t xml:space="preserve"> </w:t>
      </w:r>
      <w:r>
        <w:rPr>
          <w:rFonts w:ascii="Arial" w:cs="Arial" w:eastAsia="Arial" w:hAnsi="Arial"/>
          <w:sz w:val="18"/>
          <w:szCs w:val="18"/>
          <w:color w:val="auto"/>
        </w:rPr>
        <w:t xml:space="preserve">irreparably harmed by any actual or threatened violation of the Sections 5(a) - 5(d) of this Agreement, and that Employer will be entitled to an injunction prohibiting Employee from committing any such violation. Employee agrees that damages to Employer arising from a breach of this Agreement are likely to be difficult to quantify, and therefore agree that if an arbitrator determines that there has been a breach of this Agreement by Employee, Employer will necessarily have suffered some injury and will be entitled to liquidated minimum damages in the amount of fifteen percent (15%) of the amount paid by Employer to Employee following the execution of this Agreement, </w:t>
      </w:r>
      <w:r>
        <w:rPr>
          <w:rFonts w:ascii="Arial" w:cs="Arial" w:eastAsia="Arial" w:hAnsi="Arial"/>
          <w:sz w:val="18"/>
          <w:szCs w:val="18"/>
          <w:b w:val="1"/>
          <w:bCs w:val="1"/>
          <w:color w:val="auto"/>
        </w:rPr>
        <w:t>per breach</w:t>
      </w:r>
      <w:r>
        <w:rPr>
          <w:rFonts w:ascii="Arial" w:cs="Arial" w:eastAsia="Arial" w:hAnsi="Arial"/>
          <w:sz w:val="18"/>
          <w:szCs w:val="18"/>
          <w:color w:val="auto"/>
        </w:rPr>
        <w:t>, unless Employer proves greater damages. Employee agrees that the amount set forth as liquidated damages is not a penalty, but is instead a minimum amount of damages per incident for a breach of this Agreement. Employee is solely liable and responsible for his/her breach of the Agreement. The amount shall be payable to Employer. In addition, if an arbitrator finds that Employee breached any of the Confidentiality provisions, Sections 5(a) - 5(d), Employee agrees to pay the reasonable attorneys’ fees incurred by each affected entity bringing the action.</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Section 6 - Arbitration</w:t>
      </w:r>
    </w:p>
    <w:p>
      <w:pPr>
        <w:spacing w:after="0" w:line="81" w:lineRule="exact"/>
        <w:rPr>
          <w:sz w:val="20"/>
          <w:szCs w:val="20"/>
          <w:color w:val="auto"/>
        </w:rPr>
      </w:pPr>
    </w:p>
    <w:p>
      <w:pPr>
        <w:ind w:left="1300"/>
        <w:spacing w:after="0"/>
        <w:tabs>
          <w:tab w:leader="none" w:pos="2240" w:val="left"/>
        </w:tabs>
        <w:rPr>
          <w:sz w:val="20"/>
          <w:szCs w:val="20"/>
          <w:color w:val="auto"/>
        </w:rPr>
      </w:pPr>
      <w:r>
        <w:rPr>
          <w:rFonts w:ascii="Arial" w:cs="Arial" w:eastAsia="Arial" w:hAnsi="Arial"/>
          <w:sz w:val="19"/>
          <w:szCs w:val="19"/>
          <w:color w:val="auto"/>
        </w:rPr>
        <w:t>(ac)</w:t>
      </w:r>
      <w:r>
        <w:rPr>
          <w:sz w:val="20"/>
          <w:szCs w:val="20"/>
          <w:color w:val="auto"/>
        </w:rPr>
        <w:tab/>
      </w:r>
      <w:r>
        <w:rPr>
          <w:rFonts w:ascii="Arial" w:cs="Arial" w:eastAsia="Arial" w:hAnsi="Arial"/>
          <w:sz w:val="19"/>
          <w:szCs w:val="19"/>
          <w:color w:val="auto"/>
        </w:rPr>
        <w:t>Any dispute relating to the interpretation or enforcement of this Agreement, Employee’s employment with</w:t>
      </w:r>
    </w:p>
    <w:p>
      <w:pPr>
        <w:spacing w:after="0" w:line="14" w:lineRule="exact"/>
        <w:rPr>
          <w:sz w:val="20"/>
          <w:szCs w:val="20"/>
          <w:color w:val="auto"/>
        </w:rPr>
      </w:pPr>
    </w:p>
    <w:p>
      <w:pPr>
        <w:jc w:val="both"/>
        <w:ind w:left="660"/>
        <w:spacing w:after="0"/>
        <w:rPr>
          <w:sz w:val="20"/>
          <w:szCs w:val="20"/>
          <w:color w:val="auto"/>
        </w:rPr>
      </w:pPr>
      <w:r>
        <w:rPr>
          <w:rFonts w:ascii="Arial" w:cs="Arial" w:eastAsia="Arial" w:hAnsi="Arial"/>
          <w:sz w:val="19"/>
          <w:szCs w:val="19"/>
          <w:color w:val="auto"/>
        </w:rPr>
        <w:t>Employer, or the termination thereof will be subject to confidential, binding arbitration under the Federal Arbitration Act and the rules of the American Arbitration Association. Such arbitration will occur in Conyers, GA. Judgment upon the award rendered may be entered in any court of competent jurisdiction. The arbitrator’s fee will be paid by Employer, except that if Employee is the initiating party, he/she will pay $250.00 towards the cost of arbitration. Each side shall otherwise bear their own attorneys’ fees, costs, and expenses incurred during the arbitration. Nothing in this section limits the right of Employer to enjoin in a court of competent jurisdiction any breach of Sections 4 and 5 under this Agreement.</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Section 7 - Miscellaneous</w:t>
      </w:r>
    </w:p>
    <w:p>
      <w:pPr>
        <w:spacing w:after="0" w:line="75" w:lineRule="exact"/>
        <w:rPr>
          <w:sz w:val="20"/>
          <w:szCs w:val="20"/>
          <w:color w:val="auto"/>
        </w:rPr>
      </w:pPr>
    </w:p>
    <w:p>
      <w:pPr>
        <w:jc w:val="both"/>
        <w:ind w:left="660" w:firstLine="648"/>
        <w:spacing w:after="0" w:line="233" w:lineRule="auto"/>
        <w:rPr>
          <w:sz w:val="20"/>
          <w:szCs w:val="20"/>
          <w:color w:val="auto"/>
        </w:rPr>
      </w:pPr>
      <w:r>
        <w:rPr>
          <w:rFonts w:ascii="Arial" w:cs="Arial" w:eastAsia="Arial" w:hAnsi="Arial"/>
          <w:sz w:val="20"/>
          <w:szCs w:val="20"/>
          <w:color w:val="auto"/>
        </w:rPr>
        <w:t xml:space="preserve">(ad) </w:t>
      </w:r>
      <w:r>
        <w:rPr>
          <w:rFonts w:ascii="Arial" w:cs="Arial" w:eastAsia="Arial" w:hAnsi="Arial"/>
          <w:sz w:val="20"/>
          <w:szCs w:val="20"/>
          <w:b w:val="1"/>
          <w:bCs w:val="1"/>
          <w:color w:val="auto"/>
        </w:rPr>
        <w:t>Entire Agreement</w:t>
      </w:r>
      <w:r>
        <w:rPr>
          <w:rFonts w:ascii="Arial" w:cs="Arial" w:eastAsia="Arial" w:hAnsi="Arial"/>
          <w:sz w:val="20"/>
          <w:szCs w:val="20"/>
          <w:color w:val="auto"/>
        </w:rPr>
        <w:t>: This is the entire agreement between the Parties with respect to the subject matter hereto. This Agreement may not be changed, modified, waived, discharged or terminated orally, or in any manner other than by an instrument in writing signed by Employee and an authorized official of Employer. Employee acknowledges that neither Employer nor any of its agents, representatives or attorneys has made any representations or promises to him/her other than those in or expressly referred to by this Agreement.</w:t>
      </w:r>
    </w:p>
    <w:p>
      <w:pPr>
        <w:spacing w:after="0" w:line="20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18"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10(iii)A(88)</w:t>
      </w:r>
    </w:p>
    <w:p>
      <w:pPr>
        <w:spacing w:after="0" w:line="30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8"/>
          <w:szCs w:val="18"/>
          <w:color w:val="auto"/>
        </w:rPr>
        <w:t xml:space="preserve">(ae) </w:t>
      </w:r>
      <w:r>
        <w:rPr>
          <w:rFonts w:ascii="Arial" w:cs="Arial" w:eastAsia="Arial" w:hAnsi="Arial"/>
          <w:sz w:val="19"/>
          <w:szCs w:val="19"/>
          <w:b w:val="1"/>
          <w:bCs w:val="1"/>
          <w:color w:val="auto"/>
        </w:rPr>
        <w:t>Nonadmission of Liability</w:t>
      </w:r>
      <w:r>
        <w:rPr>
          <w:rFonts w:ascii="Arial" w:cs="Arial" w:eastAsia="Arial" w:hAnsi="Arial"/>
          <w:sz w:val="19"/>
          <w:szCs w:val="19"/>
          <w:color w:val="auto"/>
        </w:rPr>
        <w:t>: Employee agrees that this Agreement shall not in any way be construed or</w:t>
      </w:r>
      <w:r>
        <w:rPr>
          <w:rFonts w:ascii="Arial" w:cs="Arial" w:eastAsia="Arial" w:hAnsi="Arial"/>
          <w:sz w:val="18"/>
          <w:szCs w:val="18"/>
          <w:color w:val="auto"/>
        </w:rPr>
        <w:t xml:space="preserve"> </w:t>
      </w:r>
      <w:r>
        <w:rPr>
          <w:rFonts w:ascii="Arial" w:cs="Arial" w:eastAsia="Arial" w:hAnsi="Arial"/>
          <w:sz w:val="19"/>
          <w:szCs w:val="19"/>
          <w:color w:val="auto"/>
        </w:rPr>
        <w:t>interpreted as an admission of liability or wrongdoing by Employer, any such liability or wrongdoing being expressly denied.</w:t>
      </w:r>
    </w:p>
    <w:p>
      <w:pPr>
        <w:jc w:val="both"/>
        <w:ind w:firstLine="648"/>
        <w:spacing w:after="0" w:line="265" w:lineRule="auto"/>
        <w:rPr>
          <w:sz w:val="20"/>
          <w:szCs w:val="20"/>
          <w:color w:val="auto"/>
        </w:rPr>
      </w:pPr>
      <w:r>
        <w:rPr>
          <w:rFonts w:ascii="Arial" w:cs="Arial" w:eastAsia="Arial" w:hAnsi="Arial"/>
          <w:sz w:val="18"/>
          <w:szCs w:val="18"/>
          <w:color w:val="auto"/>
        </w:rPr>
        <w:t xml:space="preserve">(af) </w:t>
      </w:r>
      <w:r>
        <w:rPr>
          <w:rFonts w:ascii="Arial" w:cs="Arial" w:eastAsia="Arial" w:hAnsi="Arial"/>
          <w:sz w:val="19"/>
          <w:szCs w:val="19"/>
          <w:b w:val="1"/>
          <w:bCs w:val="1"/>
          <w:color w:val="auto"/>
        </w:rPr>
        <w:t>Successors</w:t>
      </w:r>
      <w:r>
        <w:rPr>
          <w:rFonts w:ascii="Arial" w:cs="Arial" w:eastAsia="Arial" w:hAnsi="Arial"/>
          <w:sz w:val="19"/>
          <w:szCs w:val="19"/>
          <w:color w:val="auto"/>
        </w:rPr>
        <w:t>: Employee agrees that this Agreement binds all of his/her heirs, administrators, representatives,</w:t>
      </w:r>
      <w:r>
        <w:rPr>
          <w:rFonts w:ascii="Arial" w:cs="Arial" w:eastAsia="Arial" w:hAnsi="Arial"/>
          <w:sz w:val="18"/>
          <w:szCs w:val="18"/>
          <w:color w:val="auto"/>
        </w:rPr>
        <w:t xml:space="preserve"> </w:t>
      </w:r>
      <w:r>
        <w:rPr>
          <w:rFonts w:ascii="Arial" w:cs="Arial" w:eastAsia="Arial" w:hAnsi="Arial"/>
          <w:sz w:val="19"/>
          <w:szCs w:val="19"/>
          <w:color w:val="auto"/>
        </w:rPr>
        <w:t>executors, successors, attorneys and assigns, and will inure to the benefit of all Released Parties and their respective heirs, administrators, representatives, executors, successors, and assigns.</w:t>
      </w:r>
    </w:p>
    <w:p>
      <w:pPr>
        <w:spacing w:after="0" w:line="1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(ag) </w:t>
      </w:r>
      <w:r>
        <w:rPr>
          <w:rFonts w:ascii="Arial" w:cs="Arial" w:eastAsia="Arial" w:hAnsi="Arial"/>
          <w:sz w:val="19"/>
          <w:szCs w:val="19"/>
          <w:b w:val="1"/>
          <w:bCs w:val="1"/>
          <w:color w:val="auto"/>
        </w:rPr>
        <w:t>Interpretation</w:t>
      </w:r>
      <w:r>
        <w:rPr>
          <w:rFonts w:ascii="Arial" w:cs="Arial" w:eastAsia="Arial" w:hAnsi="Arial"/>
          <w:sz w:val="19"/>
          <w:szCs w:val="19"/>
          <w:color w:val="auto"/>
        </w:rPr>
        <w:t>: This Agreement shall be construed as a whole according to its fair meaning. It shall not be</w:t>
      </w:r>
      <w:r>
        <w:rPr>
          <w:rFonts w:ascii="Arial" w:cs="Arial" w:eastAsia="Arial" w:hAnsi="Arial"/>
          <w:sz w:val="18"/>
          <w:szCs w:val="18"/>
          <w:color w:val="auto"/>
        </w:rPr>
        <w:t xml:space="preserve"> </w:t>
      </w:r>
      <w:r>
        <w:rPr>
          <w:rFonts w:ascii="Arial" w:cs="Arial" w:eastAsia="Arial" w:hAnsi="Arial"/>
          <w:sz w:val="19"/>
          <w:szCs w:val="19"/>
          <w:color w:val="auto"/>
        </w:rPr>
        <w:t>construed strictly for or against Employee or Employer. Unless the context indicates otherwise, the term “or” shall be deemed to include the term “and” and the singular or plural number shall be deemed to include the other. Captions are intended solely for convenience of reference and shall not be used in the interpretation of this Agreement.</w:t>
      </w:r>
    </w:p>
    <w:p>
      <w:pPr>
        <w:spacing w:after="0" w:line="2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8"/>
          <w:szCs w:val="18"/>
          <w:color w:val="auto"/>
        </w:rPr>
        <w:t xml:space="preserve">(ah) </w:t>
      </w:r>
      <w:r>
        <w:rPr>
          <w:rFonts w:ascii="Arial" w:cs="Arial" w:eastAsia="Arial" w:hAnsi="Arial"/>
          <w:sz w:val="19"/>
          <w:szCs w:val="19"/>
          <w:b w:val="1"/>
          <w:bCs w:val="1"/>
          <w:color w:val="auto"/>
        </w:rPr>
        <w:t>Waiver</w:t>
      </w:r>
      <w:r>
        <w:rPr>
          <w:rFonts w:ascii="Arial" w:cs="Arial" w:eastAsia="Arial" w:hAnsi="Arial"/>
          <w:sz w:val="19"/>
          <w:szCs w:val="19"/>
          <w:color w:val="auto"/>
        </w:rPr>
        <w:t>: The failure of any party hereto to enforce at any time any of the provisions of this Agreement shall in no</w:t>
      </w:r>
      <w:r>
        <w:rPr>
          <w:rFonts w:ascii="Arial" w:cs="Arial" w:eastAsia="Arial" w:hAnsi="Arial"/>
          <w:sz w:val="18"/>
          <w:szCs w:val="18"/>
          <w:color w:val="auto"/>
        </w:rPr>
        <w:t xml:space="preserve"> </w:t>
      </w:r>
      <w:r>
        <w:rPr>
          <w:rFonts w:ascii="Arial" w:cs="Arial" w:eastAsia="Arial" w:hAnsi="Arial"/>
          <w:sz w:val="19"/>
          <w:szCs w:val="19"/>
          <w:color w:val="auto"/>
        </w:rPr>
        <w:t>way be construed to be a waiver of any such provision or the right of any party thereafter to enforce each and every such provision. No waiver of any breach of this Agreement shall be held to be a waiver of any other or subsequent breach.</w:t>
      </w:r>
    </w:p>
    <w:p>
      <w:pPr>
        <w:spacing w:after="0" w:line="1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(ai) </w:t>
      </w:r>
      <w:r>
        <w:rPr>
          <w:rFonts w:ascii="Arial" w:cs="Arial" w:eastAsia="Arial" w:hAnsi="Arial"/>
          <w:sz w:val="19"/>
          <w:szCs w:val="19"/>
          <w:b w:val="1"/>
          <w:bCs w:val="1"/>
          <w:color w:val="auto"/>
        </w:rPr>
        <w:t>Severability</w:t>
      </w:r>
      <w:r>
        <w:rPr>
          <w:rFonts w:ascii="Arial" w:cs="Arial" w:eastAsia="Arial" w:hAnsi="Arial"/>
          <w:sz w:val="19"/>
          <w:szCs w:val="19"/>
          <w:color w:val="auto"/>
        </w:rPr>
        <w:t>: In the event any section, paragraph, clause, phrase or word of this Agreement is declared or</w:t>
      </w:r>
      <w:r>
        <w:rPr>
          <w:rFonts w:ascii="Arial" w:cs="Arial" w:eastAsia="Arial" w:hAnsi="Arial"/>
          <w:sz w:val="18"/>
          <w:szCs w:val="18"/>
          <w:color w:val="auto"/>
        </w:rPr>
        <w:t xml:space="preserve"> </w:t>
      </w:r>
      <w:r>
        <w:rPr>
          <w:rFonts w:ascii="Arial" w:cs="Arial" w:eastAsia="Arial" w:hAnsi="Arial"/>
          <w:sz w:val="19"/>
          <w:szCs w:val="19"/>
          <w:color w:val="auto"/>
        </w:rPr>
        <w:t>adjudged to be invalid or unenforceable, such declaration or adjudication shall not affect the remaining sections of this Agreement. If any waiver or release contained in this Agreement is determined to be contrary to any applicable law or public policy, such waiver or release shall be effective to the maximum extent permitted by law.</w:t>
      </w:r>
    </w:p>
    <w:p>
      <w:pPr>
        <w:spacing w:after="0" w:line="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(aj) </w:t>
      </w:r>
      <w:r>
        <w:rPr>
          <w:rFonts w:ascii="Arial" w:cs="Arial" w:eastAsia="Arial" w:hAnsi="Arial"/>
          <w:sz w:val="19"/>
          <w:szCs w:val="19"/>
          <w:b w:val="1"/>
          <w:bCs w:val="1"/>
          <w:color w:val="auto"/>
        </w:rPr>
        <w:t>Counterparts</w:t>
      </w:r>
      <w:r>
        <w:rPr>
          <w:rFonts w:ascii="Arial" w:cs="Arial" w:eastAsia="Arial" w:hAnsi="Arial"/>
          <w:sz w:val="19"/>
          <w:szCs w:val="19"/>
          <w:color w:val="auto"/>
        </w:rPr>
        <w:t>: This Agreement may be signed in two or more identical counterparts, each of which shall be</w:t>
      </w:r>
      <w:r>
        <w:rPr>
          <w:rFonts w:ascii="Arial" w:cs="Arial" w:eastAsia="Arial" w:hAnsi="Arial"/>
          <w:sz w:val="18"/>
          <w:szCs w:val="18"/>
          <w:color w:val="auto"/>
        </w:rPr>
        <w:t xml:space="preserve"> </w:t>
      </w:r>
      <w:r>
        <w:rPr>
          <w:rFonts w:ascii="Arial" w:cs="Arial" w:eastAsia="Arial" w:hAnsi="Arial"/>
          <w:sz w:val="19"/>
          <w:szCs w:val="19"/>
          <w:color w:val="auto"/>
        </w:rPr>
        <w:t>deemed an original and all of which, together, shall be deemed one and the same instrument. A signature transmitted by facsimile shall be deemed the equivalent of an original signature. This Agreement will not be effective until all parties have duly executed it. The effective date of this Agreement will be the date on which the last of the parties executes it.</w:t>
      </w:r>
    </w:p>
    <w:p>
      <w:pPr>
        <w:spacing w:after="0" w:line="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(ak) </w:t>
      </w:r>
      <w:r>
        <w:rPr>
          <w:rFonts w:ascii="Arial" w:cs="Arial" w:eastAsia="Arial" w:hAnsi="Arial"/>
          <w:sz w:val="19"/>
          <w:szCs w:val="19"/>
          <w:b w:val="1"/>
          <w:bCs w:val="1"/>
          <w:color w:val="auto"/>
        </w:rPr>
        <w:t>Governing Law</w:t>
      </w:r>
      <w:r>
        <w:rPr>
          <w:rFonts w:ascii="Arial" w:cs="Arial" w:eastAsia="Arial" w:hAnsi="Arial"/>
          <w:sz w:val="19"/>
          <w:szCs w:val="19"/>
          <w:color w:val="auto"/>
        </w:rPr>
        <w:t>: Except to the extent governed by federal law, this Agreement shall be deemed to have been</w:t>
      </w:r>
      <w:r>
        <w:rPr>
          <w:rFonts w:ascii="Arial" w:cs="Arial" w:eastAsia="Arial" w:hAnsi="Arial"/>
          <w:sz w:val="18"/>
          <w:szCs w:val="18"/>
          <w:color w:val="auto"/>
        </w:rPr>
        <w:t xml:space="preserve"> </w:t>
      </w:r>
      <w:r>
        <w:rPr>
          <w:rFonts w:ascii="Arial" w:cs="Arial" w:eastAsia="Arial" w:hAnsi="Arial"/>
          <w:sz w:val="19"/>
          <w:szCs w:val="19"/>
          <w:color w:val="auto"/>
        </w:rPr>
        <w:t>executed in the State of Georgia without giving effect to its conflict of law principles, and all matters pertaining to the validity, construction, interpretation, and effect of this Agreement shall be governed by the laws of the State of Georgia. The language contained in this Agreement shall be deemed to be that negotiated and approved by both Parties and no rule of strict construction shall be applied against either party.</w:t>
      </w:r>
    </w:p>
    <w:p>
      <w:pPr>
        <w:spacing w:after="0" w:line="3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7"/>
          <w:szCs w:val="17"/>
          <w:color w:val="auto"/>
        </w:rPr>
        <w:t xml:space="preserve">(al) </w:t>
      </w:r>
      <w:r>
        <w:rPr>
          <w:rFonts w:ascii="Arial" w:cs="Arial" w:eastAsia="Arial" w:hAnsi="Arial"/>
          <w:sz w:val="18"/>
          <w:szCs w:val="18"/>
          <w:b w:val="1"/>
          <w:bCs w:val="1"/>
          <w:color w:val="auto"/>
        </w:rPr>
        <w:t>[If Employee is 40+-years-old:] Revocation:</w:t>
      </w:r>
      <w:r>
        <w:rPr>
          <w:rFonts w:ascii="Arial" w:cs="Arial" w:eastAsia="Arial" w:hAnsi="Arial"/>
          <w:sz w:val="17"/>
          <w:szCs w:val="17"/>
          <w:color w:val="auto"/>
        </w:rPr>
        <w:t xml:space="preserve"> </w:t>
      </w:r>
      <w:r>
        <w:rPr>
          <w:rFonts w:ascii="Arial" w:cs="Arial" w:eastAsia="Arial" w:hAnsi="Arial"/>
          <w:sz w:val="18"/>
          <w:szCs w:val="18"/>
          <w:color w:val="auto"/>
        </w:rPr>
        <w:t>For a period of at least seven (7) days following the execution of</w:t>
      </w:r>
      <w:r>
        <w:rPr>
          <w:rFonts w:ascii="Arial" w:cs="Arial" w:eastAsia="Arial" w:hAnsi="Arial"/>
          <w:sz w:val="17"/>
          <w:szCs w:val="17"/>
          <w:color w:val="auto"/>
        </w:rPr>
        <w:t xml:space="preserve"> </w:t>
      </w:r>
      <w:r>
        <w:rPr>
          <w:rFonts w:ascii="Arial" w:cs="Arial" w:eastAsia="Arial" w:hAnsi="Arial"/>
          <w:sz w:val="18"/>
          <w:szCs w:val="18"/>
          <w:color w:val="auto"/>
        </w:rPr>
        <w:t xml:space="preserve">such agreement, Employee may revoke this Agreement. If Employee wishes to revoke this Agreement in its entirety, he/she must make a revocation in writing which must be delivered by hand or confirmed facsimile before 5:00 p.m. of the seventh day of the revocation period to Carrie Russell, One Lithonia Way, Conyers, Georgia 30012, otherwise the revocation will not be effective.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w:t>
      </w:r>
      <w:r>
        <w:rPr>
          <w:rFonts w:ascii="Arial" w:cs="Arial" w:eastAsia="Arial" w:hAnsi="Arial"/>
          <w:sz w:val="18"/>
          <w:szCs w:val="18"/>
          <w:u w:val="single" w:color="auto"/>
          <w:color w:val="auto"/>
        </w:rPr>
        <w:t>Employee timely revokes this Agreement, Employer shall retain payments and benefits otherwise payable to Employee under this Agreement. Employee’s employment shall be immediately terminated, and no further remuneration shall be paid to Employee.</w:t>
      </w:r>
    </w:p>
    <w:p>
      <w:pPr>
        <w:spacing w:after="0" w:line="19" w:lineRule="exact"/>
        <w:rPr>
          <w:sz w:val="20"/>
          <w:szCs w:val="20"/>
          <w:color w:val="auto"/>
        </w:rPr>
      </w:pPr>
    </w:p>
    <w:p>
      <w:pPr>
        <w:jc w:val="both"/>
        <w:ind w:left="640"/>
        <w:spacing w:after="0" w:line="258" w:lineRule="auto"/>
        <w:rPr>
          <w:sz w:val="20"/>
          <w:szCs w:val="20"/>
          <w:color w:val="auto"/>
        </w:rPr>
      </w:pPr>
      <w:r>
        <w:rPr>
          <w:rFonts w:ascii="Arial" w:cs="Arial" w:eastAsia="Arial" w:hAnsi="Arial"/>
          <w:sz w:val="19"/>
          <w:szCs w:val="19"/>
          <w:b w:val="1"/>
          <w:bCs w:val="1"/>
          <w:color w:val="auto"/>
        </w:rPr>
        <w:t>Access to Independent Legal Counsel; Knowing and Voluntary Execution: EMPLOYEE ACKNOWLEDGES THAT HE/SHE HAS BEEN ADVISED TO SEEK INDEPENDENT LEGAL COUNSEL OF HIS/HER OWN CHOOSING IN CONNECTION WITH ENTERING INTO THIS AGREEMENT. EMPLOYEE FURTHER ACKNOWLEDGES THAT IF DESIRED, HIS/HER LEGAL COUNSEL HAS REVIEWED THIS AGREEMENT, THAT EMPLOYEE FULLY UNDERSTANDS THE TERMS AND CONDITIONS OF THIS AGREEMENT AND THAT EMPLOYEE AGREES TO BE FULLY BOUND BY AND SUBJECT THERETO. EMPLOYEE HAS CAREFULLY READ THIS AGREEMENT AND KNOWS AND UNDERSTANDS THE CONTENTS THEREOF, AND THAT HE/SHE EXECUTES THE SAME AS HIS/HER OWN FREE ACT AND DEED.</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80"/>
          </w:cols>
          <w:pgMar w:left="980" w:top="118" w:right="3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ind w:left="1960"/>
              <w:spacing w:after="0"/>
              <w:rPr>
                <w:sz w:val="20"/>
                <w:szCs w:val="20"/>
                <w:color w:val="auto"/>
              </w:rPr>
            </w:pPr>
            <w:r>
              <w:rPr>
                <w:rFonts w:ascii="Arial" w:cs="Arial" w:eastAsia="Arial" w:hAnsi="Arial"/>
                <w:sz w:val="18"/>
                <w:szCs w:val="18"/>
                <w:b w:val="1"/>
                <w:bCs w:val="1"/>
                <w:color w:val="auto"/>
                <w:w w:val="96"/>
              </w:rPr>
              <w:t>Exhibit 21</w:t>
            </w:r>
          </w:p>
        </w:tc>
      </w:tr>
      <w:tr>
        <w:trPr>
          <w:trHeight w:val="409"/>
        </w:trPr>
        <w:tc>
          <w:tcPr>
            <w:tcW w:w="4040" w:type="dxa"/>
            <w:vAlign w:val="bottom"/>
          </w:tcPr>
          <w:p>
            <w:pPr>
              <w:spacing w:after="0"/>
              <w:rPr>
                <w:sz w:val="24"/>
                <w:szCs w:val="24"/>
                <w:color w:val="auto"/>
              </w:rPr>
            </w:pPr>
          </w:p>
        </w:tc>
        <w:tc>
          <w:tcPr>
            <w:tcW w:w="4400" w:type="dxa"/>
            <w:vAlign w:val="bottom"/>
            <w:gridSpan w:val="4"/>
          </w:tcPr>
          <w:p>
            <w:pPr>
              <w:jc w:val="center"/>
              <w:ind w:right="1220"/>
              <w:spacing w:after="0"/>
              <w:rPr>
                <w:sz w:val="20"/>
                <w:szCs w:val="20"/>
                <w:color w:val="auto"/>
              </w:rPr>
            </w:pPr>
            <w:r>
              <w:rPr>
                <w:rFonts w:ascii="Arial" w:cs="Arial" w:eastAsia="Arial" w:hAnsi="Arial"/>
                <w:sz w:val="18"/>
                <w:szCs w:val="18"/>
                <w:b w:val="1"/>
                <w:bCs w:val="1"/>
                <w:color w:val="auto"/>
                <w:w w:val="99"/>
              </w:rPr>
              <w:t>List of Subsidiaries</w:t>
            </w:r>
          </w:p>
        </w:tc>
        <w:tc>
          <w:tcPr>
            <w:tcW w:w="2800" w:type="dxa"/>
            <w:vAlign w:val="bottom"/>
          </w:tcPr>
          <w:p>
            <w:pPr>
              <w:spacing w:after="0"/>
              <w:rPr>
                <w:sz w:val="24"/>
                <w:szCs w:val="24"/>
                <w:color w:val="auto"/>
              </w:rPr>
            </w:pPr>
          </w:p>
        </w:tc>
      </w:tr>
      <w:tr>
        <w:trPr>
          <w:trHeight w:val="216"/>
        </w:trPr>
        <w:tc>
          <w:tcPr>
            <w:tcW w:w="4040" w:type="dxa"/>
            <w:vAlign w:val="bottom"/>
          </w:tcPr>
          <w:p>
            <w:pPr>
              <w:spacing w:after="0"/>
              <w:rPr>
                <w:sz w:val="18"/>
                <w:szCs w:val="18"/>
                <w:color w:val="auto"/>
              </w:rPr>
            </w:pPr>
          </w:p>
        </w:tc>
        <w:tc>
          <w:tcPr>
            <w:tcW w:w="4400" w:type="dxa"/>
            <w:vAlign w:val="bottom"/>
            <w:gridSpan w:val="4"/>
          </w:tcPr>
          <w:p>
            <w:pPr>
              <w:jc w:val="center"/>
              <w:ind w:right="1240"/>
              <w:spacing w:after="0"/>
              <w:rPr>
                <w:sz w:val="20"/>
                <w:szCs w:val="20"/>
                <w:color w:val="auto"/>
              </w:rPr>
            </w:pPr>
            <w:r>
              <w:rPr>
                <w:rFonts w:ascii="Arial" w:cs="Arial" w:eastAsia="Arial" w:hAnsi="Arial"/>
                <w:sz w:val="18"/>
                <w:szCs w:val="18"/>
                <w:b w:val="1"/>
                <w:bCs w:val="1"/>
                <w:color w:val="auto"/>
              </w:rPr>
              <w:t>Acuity Brands, Inc.</w:t>
            </w:r>
          </w:p>
        </w:tc>
        <w:tc>
          <w:tcPr>
            <w:tcW w:w="2800" w:type="dxa"/>
            <w:vAlign w:val="bottom"/>
          </w:tcPr>
          <w:p>
            <w:pPr>
              <w:spacing w:after="0"/>
              <w:rPr>
                <w:sz w:val="18"/>
                <w:szCs w:val="18"/>
                <w:color w:val="auto"/>
              </w:rPr>
            </w:pPr>
          </w:p>
        </w:tc>
      </w:tr>
      <w:tr>
        <w:trPr>
          <w:trHeight w:val="239"/>
        </w:trPr>
        <w:tc>
          <w:tcPr>
            <w:tcW w:w="4040" w:type="dxa"/>
            <w:vAlign w:val="bottom"/>
          </w:tcPr>
          <w:p>
            <w:pPr>
              <w:spacing w:after="0"/>
              <w:rPr>
                <w:sz w:val="20"/>
                <w:szCs w:val="20"/>
                <w:color w:val="auto"/>
              </w:rPr>
            </w:pPr>
          </w:p>
        </w:tc>
        <w:tc>
          <w:tcPr>
            <w:tcW w:w="4400" w:type="dxa"/>
            <w:vAlign w:val="bottom"/>
            <w:gridSpan w:val="4"/>
          </w:tcPr>
          <w:p>
            <w:pPr>
              <w:jc w:val="center"/>
              <w:ind w:right="1240"/>
              <w:spacing w:after="0"/>
              <w:rPr>
                <w:sz w:val="20"/>
                <w:szCs w:val="20"/>
                <w:color w:val="auto"/>
              </w:rPr>
            </w:pPr>
            <w:r>
              <w:rPr>
                <w:rFonts w:ascii="Arial" w:cs="Arial" w:eastAsia="Arial" w:hAnsi="Arial"/>
                <w:sz w:val="18"/>
                <w:szCs w:val="18"/>
                <w:b w:val="1"/>
                <w:bCs w:val="1"/>
                <w:color w:val="auto"/>
              </w:rPr>
              <w:t>As of August 31, 2020</w:t>
            </w:r>
          </w:p>
        </w:tc>
        <w:tc>
          <w:tcPr>
            <w:tcW w:w="2800" w:type="dxa"/>
            <w:vAlign w:val="bottom"/>
          </w:tcPr>
          <w:p>
            <w:pPr>
              <w:spacing w:after="0"/>
              <w:rPr>
                <w:sz w:val="20"/>
                <w:szCs w:val="20"/>
                <w:color w:val="auto"/>
              </w:rPr>
            </w:pPr>
          </w:p>
        </w:tc>
      </w:tr>
      <w:tr>
        <w:trPr>
          <w:trHeight w:val="527"/>
        </w:trPr>
        <w:tc>
          <w:tcPr>
            <w:tcW w:w="4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ind w:left="20"/>
              <w:spacing w:after="0"/>
              <w:rPr>
                <w:sz w:val="20"/>
                <w:szCs w:val="20"/>
                <w:color w:val="auto"/>
              </w:rPr>
            </w:pPr>
            <w:r>
              <w:rPr>
                <w:rFonts w:ascii="Arial" w:cs="Arial" w:eastAsia="Arial" w:hAnsi="Arial"/>
                <w:sz w:val="14"/>
                <w:szCs w:val="14"/>
                <w:b w:val="1"/>
                <w:bCs w:val="1"/>
                <w:color w:val="auto"/>
              </w:rPr>
              <w:t>State or Other Jurisdiction of</w:t>
            </w:r>
          </w:p>
        </w:tc>
      </w:tr>
      <w:tr>
        <w:trPr>
          <w:trHeight w:val="196"/>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 or Affiliate</w:t>
            </w: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Principal Location</w:t>
            </w:r>
          </w:p>
        </w:tc>
        <w:tc>
          <w:tcPr>
            <w:tcW w:w="120" w:type="dxa"/>
            <w:vAlign w:val="bottom"/>
          </w:tcPr>
          <w:p>
            <w:pPr>
              <w:spacing w:after="0"/>
              <w:rPr>
                <w:sz w:val="17"/>
                <w:szCs w:val="17"/>
                <w:color w:val="auto"/>
              </w:rPr>
            </w:pPr>
          </w:p>
        </w:tc>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Incorporation or Organization</w:t>
            </w:r>
          </w:p>
        </w:tc>
      </w:tr>
      <w:tr>
        <w:trPr>
          <w:trHeight w:val="244"/>
        </w:trPr>
        <w:tc>
          <w:tcPr>
            <w:tcW w:w="4040" w:type="dxa"/>
            <w:vAlign w:val="bottom"/>
          </w:tcPr>
          <w:p>
            <w:pPr>
              <w:ind w:left="40"/>
              <w:spacing w:after="0"/>
              <w:rPr>
                <w:sz w:val="20"/>
                <w:szCs w:val="20"/>
                <w:color w:val="auto"/>
              </w:rPr>
            </w:pPr>
            <w:r>
              <w:rPr>
                <w:rFonts w:ascii="Arial" w:cs="Arial" w:eastAsia="Arial" w:hAnsi="Arial"/>
                <w:sz w:val="14"/>
                <w:szCs w:val="14"/>
                <w:color w:val="auto"/>
              </w:rPr>
              <w:t>A to Z Manufacturing L.L.C.</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Tucson, Arizona</w:t>
            </w:r>
          </w:p>
        </w:tc>
        <w:tc>
          <w:tcPr>
            <w:tcW w:w="2800" w:type="dxa"/>
            <w:vAlign w:val="bottom"/>
          </w:tcPr>
          <w:p>
            <w:pPr>
              <w:ind w:left="20"/>
              <w:spacing w:after="0"/>
              <w:rPr>
                <w:sz w:val="20"/>
                <w:szCs w:val="20"/>
                <w:color w:val="auto"/>
              </w:rPr>
            </w:pPr>
            <w:r>
              <w:rPr>
                <w:rFonts w:ascii="Arial" w:cs="Arial" w:eastAsia="Arial" w:hAnsi="Arial"/>
                <w:sz w:val="14"/>
                <w:szCs w:val="14"/>
                <w:color w:val="auto"/>
              </w:rPr>
              <w:t>Arizona</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AB BMS B.V.</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Eindhoven, the Netherlands</w:t>
            </w:r>
          </w:p>
        </w:tc>
        <w:tc>
          <w:tcPr>
            <w:tcW w:w="2800" w:type="dxa"/>
            <w:vAlign w:val="bottom"/>
          </w:tcPr>
          <w:p>
            <w:pPr>
              <w:ind w:left="20"/>
              <w:spacing w:after="0"/>
              <w:rPr>
                <w:sz w:val="20"/>
                <w:szCs w:val="20"/>
                <w:color w:val="auto"/>
              </w:rPr>
            </w:pPr>
            <w:r>
              <w:rPr>
                <w:rFonts w:ascii="Arial" w:cs="Arial" w:eastAsia="Arial" w:hAnsi="Arial"/>
                <w:sz w:val="14"/>
                <w:szCs w:val="14"/>
                <w:color w:val="auto"/>
              </w:rPr>
              <w:t>Netherlands</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AB Netherlands Holdings B.V.</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Eindhoven, the Netherlands</w:t>
            </w:r>
          </w:p>
        </w:tc>
        <w:tc>
          <w:tcPr>
            <w:tcW w:w="2800" w:type="dxa"/>
            <w:vAlign w:val="bottom"/>
          </w:tcPr>
          <w:p>
            <w:pPr>
              <w:ind w:left="20"/>
              <w:spacing w:after="0"/>
              <w:rPr>
                <w:sz w:val="20"/>
                <w:szCs w:val="20"/>
                <w:color w:val="auto"/>
              </w:rPr>
            </w:pPr>
            <w:r>
              <w:rPr>
                <w:rFonts w:ascii="Arial" w:cs="Arial" w:eastAsia="Arial" w:hAnsi="Arial"/>
                <w:sz w:val="14"/>
                <w:szCs w:val="14"/>
                <w:color w:val="auto"/>
              </w:rPr>
              <w:t>Netherlands</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ABL IP Holding LLC</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Atlanta, Georgia</w:t>
            </w:r>
          </w:p>
        </w:tc>
        <w:tc>
          <w:tcPr>
            <w:tcW w:w="2800" w:type="dxa"/>
            <w:vAlign w:val="bottom"/>
          </w:tcPr>
          <w:p>
            <w:pPr>
              <w:ind w:left="20"/>
              <w:spacing w:after="0"/>
              <w:rPr>
                <w:sz w:val="20"/>
                <w:szCs w:val="20"/>
                <w:color w:val="auto"/>
              </w:rPr>
            </w:pPr>
            <w:r>
              <w:rPr>
                <w:rFonts w:ascii="Arial" w:cs="Arial" w:eastAsia="Arial" w:hAnsi="Arial"/>
                <w:sz w:val="14"/>
                <w:szCs w:val="14"/>
                <w:color w:val="auto"/>
              </w:rPr>
              <w:t>Georgia</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Acuity Aviation LLC</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Atlanta, Georgia</w:t>
            </w:r>
          </w:p>
        </w:tc>
        <w:tc>
          <w:tcPr>
            <w:tcW w:w="2800" w:type="dxa"/>
            <w:vAlign w:val="bottom"/>
          </w:tcPr>
          <w:p>
            <w:pPr>
              <w:ind w:left="20"/>
              <w:spacing w:after="0"/>
              <w:rPr>
                <w:sz w:val="20"/>
                <w:szCs w:val="20"/>
                <w:color w:val="auto"/>
              </w:rPr>
            </w:pPr>
            <w:r>
              <w:rPr>
                <w:rFonts w:ascii="Arial" w:cs="Arial" w:eastAsia="Arial" w:hAnsi="Arial"/>
                <w:sz w:val="14"/>
                <w:szCs w:val="14"/>
                <w:color w:val="auto"/>
              </w:rPr>
              <w:t>Georgia</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Acuity Brands BMS B.V.</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Amsterdam, the Netherlands</w:t>
            </w:r>
          </w:p>
        </w:tc>
        <w:tc>
          <w:tcPr>
            <w:tcW w:w="2800" w:type="dxa"/>
            <w:vAlign w:val="bottom"/>
          </w:tcPr>
          <w:p>
            <w:pPr>
              <w:ind w:left="20"/>
              <w:spacing w:after="0"/>
              <w:rPr>
                <w:sz w:val="20"/>
                <w:szCs w:val="20"/>
                <w:color w:val="auto"/>
              </w:rPr>
            </w:pPr>
            <w:r>
              <w:rPr>
                <w:rFonts w:ascii="Arial" w:cs="Arial" w:eastAsia="Arial" w:hAnsi="Arial"/>
                <w:sz w:val="14"/>
                <w:szCs w:val="14"/>
                <w:color w:val="auto"/>
              </w:rPr>
              <w:t>Netherlands</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Acuity Brands Insurance Ltd.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Hamilton, Bermuda</w:t>
            </w:r>
          </w:p>
        </w:tc>
        <w:tc>
          <w:tcPr>
            <w:tcW w:w="2800" w:type="dxa"/>
            <w:vAlign w:val="bottom"/>
          </w:tcPr>
          <w:p>
            <w:pPr>
              <w:ind w:left="20"/>
              <w:spacing w:after="0"/>
              <w:rPr>
                <w:sz w:val="20"/>
                <w:szCs w:val="20"/>
                <w:color w:val="auto"/>
              </w:rPr>
            </w:pPr>
            <w:r>
              <w:rPr>
                <w:rFonts w:ascii="Arial" w:cs="Arial" w:eastAsia="Arial" w:hAnsi="Arial"/>
                <w:sz w:val="14"/>
                <w:szCs w:val="14"/>
                <w:color w:val="auto"/>
              </w:rPr>
              <w:t>Bermuda</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Acuity Brands Lighting, Inc.</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Atlanta, Georgia</w:t>
            </w:r>
          </w:p>
        </w:tc>
        <w:tc>
          <w:tcPr>
            <w:tcW w:w="280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Acuity Brands Lighting Canada, Inc.</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Markham, Ontario</w:t>
            </w:r>
          </w:p>
        </w:tc>
        <w:tc>
          <w:tcPr>
            <w:tcW w:w="2800" w:type="dxa"/>
            <w:vAlign w:val="bottom"/>
          </w:tcPr>
          <w:p>
            <w:pPr>
              <w:ind w:left="20"/>
              <w:spacing w:after="0"/>
              <w:rPr>
                <w:sz w:val="20"/>
                <w:szCs w:val="20"/>
                <w:color w:val="auto"/>
              </w:rPr>
            </w:pPr>
            <w:r>
              <w:rPr>
                <w:rFonts w:ascii="Arial" w:cs="Arial" w:eastAsia="Arial" w:hAnsi="Arial"/>
                <w:sz w:val="14"/>
                <w:szCs w:val="14"/>
                <w:color w:val="auto"/>
              </w:rPr>
              <w:t>Canada</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Acuity Brands Lighting Ltd.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Hong Kong</w:t>
            </w:r>
          </w:p>
        </w:tc>
        <w:tc>
          <w:tcPr>
            <w:tcW w:w="2800" w:type="dxa"/>
            <w:vAlign w:val="bottom"/>
          </w:tcPr>
          <w:p>
            <w:pPr>
              <w:ind w:left="20"/>
              <w:spacing w:after="0"/>
              <w:rPr>
                <w:sz w:val="20"/>
                <w:szCs w:val="20"/>
                <w:color w:val="auto"/>
              </w:rPr>
            </w:pPr>
            <w:r>
              <w:rPr>
                <w:rFonts w:ascii="Arial" w:cs="Arial" w:eastAsia="Arial" w:hAnsi="Arial"/>
                <w:sz w:val="14"/>
                <w:szCs w:val="14"/>
                <w:color w:val="auto"/>
              </w:rPr>
              <w:t>Hong Kong</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Acuity Brands Lighting de Mexico, S. de R.L. de C.V.</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Monterrey, Nuevo Leon</w:t>
            </w:r>
          </w:p>
        </w:tc>
        <w:tc>
          <w:tcPr>
            <w:tcW w:w="2800" w:type="dxa"/>
            <w:vAlign w:val="bottom"/>
          </w:tcPr>
          <w:p>
            <w:pPr>
              <w:ind w:left="20"/>
              <w:spacing w:after="0"/>
              <w:rPr>
                <w:sz w:val="20"/>
                <w:szCs w:val="20"/>
                <w:color w:val="auto"/>
              </w:rPr>
            </w:pPr>
            <w:r>
              <w:rPr>
                <w:rFonts w:ascii="Arial" w:cs="Arial" w:eastAsia="Arial" w:hAnsi="Arial"/>
                <w:sz w:val="14"/>
                <w:szCs w:val="14"/>
                <w:color w:val="auto"/>
              </w:rPr>
              <w:t>Mexico</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Acuity Brands Netherlands B.V.</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Eindhoven, the Netherlands</w:t>
            </w:r>
          </w:p>
        </w:tc>
        <w:tc>
          <w:tcPr>
            <w:tcW w:w="2800" w:type="dxa"/>
            <w:vAlign w:val="bottom"/>
          </w:tcPr>
          <w:p>
            <w:pPr>
              <w:ind w:left="20"/>
              <w:spacing w:after="0"/>
              <w:rPr>
                <w:sz w:val="20"/>
                <w:szCs w:val="20"/>
                <w:color w:val="auto"/>
              </w:rPr>
            </w:pPr>
            <w:r>
              <w:rPr>
                <w:rFonts w:ascii="Arial" w:cs="Arial" w:eastAsia="Arial" w:hAnsi="Arial"/>
                <w:sz w:val="14"/>
                <w:szCs w:val="14"/>
                <w:color w:val="auto"/>
              </w:rPr>
              <w:t>Netherlands</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Acuity Brands Services, Inc.</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Atlanta, Georgia</w:t>
            </w:r>
          </w:p>
        </w:tc>
        <w:tc>
          <w:tcPr>
            <w:tcW w:w="280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Acuity Brands Technology Services, Inc.</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Atlanta, Georgia</w:t>
            </w:r>
          </w:p>
        </w:tc>
        <w:tc>
          <w:tcPr>
            <w:tcW w:w="280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Acuity Mexico Holdings, LLC</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Atlanta, Georgia</w:t>
            </w:r>
          </w:p>
        </w:tc>
        <w:tc>
          <w:tcPr>
            <w:tcW w:w="280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Acuity Brands Mexico Holdings II LLC</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Atlanta, Georgia</w:t>
            </w:r>
          </w:p>
        </w:tc>
        <w:tc>
          <w:tcPr>
            <w:tcW w:w="280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Acuity Trading Co. Ltd.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Shanghai, China</w:t>
            </w:r>
          </w:p>
        </w:tc>
        <w:tc>
          <w:tcPr>
            <w:tcW w:w="2800" w:type="dxa"/>
            <w:vAlign w:val="bottom"/>
          </w:tcPr>
          <w:p>
            <w:pPr>
              <w:ind w:left="20"/>
              <w:spacing w:after="0"/>
              <w:rPr>
                <w:sz w:val="20"/>
                <w:szCs w:val="20"/>
                <w:color w:val="auto"/>
              </w:rPr>
            </w:pPr>
            <w:r>
              <w:rPr>
                <w:rFonts w:ascii="Arial" w:cs="Arial" w:eastAsia="Arial" w:hAnsi="Arial"/>
                <w:sz w:val="14"/>
                <w:szCs w:val="14"/>
                <w:color w:val="auto"/>
              </w:rPr>
              <w:t>Shanghai</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Amerillum, LLC</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Atlanta, Georgia</w:t>
            </w:r>
          </w:p>
        </w:tc>
        <w:tc>
          <w:tcPr>
            <w:tcW w:w="2800" w:type="dxa"/>
            <w:vAlign w:val="bottom"/>
          </w:tcPr>
          <w:p>
            <w:pPr>
              <w:ind w:left="20"/>
              <w:spacing w:after="0"/>
              <w:rPr>
                <w:sz w:val="20"/>
                <w:szCs w:val="20"/>
                <w:color w:val="auto"/>
              </w:rPr>
            </w:pPr>
            <w:r>
              <w:rPr>
                <w:rFonts w:ascii="Arial" w:cs="Arial" w:eastAsia="Arial" w:hAnsi="Arial"/>
                <w:sz w:val="14"/>
                <w:szCs w:val="14"/>
                <w:color w:val="auto"/>
              </w:rPr>
              <w:t>California</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Arizona Electronics Trade Co., Ltd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Tianjin, Peoples Republic of China</w:t>
            </w:r>
          </w:p>
        </w:tc>
        <w:tc>
          <w:tcPr>
            <w:tcW w:w="2800" w:type="dxa"/>
            <w:vAlign w:val="bottom"/>
          </w:tcPr>
          <w:p>
            <w:pPr>
              <w:ind w:left="20"/>
              <w:spacing w:after="0"/>
              <w:rPr>
                <w:sz w:val="20"/>
                <w:szCs w:val="20"/>
                <w:color w:val="auto"/>
              </w:rPr>
            </w:pPr>
            <w:r>
              <w:rPr>
                <w:rFonts w:ascii="Arial" w:cs="Arial" w:eastAsia="Arial" w:hAnsi="Arial"/>
                <w:sz w:val="14"/>
                <w:szCs w:val="14"/>
                <w:color w:val="auto"/>
              </w:rPr>
              <w:t>Peoples Republic of China</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Arizona Trading Company Limited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Hong Kong</w:t>
            </w:r>
          </w:p>
        </w:tc>
        <w:tc>
          <w:tcPr>
            <w:tcW w:w="2800" w:type="dxa"/>
            <w:vAlign w:val="bottom"/>
          </w:tcPr>
          <w:p>
            <w:pPr>
              <w:ind w:left="20"/>
              <w:spacing w:after="0"/>
              <w:rPr>
                <w:sz w:val="20"/>
                <w:szCs w:val="20"/>
                <w:color w:val="auto"/>
              </w:rPr>
            </w:pPr>
            <w:r>
              <w:rPr>
                <w:rFonts w:ascii="Arial" w:cs="Arial" w:eastAsia="Arial" w:hAnsi="Arial"/>
                <w:sz w:val="14"/>
                <w:szCs w:val="14"/>
                <w:color w:val="auto"/>
              </w:rPr>
              <w:t>Hong Kong</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Castlight de Mexico, S.A. de C.V.</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Matamoros, Tamaulipas</w:t>
            </w:r>
          </w:p>
        </w:tc>
        <w:tc>
          <w:tcPr>
            <w:tcW w:w="2800" w:type="dxa"/>
            <w:vAlign w:val="bottom"/>
          </w:tcPr>
          <w:p>
            <w:pPr>
              <w:ind w:left="20"/>
              <w:spacing w:after="0"/>
              <w:rPr>
                <w:sz w:val="20"/>
                <w:szCs w:val="20"/>
                <w:color w:val="auto"/>
              </w:rPr>
            </w:pPr>
            <w:r>
              <w:rPr>
                <w:rFonts w:ascii="Arial" w:cs="Arial" w:eastAsia="Arial" w:hAnsi="Arial"/>
                <w:sz w:val="14"/>
                <w:szCs w:val="14"/>
                <w:color w:val="auto"/>
              </w:rPr>
              <w:t>Mexico</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Distech Controls Inc.</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Brossard, Quebec, Canada</w:t>
            </w:r>
          </w:p>
        </w:tc>
        <w:tc>
          <w:tcPr>
            <w:tcW w:w="2800" w:type="dxa"/>
            <w:vAlign w:val="bottom"/>
          </w:tcPr>
          <w:p>
            <w:pPr>
              <w:ind w:left="20"/>
              <w:spacing w:after="0"/>
              <w:rPr>
                <w:sz w:val="20"/>
                <w:szCs w:val="20"/>
                <w:color w:val="auto"/>
              </w:rPr>
            </w:pPr>
            <w:r>
              <w:rPr>
                <w:rFonts w:ascii="Arial" w:cs="Arial" w:eastAsia="Arial" w:hAnsi="Arial"/>
                <w:sz w:val="14"/>
                <w:szCs w:val="14"/>
                <w:color w:val="auto"/>
              </w:rPr>
              <w:t>British Columbia, Canada</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Distech Controls Facility Solutions Inc.</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Ottawa, Ontario, Canada</w:t>
            </w:r>
          </w:p>
        </w:tc>
        <w:tc>
          <w:tcPr>
            <w:tcW w:w="2800" w:type="dxa"/>
            <w:vAlign w:val="bottom"/>
          </w:tcPr>
          <w:p>
            <w:pPr>
              <w:ind w:left="20"/>
              <w:spacing w:after="0"/>
              <w:rPr>
                <w:sz w:val="20"/>
                <w:szCs w:val="20"/>
                <w:color w:val="auto"/>
              </w:rPr>
            </w:pPr>
            <w:r>
              <w:rPr>
                <w:rFonts w:ascii="Arial" w:cs="Arial" w:eastAsia="Arial" w:hAnsi="Arial"/>
                <w:sz w:val="14"/>
                <w:szCs w:val="14"/>
                <w:color w:val="auto"/>
              </w:rPr>
              <w:t>Ontario, Canada</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Distech Controls Energy Services Inc.</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Brossard, Quebec, Canada</w:t>
            </w:r>
          </w:p>
        </w:tc>
        <w:tc>
          <w:tcPr>
            <w:tcW w:w="2800" w:type="dxa"/>
            <w:vAlign w:val="bottom"/>
          </w:tcPr>
          <w:p>
            <w:pPr>
              <w:ind w:left="20"/>
              <w:spacing w:after="0"/>
              <w:rPr>
                <w:sz w:val="20"/>
                <w:szCs w:val="20"/>
                <w:color w:val="auto"/>
              </w:rPr>
            </w:pPr>
            <w:r>
              <w:rPr>
                <w:rFonts w:ascii="Arial" w:cs="Arial" w:eastAsia="Arial" w:hAnsi="Arial"/>
                <w:sz w:val="14"/>
                <w:szCs w:val="14"/>
                <w:color w:val="auto"/>
              </w:rPr>
              <w:t>Quebec, Canada</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Distech Controls SAS</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Brindas, France</w:t>
            </w:r>
          </w:p>
        </w:tc>
        <w:tc>
          <w:tcPr>
            <w:tcW w:w="2800" w:type="dxa"/>
            <w:vAlign w:val="bottom"/>
          </w:tcPr>
          <w:p>
            <w:pPr>
              <w:ind w:left="20"/>
              <w:spacing w:after="0"/>
              <w:rPr>
                <w:sz w:val="20"/>
                <w:szCs w:val="20"/>
                <w:color w:val="auto"/>
              </w:rPr>
            </w:pPr>
            <w:r>
              <w:rPr>
                <w:rFonts w:ascii="Arial" w:cs="Arial" w:eastAsia="Arial" w:hAnsi="Arial"/>
                <w:sz w:val="14"/>
                <w:szCs w:val="14"/>
                <w:color w:val="auto"/>
              </w:rPr>
              <w:t>France</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Distech Controls USA Inc.</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Atlanta, Georgia</w:t>
            </w:r>
          </w:p>
        </w:tc>
        <w:tc>
          <w:tcPr>
            <w:tcW w:w="280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Distech Controls Energy Services, Inc.</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Atlanta, Georgia</w:t>
            </w:r>
          </w:p>
        </w:tc>
        <w:tc>
          <w:tcPr>
            <w:tcW w:w="2800" w:type="dxa"/>
            <w:vAlign w:val="bottom"/>
          </w:tcPr>
          <w:p>
            <w:pPr>
              <w:ind w:left="20"/>
              <w:spacing w:after="0"/>
              <w:rPr>
                <w:sz w:val="20"/>
                <w:szCs w:val="20"/>
                <w:color w:val="auto"/>
              </w:rPr>
            </w:pPr>
            <w:r>
              <w:rPr>
                <w:rFonts w:ascii="Arial" w:cs="Arial" w:eastAsia="Arial" w:hAnsi="Arial"/>
                <w:sz w:val="14"/>
                <w:szCs w:val="14"/>
                <w:color w:val="auto"/>
              </w:rPr>
              <w:t>Texas</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eldoLAB Holding B.V.</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Eindhoven, the Netherlands</w:t>
            </w:r>
          </w:p>
        </w:tc>
        <w:tc>
          <w:tcPr>
            <w:tcW w:w="2800" w:type="dxa"/>
            <w:vAlign w:val="bottom"/>
          </w:tcPr>
          <w:p>
            <w:pPr>
              <w:ind w:left="20"/>
              <w:spacing w:after="0"/>
              <w:rPr>
                <w:sz w:val="20"/>
                <w:szCs w:val="20"/>
                <w:color w:val="auto"/>
              </w:rPr>
            </w:pPr>
            <w:r>
              <w:rPr>
                <w:rFonts w:ascii="Arial" w:cs="Arial" w:eastAsia="Arial" w:hAnsi="Arial"/>
                <w:sz w:val="14"/>
                <w:szCs w:val="14"/>
                <w:color w:val="auto"/>
              </w:rPr>
              <w:t>Netherlands</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eldoLED B.V.</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Eindhoven, the Netherlands</w:t>
            </w:r>
          </w:p>
        </w:tc>
        <w:tc>
          <w:tcPr>
            <w:tcW w:w="2800" w:type="dxa"/>
            <w:vAlign w:val="bottom"/>
          </w:tcPr>
          <w:p>
            <w:pPr>
              <w:ind w:left="20"/>
              <w:spacing w:after="0"/>
              <w:rPr>
                <w:sz w:val="20"/>
                <w:szCs w:val="20"/>
                <w:color w:val="auto"/>
              </w:rPr>
            </w:pPr>
            <w:r>
              <w:rPr>
                <w:rFonts w:ascii="Arial" w:cs="Arial" w:eastAsia="Arial" w:hAnsi="Arial"/>
                <w:sz w:val="14"/>
                <w:szCs w:val="14"/>
                <w:color w:val="auto"/>
              </w:rPr>
              <w:t>Netherlands</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EXY Poland sp. z o.o.</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Warsaw, Poland</w:t>
            </w:r>
          </w:p>
        </w:tc>
        <w:tc>
          <w:tcPr>
            <w:tcW w:w="2800" w:type="dxa"/>
            <w:vAlign w:val="bottom"/>
          </w:tcPr>
          <w:p>
            <w:pPr>
              <w:ind w:left="20"/>
              <w:spacing w:after="0"/>
              <w:rPr>
                <w:sz w:val="20"/>
                <w:szCs w:val="20"/>
                <w:color w:val="auto"/>
              </w:rPr>
            </w:pPr>
            <w:r>
              <w:rPr>
                <w:rFonts w:ascii="Arial" w:cs="Arial" w:eastAsia="Arial" w:hAnsi="Arial"/>
                <w:sz w:val="14"/>
                <w:szCs w:val="14"/>
                <w:color w:val="auto"/>
              </w:rPr>
              <w:t>Poland</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Holophane S.A. de C.V.</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Mexico City, Mexico</w:t>
            </w:r>
          </w:p>
        </w:tc>
        <w:tc>
          <w:tcPr>
            <w:tcW w:w="2800" w:type="dxa"/>
            <w:vAlign w:val="bottom"/>
          </w:tcPr>
          <w:p>
            <w:pPr>
              <w:ind w:left="20"/>
              <w:spacing w:after="0"/>
              <w:rPr>
                <w:sz w:val="20"/>
                <w:szCs w:val="20"/>
                <w:color w:val="auto"/>
              </w:rPr>
            </w:pPr>
            <w:r>
              <w:rPr>
                <w:rFonts w:ascii="Arial" w:cs="Arial" w:eastAsia="Arial" w:hAnsi="Arial"/>
                <w:sz w:val="14"/>
                <w:szCs w:val="14"/>
                <w:color w:val="auto"/>
              </w:rPr>
              <w:t>Mexico</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Holophane Europe Ltd.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Milton Keynes, England</w:t>
            </w:r>
          </w:p>
        </w:tc>
        <w:tc>
          <w:tcPr>
            <w:tcW w:w="2800" w:type="dxa"/>
            <w:vAlign w:val="bottom"/>
          </w:tcPr>
          <w:p>
            <w:pPr>
              <w:ind w:left="20"/>
              <w:spacing w:after="0"/>
              <w:rPr>
                <w:sz w:val="20"/>
                <w:szCs w:val="20"/>
                <w:color w:val="auto"/>
              </w:rPr>
            </w:pPr>
            <w:r>
              <w:rPr>
                <w:rFonts w:ascii="Arial" w:cs="Arial" w:eastAsia="Arial" w:hAnsi="Arial"/>
                <w:sz w:val="14"/>
                <w:szCs w:val="14"/>
                <w:color w:val="auto"/>
              </w:rPr>
              <w:t>United Kingdom</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Holophane Lighting Ltd.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Milton Keynes, England</w:t>
            </w:r>
          </w:p>
        </w:tc>
        <w:tc>
          <w:tcPr>
            <w:tcW w:w="2800" w:type="dxa"/>
            <w:vAlign w:val="bottom"/>
          </w:tcPr>
          <w:p>
            <w:pPr>
              <w:ind w:left="20"/>
              <w:spacing w:after="0"/>
              <w:rPr>
                <w:sz w:val="20"/>
                <w:szCs w:val="20"/>
                <w:color w:val="auto"/>
              </w:rPr>
            </w:pPr>
            <w:r>
              <w:rPr>
                <w:rFonts w:ascii="Arial" w:cs="Arial" w:eastAsia="Arial" w:hAnsi="Arial"/>
                <w:sz w:val="14"/>
                <w:szCs w:val="14"/>
                <w:color w:val="auto"/>
              </w:rPr>
              <w:t>United Kingdom</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HSA Acquisition Company, LLC</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Atlanta, Georgia</w:t>
            </w:r>
          </w:p>
        </w:tc>
        <w:tc>
          <w:tcPr>
            <w:tcW w:w="2800" w:type="dxa"/>
            <w:vAlign w:val="bottom"/>
          </w:tcPr>
          <w:p>
            <w:pPr>
              <w:ind w:left="20"/>
              <w:spacing w:after="0"/>
              <w:rPr>
                <w:sz w:val="20"/>
                <w:szCs w:val="20"/>
                <w:color w:val="auto"/>
              </w:rPr>
            </w:pPr>
            <w:r>
              <w:rPr>
                <w:rFonts w:ascii="Arial" w:cs="Arial" w:eastAsia="Arial" w:hAnsi="Arial"/>
                <w:sz w:val="14"/>
                <w:szCs w:val="14"/>
                <w:color w:val="auto"/>
              </w:rPr>
              <w:t>Ohio</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ID Limited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Douglas, Isle of Man</w:t>
            </w:r>
          </w:p>
        </w:tc>
        <w:tc>
          <w:tcPr>
            <w:tcW w:w="2800" w:type="dxa"/>
            <w:vAlign w:val="bottom"/>
          </w:tcPr>
          <w:p>
            <w:pPr>
              <w:ind w:left="20"/>
              <w:spacing w:after="0"/>
              <w:rPr>
                <w:sz w:val="20"/>
                <w:szCs w:val="20"/>
                <w:color w:val="auto"/>
              </w:rPr>
            </w:pPr>
            <w:r>
              <w:rPr>
                <w:rFonts w:ascii="Arial" w:cs="Arial" w:eastAsia="Arial" w:hAnsi="Arial"/>
                <w:sz w:val="14"/>
                <w:szCs w:val="14"/>
                <w:color w:val="auto"/>
              </w:rPr>
              <w:t>Isle of Man</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Luminaire LED, LLC</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Atlanta, Georgia</w:t>
            </w:r>
          </w:p>
        </w:tc>
        <w:tc>
          <w:tcPr>
            <w:tcW w:w="280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Luxfab Limited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Milton Keynes, England</w:t>
            </w:r>
          </w:p>
        </w:tc>
        <w:tc>
          <w:tcPr>
            <w:tcW w:w="2800" w:type="dxa"/>
            <w:vAlign w:val="bottom"/>
          </w:tcPr>
          <w:p>
            <w:pPr>
              <w:ind w:left="20"/>
              <w:spacing w:after="0"/>
              <w:rPr>
                <w:sz w:val="20"/>
                <w:szCs w:val="20"/>
                <w:color w:val="auto"/>
              </w:rPr>
            </w:pPr>
            <w:r>
              <w:rPr>
                <w:rFonts w:ascii="Arial" w:cs="Arial" w:eastAsia="Arial" w:hAnsi="Arial"/>
                <w:sz w:val="14"/>
                <w:szCs w:val="14"/>
                <w:color w:val="auto"/>
              </w:rPr>
              <w:t>United Kingdom</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The Luminaires Group Inc.</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Montreal, Quebec, Canada</w:t>
            </w:r>
          </w:p>
        </w:tc>
        <w:tc>
          <w:tcPr>
            <w:tcW w:w="2800" w:type="dxa"/>
            <w:vAlign w:val="bottom"/>
          </w:tcPr>
          <w:p>
            <w:pPr>
              <w:ind w:left="20"/>
              <w:spacing w:after="0"/>
              <w:rPr>
                <w:sz w:val="20"/>
                <w:szCs w:val="20"/>
                <w:color w:val="auto"/>
              </w:rPr>
            </w:pPr>
            <w:r>
              <w:rPr>
                <w:rFonts w:ascii="Arial" w:cs="Arial" w:eastAsia="Arial" w:hAnsi="Arial"/>
                <w:sz w:val="14"/>
                <w:szCs w:val="14"/>
                <w:color w:val="auto"/>
              </w:rPr>
              <w:t>Quebec, Canada</w:t>
            </w:r>
          </w:p>
        </w:tc>
      </w:tr>
      <w:tr>
        <w:trPr>
          <w:trHeight w:val="270"/>
        </w:trPr>
        <w:tc>
          <w:tcPr>
            <w:tcW w:w="4040" w:type="dxa"/>
            <w:vAlign w:val="bottom"/>
          </w:tcPr>
          <w:p>
            <w:pPr>
              <w:ind w:left="40"/>
              <w:spacing w:after="0"/>
              <w:rPr>
                <w:sz w:val="20"/>
                <w:szCs w:val="20"/>
                <w:color w:val="auto"/>
              </w:rPr>
            </w:pPr>
            <w:r>
              <w:rPr>
                <w:rFonts w:ascii="Arial" w:cs="Arial" w:eastAsia="Arial" w:hAnsi="Arial"/>
                <w:sz w:val="14"/>
                <w:szCs w:val="14"/>
                <w:color w:val="auto"/>
              </w:rPr>
              <w:t>The Luminaires Group U.S.A., LLC</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gridSpan w:val="2"/>
          </w:tcPr>
          <w:p>
            <w:pPr>
              <w:ind w:left="20"/>
              <w:spacing w:after="0"/>
              <w:rPr>
                <w:sz w:val="20"/>
                <w:szCs w:val="20"/>
                <w:color w:val="auto"/>
              </w:rPr>
            </w:pPr>
            <w:r>
              <w:rPr>
                <w:rFonts w:ascii="Arial" w:cs="Arial" w:eastAsia="Arial" w:hAnsi="Arial"/>
                <w:sz w:val="14"/>
                <w:szCs w:val="14"/>
                <w:color w:val="auto"/>
              </w:rPr>
              <w:t>Atlanta, Georgia</w:t>
            </w:r>
          </w:p>
        </w:tc>
        <w:tc>
          <w:tcPr>
            <w:tcW w:w="2800" w:type="dxa"/>
            <w:vAlign w:val="bottom"/>
          </w:tcPr>
          <w:p>
            <w:pPr>
              <w:ind w:left="20"/>
              <w:spacing w:after="0"/>
              <w:rPr>
                <w:sz w:val="20"/>
                <w:szCs w:val="20"/>
                <w:color w:val="auto"/>
              </w:rPr>
            </w:pPr>
            <w:r>
              <w:rPr>
                <w:rFonts w:ascii="Arial" w:cs="Arial" w:eastAsia="Arial" w:hAnsi="Arial"/>
                <w:sz w:val="14"/>
                <w:szCs w:val="14"/>
                <w:color w:val="auto"/>
              </w:rPr>
              <w:t>Delaware</w:t>
            </w:r>
          </w:p>
        </w:tc>
      </w:tr>
    </w:tbl>
    <w:p>
      <w:pPr>
        <w:sectPr>
          <w:pgSz w:w="11900" w:h="16838" w:orient="portrait"/>
          <w:cols w:equalWidth="0" w:num="1">
            <w:col w:w="11240"/>
          </w:cols>
          <w:pgMar w:left="320" w:top="118"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22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Guarantors and Subsidiary Issuers of Guaranteed Securities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Acuity Brands Lighting, Inc., a Delaware corporation, may issue debt securities under a registration statement on Form S-3 filed with the Securities and Exchange Commission that are fully and unconditionally guaranteed by Acuity Brands, Inc. (the “Company”) and the following subsidiary of the Company.</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Subsidiary Name</w:t>
            </w:r>
          </w:p>
        </w:tc>
        <w:tc>
          <w:tcPr>
            <w:tcW w:w="92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State or Country of Incorporation or Formation</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ABL IP Holding LLC</w:t>
            </w:r>
          </w:p>
        </w:tc>
        <w:tc>
          <w:tcPr>
            <w:tcW w:w="9280" w:type="dxa"/>
            <w:vAlign w:val="bottom"/>
          </w:tcPr>
          <w:p>
            <w:pPr>
              <w:ind w:left="320"/>
              <w:spacing w:after="0"/>
              <w:rPr>
                <w:sz w:val="20"/>
                <w:szCs w:val="20"/>
                <w:color w:val="auto"/>
              </w:rPr>
            </w:pPr>
            <w:r>
              <w:rPr>
                <w:rFonts w:ascii="Arial" w:cs="Arial" w:eastAsia="Arial" w:hAnsi="Arial"/>
                <w:sz w:val="18"/>
                <w:szCs w:val="18"/>
                <w:color w:val="auto"/>
              </w:rPr>
              <w:t>Georgia</w:t>
            </w:r>
          </w:p>
        </w:tc>
      </w:tr>
    </w:tbl>
    <w:p>
      <w:pPr>
        <w:sectPr>
          <w:pgSz w:w="11900" w:h="16838" w:orient="portrait"/>
          <w:cols w:equalWidth="0" w:num="1">
            <w:col w:w="11240"/>
          </w:cols>
          <w:pgMar w:left="320" w:top="118"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4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93" w:lineRule="exact"/>
        <w:rPr>
          <w:sz w:val="20"/>
          <w:szCs w:val="20"/>
          <w:color w:val="auto"/>
        </w:rPr>
      </w:pPr>
    </w:p>
    <w:p>
      <w:pPr>
        <w:ind w:left="600" w:right="200" w:hanging="472"/>
        <w:spacing w:after="0" w:line="238" w:lineRule="auto"/>
        <w:tabs>
          <w:tab w:leader="none" w:pos="6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Registration Statement (Form S-8 No. 333-74242) pertaining to the Acuity Brands, Inc. 401(k) Plan, Acuity Lighting Group, Inc. 401(k) Profit Sharing Retirement Plan for Salaried Employees, Acuity Lighting Group, Inc. 401(k) Plan for Hourly Employees, Holophane Division of Acuity Lighting Group 401(k) Plan for Hourly Employees, Holophane Division of Acuity Lighting Group 401(k) Plan for Hourly Employees Covered by a Collective Bargaining Agreement,</w:t>
      </w:r>
    </w:p>
    <w:p>
      <w:pPr>
        <w:spacing w:after="0" w:line="42" w:lineRule="exact"/>
        <w:rPr>
          <w:rFonts w:ascii="Arial" w:cs="Arial" w:eastAsia="Arial" w:hAnsi="Arial"/>
          <w:sz w:val="18"/>
          <w:szCs w:val="18"/>
          <w:color w:val="auto"/>
        </w:rPr>
      </w:pPr>
    </w:p>
    <w:p>
      <w:pPr>
        <w:ind w:left="600" w:right="60" w:hanging="472"/>
        <w:spacing w:after="0" w:line="246" w:lineRule="auto"/>
        <w:tabs>
          <w:tab w:leader="none" w:pos="6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Registration Statement (Form S-8 No. 333-74246) pertaining to the Acuity Brands, Inc. Long-Term Incentive Plan, Acuity Brands, Inc. Employee Stock Purchase Plan, Acuity Brands, Inc. 2001 Nonemployee Directors' Stock Option Plan,</w:t>
      </w:r>
    </w:p>
    <w:p>
      <w:pPr>
        <w:spacing w:after="0" w:line="34" w:lineRule="exact"/>
        <w:rPr>
          <w:rFonts w:ascii="Arial" w:cs="Arial" w:eastAsia="Arial" w:hAnsi="Arial"/>
          <w:sz w:val="18"/>
          <w:szCs w:val="18"/>
          <w:color w:val="auto"/>
        </w:rPr>
      </w:pPr>
    </w:p>
    <w:p>
      <w:pPr>
        <w:ind w:left="600" w:hanging="472"/>
        <w:spacing w:after="0"/>
        <w:tabs>
          <w:tab w:leader="none" w:pos="6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Registration Statement (Form S-8 No. 333-123999) pertaining to the Acuity Brands, Inc. 401(k) Plan,</w:t>
      </w:r>
    </w:p>
    <w:p>
      <w:pPr>
        <w:spacing w:after="0" w:line="49" w:lineRule="exact"/>
        <w:rPr>
          <w:rFonts w:ascii="Arial" w:cs="Arial" w:eastAsia="Arial" w:hAnsi="Arial"/>
          <w:sz w:val="18"/>
          <w:szCs w:val="18"/>
          <w:color w:val="auto"/>
        </w:rPr>
      </w:pPr>
    </w:p>
    <w:p>
      <w:pPr>
        <w:ind w:left="600" w:right="120" w:hanging="472"/>
        <w:spacing w:after="0" w:line="246" w:lineRule="auto"/>
        <w:tabs>
          <w:tab w:leader="none" w:pos="6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Registration Statement (Form S-8 No. 333-126521) pertaining to the Acuity Brands, Inc. Long-Term Incentive Plan (as amended and restated),</w:t>
      </w:r>
    </w:p>
    <w:p>
      <w:pPr>
        <w:spacing w:after="0" w:line="34" w:lineRule="exact"/>
        <w:rPr>
          <w:rFonts w:ascii="Arial" w:cs="Arial" w:eastAsia="Arial" w:hAnsi="Arial"/>
          <w:sz w:val="18"/>
          <w:szCs w:val="18"/>
          <w:color w:val="auto"/>
        </w:rPr>
      </w:pPr>
    </w:p>
    <w:p>
      <w:pPr>
        <w:ind w:left="600" w:right="160" w:hanging="472"/>
        <w:spacing w:after="0" w:line="246" w:lineRule="auto"/>
        <w:tabs>
          <w:tab w:leader="none" w:pos="6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Registration Statement (Form S-8 No. 333-138384) pertaining to the Acuity Brands, Inc. 2005 Supplemental Deferred Savings Plan, Acuity Brands, Inc. Nonemployee Director Deferred Compensation Plan (as amended and restated),</w:t>
      </w:r>
    </w:p>
    <w:p>
      <w:pPr>
        <w:spacing w:after="0" w:line="34" w:lineRule="exact"/>
        <w:rPr>
          <w:rFonts w:ascii="Arial" w:cs="Arial" w:eastAsia="Arial" w:hAnsi="Arial"/>
          <w:sz w:val="18"/>
          <w:szCs w:val="18"/>
          <w:color w:val="auto"/>
        </w:rPr>
      </w:pPr>
    </w:p>
    <w:p>
      <w:pPr>
        <w:ind w:left="600" w:right="120" w:hanging="472"/>
        <w:spacing w:after="0" w:line="246" w:lineRule="auto"/>
        <w:tabs>
          <w:tab w:leader="none" w:pos="6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Registration Statement (Form S-8 No. 333-152134) pertaining to the Acuity Brands, Inc. Long-Term Incentive Plan (as amended and restated),</w:t>
      </w:r>
    </w:p>
    <w:p>
      <w:pPr>
        <w:spacing w:after="0" w:line="34" w:lineRule="exact"/>
        <w:rPr>
          <w:rFonts w:ascii="Arial" w:cs="Arial" w:eastAsia="Arial" w:hAnsi="Arial"/>
          <w:sz w:val="18"/>
          <w:szCs w:val="18"/>
          <w:color w:val="auto"/>
        </w:rPr>
      </w:pPr>
    </w:p>
    <w:p>
      <w:pPr>
        <w:ind w:left="600" w:right="620" w:hanging="472"/>
        <w:spacing w:after="0" w:line="246" w:lineRule="auto"/>
        <w:tabs>
          <w:tab w:leader="none" w:pos="6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Registration Statement (Form S-8 No. 333-179243) pertaining to the Acuity Brands, Inc. 2011 Nonemployee Director Deferred Compensation Plan,</w:t>
      </w:r>
    </w:p>
    <w:p>
      <w:pPr>
        <w:spacing w:after="0" w:line="34" w:lineRule="exact"/>
        <w:rPr>
          <w:rFonts w:ascii="Arial" w:cs="Arial" w:eastAsia="Arial" w:hAnsi="Arial"/>
          <w:sz w:val="18"/>
          <w:szCs w:val="18"/>
          <w:color w:val="auto"/>
        </w:rPr>
      </w:pPr>
    </w:p>
    <w:p>
      <w:pPr>
        <w:ind w:left="600" w:right="1160" w:hanging="472"/>
        <w:spacing w:after="0" w:line="246" w:lineRule="auto"/>
        <w:tabs>
          <w:tab w:leader="none" w:pos="6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Registration Statement (Form S-8 No. 333-185971) pertaining to the Acuity Brands, Inc. 2012 Omnibus Stock Incentive Compensation Plan, and</w:t>
      </w:r>
    </w:p>
    <w:p>
      <w:pPr>
        <w:spacing w:after="0" w:line="34" w:lineRule="exact"/>
        <w:rPr>
          <w:rFonts w:ascii="Arial" w:cs="Arial" w:eastAsia="Arial" w:hAnsi="Arial"/>
          <w:sz w:val="18"/>
          <w:szCs w:val="18"/>
          <w:color w:val="auto"/>
        </w:rPr>
      </w:pPr>
    </w:p>
    <w:p>
      <w:pPr>
        <w:ind w:left="600" w:right="500" w:hanging="472"/>
        <w:spacing w:after="0" w:line="246" w:lineRule="auto"/>
        <w:tabs>
          <w:tab w:leader="none" w:pos="6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Registration Statement (Form S-8 No. 333-222510) pertaining to the Amended and Restated Acuity Brands, Inc. 2012 Omnibus Stock Incentive Compensation Plan;</w:t>
      </w:r>
    </w:p>
    <w:p>
      <w:pPr>
        <w:spacing w:after="0" w:line="12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of our reports dated October 23, 2020, with respect to the consolidated financial statements and schedule of Acuity Brands, Inc. and the effectiveness of internal control over financial reporting of Acuity Brands, Inc. included in this Annual Report (Form 10-K) of Acuity Brands, Inc. for the year ended August 31, 2020.</w:t>
      </w: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Ernst &amp; Young LLP</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October 23, 2020</w:t>
      </w:r>
    </w:p>
    <w:p>
      <w:pPr>
        <w:sectPr>
          <w:pgSz w:w="11900" w:h="16838" w:orient="portrait"/>
          <w:cols w:equalWidth="0" w:num="1">
            <w:col w:w="11240"/>
          </w:cols>
          <w:pgMar w:left="320" w:top="118"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2020,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W. Patrick Battle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-19050</wp:posOffset>
            </wp:positionV>
            <wp:extent cx="15303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66">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W. Patrick Battle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23, 2020</w:t>
      </w:r>
    </w:p>
    <w:p>
      <w:pPr>
        <w:sectPr>
          <w:pgSz w:w="11900" w:h="16838" w:orient="portrait"/>
          <w:cols w:equalWidth="0" w:num="1">
            <w:col w:w="11240"/>
          </w:cols>
          <w:pgMar w:left="320" w:top="118"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2020,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Peter C. Browning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-19050</wp:posOffset>
            </wp:positionV>
            <wp:extent cx="16192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67">
                      <a:extLst>
                        <a:ext uri="{28A0092B-C50C-407E-A947-70E740481C1C}"/>
                      </a:extLst>
                    </a:blip>
                    <a:srcRect/>
                    <a:stretch>
                      <a:fillRect/>
                    </a:stretch>
                  </pic:blipFill>
                  <pic:spPr bwMode="auto">
                    <a:xfrm>
                      <a:off x="0" y="0"/>
                      <a:ext cx="1619250" cy="825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Peter C. Browning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23, 2020</w:t>
      </w:r>
    </w:p>
    <w:p>
      <w:pPr>
        <w:sectPr>
          <w:pgSz w:w="11900" w:h="16838" w:orient="portrait"/>
          <w:cols w:equalWidth="0" w:num="1">
            <w:col w:w="11240"/>
          </w:cols>
          <w:pgMar w:left="320" w:top="118"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2020,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G. Douglas Dillard,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-19050</wp:posOffset>
            </wp:positionV>
            <wp:extent cx="16192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68">
                      <a:extLst>
                        <a:ext uri="{28A0092B-C50C-407E-A947-70E740481C1C}"/>
                      </a:extLst>
                    </a:blip>
                    <a:srcRect/>
                    <a:stretch>
                      <a:fillRect/>
                    </a:stretch>
                  </pic:blipFill>
                  <pic:spPr bwMode="auto">
                    <a:xfrm>
                      <a:off x="0" y="0"/>
                      <a:ext cx="1619250" cy="825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G. Douglas Dillard, Jr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23, 2020</w:t>
      </w:r>
    </w:p>
    <w:p>
      <w:pPr>
        <w:sectPr>
          <w:pgSz w:w="11900" w:h="16838" w:orient="portrait"/>
          <w:cols w:equalWidth="0" w:num="1">
            <w:col w:w="11240"/>
          </w:cols>
          <w:pgMar w:left="320" w:top="118"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2020,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James H. Hance,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-19050</wp:posOffset>
            </wp:positionV>
            <wp:extent cx="16891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69">
                      <a:extLst>
                        <a:ext uri="{28A0092B-C50C-407E-A947-70E740481C1C}"/>
                      </a:extLst>
                    </a:blip>
                    <a:srcRect/>
                    <a:stretch>
                      <a:fillRect/>
                    </a:stretch>
                  </pic:blipFill>
                  <pic:spPr bwMode="auto">
                    <a:xfrm>
                      <a:off x="0" y="0"/>
                      <a:ext cx="1689100" cy="825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James H. Hance, Jr.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23, 2020</w:t>
      </w:r>
    </w:p>
    <w:p>
      <w:pPr>
        <w:sectPr>
          <w:pgSz w:w="11900" w:h="16838" w:orient="portrait"/>
          <w:cols w:equalWidth="0" w:num="1">
            <w:col w:w="11240"/>
          </w:cols>
          <w:pgMar w:left="320" w:top="118"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2020,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Maya Leibman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-19050</wp:posOffset>
            </wp:positionV>
            <wp:extent cx="14414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70">
                      <a:extLst>
                        <a:ext uri="{28A0092B-C50C-407E-A947-70E740481C1C}"/>
                      </a:extLst>
                    </a:blip>
                    <a:srcRect/>
                    <a:stretch>
                      <a:fillRect/>
                    </a:stretch>
                  </pic:blipFill>
                  <pic:spPr bwMode="auto">
                    <a:xfrm>
                      <a:off x="0" y="0"/>
                      <a:ext cx="1441450"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Maya Leibman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23, 2020</w:t>
      </w:r>
    </w:p>
    <w:p>
      <w:pPr>
        <w:sectPr>
          <w:pgSz w:w="11900" w:h="16838" w:orient="portrait"/>
          <w:cols w:equalWidth="0" w:num="1">
            <w:col w:w="11240"/>
          </w:cols>
          <w:pgMar w:left="320" w:top="118"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24</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2020,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Robert F. McCullough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-19050</wp:posOffset>
            </wp:positionV>
            <wp:extent cx="1663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Robert F. McCullough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23, 2020</w:t>
      </w:r>
    </w:p>
    <w:p>
      <w:pPr>
        <w:sectPr>
          <w:pgSz w:w="11900" w:h="16838" w:orient="portrait"/>
          <w:cols w:equalWidth="0" w:num="1">
            <w:col w:w="11240"/>
          </w:cols>
          <w:pgMar w:left="320" w:top="118"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24</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2020,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-19050</wp:posOffset>
            </wp:positionV>
            <wp:extent cx="13462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72">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Vernon J. Nagel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23, 2020</w:t>
      </w:r>
    </w:p>
    <w:p>
      <w:pPr>
        <w:sectPr>
          <w:pgSz w:w="11900" w:h="16838" w:orient="portrait"/>
          <w:cols w:equalWidth="0" w:num="1">
            <w:col w:w="11240"/>
          </w:cols>
          <w:pgMar w:left="320" w:top="118"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2020,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Laura G.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-19050</wp:posOffset>
            </wp:positionV>
            <wp:extent cx="17170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73">
                      <a:extLst>
                        <a:ext uri="{28A0092B-C50C-407E-A947-70E740481C1C}"/>
                      </a:extLst>
                    </a:blip>
                    <a:srcRect/>
                    <a:stretch>
                      <a:fillRect/>
                    </a:stretch>
                  </pic:blipFill>
                  <pic:spPr bwMode="auto">
                    <a:xfrm>
                      <a:off x="0" y="0"/>
                      <a:ext cx="1717040"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Laura G. O'Shaughnessy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23, 2020</w:t>
      </w:r>
    </w:p>
    <w:p>
      <w:pPr>
        <w:sectPr>
          <w:pgSz w:w="11900" w:h="16838" w:orient="portrait"/>
          <w:cols w:equalWidth="0" w:num="1">
            <w:col w:w="11240"/>
          </w:cols>
          <w:pgMar w:left="320" w:top="118"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2020,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Dominic J. Pileggi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-19050</wp:posOffset>
            </wp:positionV>
            <wp:extent cx="14725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74">
                      <a:extLst>
                        <a:ext uri="{28A0092B-C50C-407E-A947-70E740481C1C}"/>
                      </a:extLst>
                    </a:blip>
                    <a:srcRect/>
                    <a:stretch>
                      <a:fillRect/>
                    </a:stretch>
                  </pic:blipFill>
                  <pic:spPr bwMode="auto">
                    <a:xfrm>
                      <a:off x="0" y="0"/>
                      <a:ext cx="1472565"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Dominic J. Pileggi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23, 2020</w:t>
      </w:r>
    </w:p>
    <w:p>
      <w:pPr>
        <w:sectPr>
          <w:pgSz w:w="11900" w:h="16838" w:orient="portrait"/>
          <w:cols w:equalWidth="0" w:num="1">
            <w:col w:w="11240"/>
          </w:cols>
          <w:pgMar w:left="320" w:top="118"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2020,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Ray M.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-19050</wp:posOffset>
            </wp:positionV>
            <wp:extent cx="14408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7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Ray M. Robinson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23, 2020</w:t>
      </w:r>
    </w:p>
    <w:p>
      <w:pPr>
        <w:sectPr>
          <w:pgSz w:w="11900" w:h="16838" w:orient="portrait"/>
          <w:cols w:equalWidth="0" w:num="1">
            <w:col w:w="11240"/>
          </w:cols>
          <w:pgMar w:left="320" w:top="118"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KNOW ALL MEN BY THESE PRESENTS, that the undersigned hereby constitutes and appoints Neil M. Ashe and Karen J. Holcom, and each of them individually, his or her true and lawful attorneys-in-fact (with full power of substitution and resubstitution) to act for the undersigned in his or her name, place, and stead in his or her capacity as a director or officer of Acuity Brands, Inc., to file a registrant's annual report on Form 10-K for the fiscal year ended August 31, 2020,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or she might or could do in person, hereby ratifying and confirming all that said attorneys-in-fact or either of them, or their substitutes, may lawfully do or cause to be done by virtue hereof.</w:t>
      </w:r>
    </w:p>
    <w:p>
      <w:pPr>
        <w:spacing w:after="0" w:line="2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Mary A. Winston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-19050</wp:posOffset>
            </wp:positionV>
            <wp:extent cx="14027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76">
                      <a:extLst>
                        <a:ext uri="{28A0092B-C50C-407E-A947-70E740481C1C}"/>
                      </a:extLst>
                    </a:blip>
                    <a:srcRect/>
                    <a:stretch>
                      <a:fillRect/>
                    </a:stretch>
                  </pic:blipFill>
                  <pic:spPr bwMode="auto">
                    <a:xfrm>
                      <a:off x="0" y="0"/>
                      <a:ext cx="1402715"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Mary A. Winston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23, 2020</w:t>
      </w:r>
    </w:p>
    <w:p>
      <w:pPr>
        <w:sectPr>
          <w:pgSz w:w="11900" w:h="16838" w:orient="portrait"/>
          <w:cols w:equalWidth="0" w:num="1">
            <w:col w:w="11240"/>
          </w:cols>
          <w:pgMar w:left="320" w:top="118"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I, Neil M. Ashe, certify that:</w:t>
      </w:r>
    </w:p>
    <w:p>
      <w:pPr>
        <w:spacing w:after="0" w:line="117" w:lineRule="exact"/>
        <w:rPr>
          <w:sz w:val="20"/>
          <w:szCs w:val="20"/>
          <w:color w:val="auto"/>
        </w:rPr>
      </w:pPr>
    </w:p>
    <w:p>
      <w:pPr>
        <w:ind w:left="660" w:hanging="652"/>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Acuity Brands, Inc.;</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hanging="644"/>
        <w:spacing w:after="0" w:line="256" w:lineRule="auto"/>
        <w:tabs>
          <w:tab w:leader="none" w:pos="13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30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00" w:hanging="644"/>
        <w:spacing w:after="0" w:line="256" w:lineRule="auto"/>
        <w:tabs>
          <w:tab w:leader="none" w:pos="13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20" w:hanging="644"/>
        <w:spacing w:after="0" w:line="256" w:lineRule="auto"/>
        <w:tabs>
          <w:tab w:leader="none" w:pos="13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40" w:hanging="652"/>
        <w:spacing w:after="0" w:line="256"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3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3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2020</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90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77">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Neil M. Ashe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13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I, Karen J. Holcom, certify that:</w:t>
      </w:r>
    </w:p>
    <w:p>
      <w:pPr>
        <w:spacing w:after="0" w:line="117" w:lineRule="exact"/>
        <w:rPr>
          <w:sz w:val="20"/>
          <w:szCs w:val="20"/>
          <w:color w:val="auto"/>
        </w:rPr>
      </w:pPr>
    </w:p>
    <w:p>
      <w:pPr>
        <w:ind w:left="660" w:hanging="652"/>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Acuity Brands, Inc.;</w:t>
      </w:r>
    </w:p>
    <w:p>
      <w:pPr>
        <w:spacing w:after="0" w:line="117" w:lineRule="exact"/>
        <w:rPr>
          <w:rFonts w:ascii="Arial" w:cs="Arial" w:eastAsia="Arial" w:hAnsi="Arial"/>
          <w:sz w:val="18"/>
          <w:szCs w:val="18"/>
          <w:color w:val="auto"/>
        </w:rPr>
      </w:pPr>
    </w:p>
    <w:p>
      <w:pPr>
        <w:ind w:left="660" w:right="80" w:hanging="652"/>
        <w:spacing w:after="0" w:line="256"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hanging="644"/>
        <w:spacing w:after="0" w:line="256" w:lineRule="auto"/>
        <w:tabs>
          <w:tab w:leader="none" w:pos="13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644"/>
        <w:spacing w:after="0" w:line="278" w:lineRule="auto"/>
        <w:tabs>
          <w:tab w:leader="none" w:pos="130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00" w:hanging="644"/>
        <w:spacing w:after="0" w:line="256" w:lineRule="auto"/>
        <w:tabs>
          <w:tab w:leader="none" w:pos="13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20" w:hanging="644"/>
        <w:spacing w:after="0" w:line="256" w:lineRule="auto"/>
        <w:tabs>
          <w:tab w:leader="none" w:pos="13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340" w:hanging="652"/>
        <w:spacing w:after="0" w:line="256"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right="440" w:hanging="644"/>
        <w:spacing w:after="0" w:line="256" w:lineRule="auto"/>
        <w:tabs>
          <w:tab w:leader="none" w:pos="13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644"/>
        <w:spacing w:after="0" w:line="261" w:lineRule="auto"/>
        <w:tabs>
          <w:tab w:leader="none" w:pos="13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2020</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90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78">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Karen J. Holcom</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13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32(A)</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Annual Report on Form 10-K of Acuity Brands, Inc. (the “Corporation”) for the year ended August 31, 2020, as filed with the Securities and Exchange Commission on the date hereof (the “Report”), the undersigned, the Chairman and Chief Executive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61" w:lineRule="auto"/>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90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79">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Neil M. Ashe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23, 2020</w:t>
      </w:r>
    </w:p>
    <w:p>
      <w:pPr>
        <w:spacing w:after="0" w:line="13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32(B)</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Annual Report on Form 10-K of Acuity Brands, Inc. (the “Corporation”) for the year ended August 31, 2020, as filed with the Securities and Exchange Commission on the date hereof (the “Report”), the undersigned, the Senior Vice President and Chief Financial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61" w:lineRule="auto"/>
        <w:tabs>
          <w:tab w:leader="none" w:pos="13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90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8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Karen J. Holcom</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23, 2020</w:t>
      </w:r>
    </w:p>
    <w:p>
      <w:pPr>
        <w:spacing w:after="0" w:line="13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1)"/>
      <w:numFmt w:val="decimal"/>
      <w:start w:val="1"/>
    </w:lvl>
  </w:abstractNum>
  <w:abstractNum w:abstractNumId="4">
    <w:nsid w:val="613EFDC5"/>
    <w:multiLevelType w:val="hybridMultilevel"/>
    <w:lvl w:ilvl="0">
      <w:lvlJc w:val="left"/>
      <w:lvlText w:val="(%1)"/>
      <w:numFmt w:val="decimal"/>
      <w:start w:val="1"/>
    </w:lvl>
  </w:abstractNum>
  <w:abstractNum w:abstractNumId="5">
    <w:nsid w:val="BF72B14"/>
    <w:multiLevelType w:val="hybridMultilevel"/>
    <w:lvl w:ilvl="0">
      <w:lvlJc w:val="left"/>
      <w:lvlText w:val="(%1)"/>
      <w:numFmt w:val="decimal"/>
      <w:start w:val="1"/>
    </w:lvl>
  </w:abstractNum>
  <w:abstractNum w:abstractNumId="6">
    <w:nsid w:val="11447B73"/>
    <w:multiLevelType w:val="hybridMultilevel"/>
    <w:lvl w:ilvl="0">
      <w:lvlJc w:val="left"/>
      <w:lvlText w:val="(%1)"/>
      <w:numFmt w:val="decimal"/>
      <w:start w:val="1"/>
    </w:lvl>
  </w:abstractNum>
  <w:abstractNum w:abstractNumId="7">
    <w:nsid w:val="42963E5A"/>
    <w:multiLevelType w:val="hybridMultilevel"/>
    <w:lvl w:ilvl="0">
      <w:lvlJc w:val="left"/>
      <w:lvlText w:val="(%1)"/>
      <w:numFmt w:val="decimal"/>
      <w:start w:val="1"/>
    </w:lvl>
  </w:abstractNum>
  <w:abstractNum w:abstractNumId="8">
    <w:nsid w:val="A0382C5"/>
    <w:multiLevelType w:val="hybridMultilevel"/>
    <w:lvl w:ilvl="0">
      <w:lvlJc w:val="left"/>
      <w:lvlText w:val="(%1)"/>
      <w:numFmt w:val="decimal"/>
      <w:start w:val="1"/>
    </w:lvl>
  </w:abstractNum>
  <w:abstractNum w:abstractNumId="9">
    <w:nsid w:val="8F2B15E"/>
    <w:multiLevelType w:val="hybridMultilevel"/>
    <w:lvl w:ilvl="0">
      <w:lvlJc w:val="left"/>
      <w:lvlText w:val="(%1)"/>
      <w:numFmt w:val="decimal"/>
      <w:start w:val="1"/>
    </w:lvl>
  </w:abstractNum>
  <w:abstractNum w:abstractNumId="10">
    <w:nsid w:val="1A32234B"/>
    <w:multiLevelType w:val="hybridMultilevel"/>
    <w:lvl w:ilvl="0">
      <w:lvlJc w:val="left"/>
      <w:lvlText w:val="(%1)"/>
      <w:numFmt w:val="decimal"/>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1)"/>
      <w:numFmt w:val="decimal"/>
      <w:start w:val="1"/>
    </w:lvl>
  </w:abstractNum>
  <w:abstractNum w:abstractNumId="13">
    <w:nsid w:val="4962813B"/>
    <w:multiLevelType w:val="hybridMultilevel"/>
    <w:lvl w:ilvl="0">
      <w:lvlJc w:val="left"/>
      <w:lvlText w:val="(%1)"/>
      <w:numFmt w:val="decimal"/>
      <w:start w:val="3"/>
    </w:lvl>
  </w:abstractNum>
  <w:abstractNum w:abstractNumId="14">
    <w:nsid w:val="60B6DF70"/>
    <w:multiLevelType w:val="hybridMultilevel"/>
    <w:lvl w:ilvl="0">
      <w:lvlJc w:val="left"/>
      <w:lvlText w:val="(%1)"/>
      <w:numFmt w:val="decimal"/>
      <w:start w:val="16"/>
    </w:lvl>
  </w:abstractNum>
  <w:abstractNum w:abstractNumId="15">
    <w:nsid w:val="6A5EE64"/>
    <w:multiLevelType w:val="hybridMultilevel"/>
    <w:lvl w:ilvl="0">
      <w:lvlJc w:val="left"/>
      <w:lvlText w:val="(%1)"/>
      <w:numFmt w:val="decimal"/>
      <w:start w:val="31"/>
    </w:lvl>
  </w:abstractNum>
  <w:abstractNum w:abstractNumId="16">
    <w:nsid w:val="14330624"/>
    <w:multiLevelType w:val="hybridMultilevel"/>
    <w:lvl w:ilvl="0">
      <w:lvlJc w:val="left"/>
      <w:lvlText w:val="(%1)"/>
      <w:numFmt w:val="decimal"/>
      <w:start w:val="46"/>
    </w:lvl>
  </w:abstractNum>
  <w:abstractNum w:abstractNumId="17">
    <w:nsid w:val="7FFFCA11"/>
    <w:multiLevelType w:val="hybridMultilevel"/>
    <w:lvl w:ilvl="0">
      <w:lvlJc w:val="left"/>
      <w:lvlText w:val="(%1)"/>
      <w:numFmt w:val="decimal"/>
      <w:start w:val="61"/>
    </w:lvl>
  </w:abstractNum>
  <w:abstractNum w:abstractNumId="18">
    <w:nsid w:val="1A27709E"/>
    <w:multiLevelType w:val="hybridMultilevel"/>
    <w:lvl w:ilvl="0">
      <w:lvlJc w:val="left"/>
      <w:lvlText w:val="(%1)"/>
      <w:numFmt w:val="decimal"/>
      <w:start w:val="77"/>
    </w:lvl>
    <w:lvl w:ilvl="1">
      <w:lvlJc w:val="left"/>
      <w:lvlText w:val="%2."/>
      <w:numFmt w:val="upperLetter"/>
      <w:start w:val="10"/>
    </w:lvl>
  </w:abstractNum>
  <w:abstractNum w:abstractNumId="19">
    <w:nsid w:val="71EA1109"/>
    <w:multiLevelType w:val="hybridMultilevel"/>
    <w:lvl w:ilvl="0">
      <w:lvlJc w:val="left"/>
      <w:lvlText w:val="%1"/>
      <w:numFmt w:val="decimal"/>
      <w:start w:val="1"/>
    </w:lvl>
    <w:lvl w:ilvl="1">
      <w:lvlJc w:val="left"/>
      <w:lvlText w:val="%2."/>
      <w:numFmt w:val="upperLetter"/>
      <w:start w:val="18"/>
    </w:lvl>
  </w:abstractNum>
  <w:abstractNum w:abstractNumId="20">
    <w:nsid w:val="100F59DC"/>
    <w:multiLevelType w:val="hybridMultilevel"/>
    <w:lvl w:ilvl="0">
      <w:lvlJc w:val="left"/>
      <w:lvlText w:val="(%1)"/>
      <w:numFmt w:val="decimal"/>
      <w:start w:val="82"/>
    </w:lvl>
    <w:lvl w:ilvl="1">
      <w:lvlJc w:val="left"/>
      <w:lvlText w:val="%2"/>
      <w:numFmt w:val="upperLetter"/>
      <w:start w:val="1"/>
    </w:lvl>
  </w:abstractNum>
  <w:abstractNum w:abstractNumId="21">
    <w:nsid w:val="7FB7E0AA"/>
    <w:multiLevelType w:val="hybridMultilevel"/>
    <w:lvl w:ilvl="0">
      <w:lvlJc w:val="left"/>
      <w:lvlText w:val="(%1)"/>
      <w:numFmt w:val="decimal"/>
      <w:start w:val="92"/>
    </w:lvl>
  </w:abstractNum>
  <w:abstractNum w:abstractNumId="22">
    <w:nsid w:val="6EB5BD4"/>
    <w:multiLevelType w:val="hybridMultilevel"/>
    <w:lvl w:ilvl="0">
      <w:lvlJc w:val="left"/>
      <w:lvlText w:val="(%1)"/>
      <w:numFmt w:val="decimal"/>
      <w:start w:val="100"/>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1."/>
      <w:numFmt w:val="decimal"/>
      <w:start w:val="1"/>
    </w:lvl>
  </w:abstractNum>
  <w:abstractNum w:abstractNumId="26">
    <w:nsid w:val="76272110"/>
    <w:multiLevelType w:val="hybridMultilevel"/>
    <w:lvl w:ilvl="0">
      <w:lvlJc w:val="left"/>
      <w:lvlText w:val="%1."/>
      <w:numFmt w:val="decimal"/>
      <w:start w:val="2"/>
    </w:lvl>
  </w:abstractNum>
  <w:abstractNum w:abstractNumId="27">
    <w:nsid w:val="4C04A8AF"/>
    <w:multiLevelType w:val="hybridMultilevel"/>
    <w:lvl w:ilvl="0">
      <w:lvlJc w:val="left"/>
      <w:lvlText w:val="%1."/>
      <w:numFmt w:val="lowerLetter"/>
      <w:start w:val="1"/>
    </w:lvl>
  </w:abstractNum>
  <w:abstractNum w:abstractNumId="28">
    <w:nsid w:val="1716703B"/>
    <w:multiLevelType w:val="hybridMultilevel"/>
    <w:lvl w:ilvl="0">
      <w:lvlJc w:val="left"/>
      <w:lvlText w:val="%1"/>
      <w:numFmt w:val="decimal"/>
      <w:start w:val="1"/>
    </w:lvl>
    <w:lvl w:ilvl="1">
      <w:lvlJc w:val="left"/>
      <w:lvlText w:val="%2."/>
      <w:numFmt w:val="lowerLetter"/>
      <w:start w:val="1"/>
    </w:lvl>
  </w:abstractNum>
  <w:abstractNum w:abstractNumId="29">
    <w:nsid w:val="14E17E33"/>
    <w:multiLevelType w:val="hybridMultilevel"/>
    <w:lvl w:ilvl="0">
      <w:lvlJc w:val="left"/>
      <w:lvlText w:val="(%1)"/>
      <w:numFmt w:val="decimal"/>
      <w:start w:val="12"/>
    </w:lvl>
    <w:lvl w:ilvl="1">
      <w:lvlJc w:val="left"/>
      <w:lvlText w:val="%2"/>
      <w:numFmt w:val="lowerLetter"/>
      <w:start w:val="1"/>
    </w:lvl>
  </w:abstractNum>
  <w:abstractNum w:abstractNumId="30">
    <w:nsid w:val="3222E7CD"/>
    <w:multiLevelType w:val="hybridMultilevel"/>
    <w:lvl w:ilvl="0">
      <w:lvlJc w:val="left"/>
      <w:lvlText w:val="%1."/>
      <w:numFmt w:val="lowerLetter"/>
      <w:start w:val="2"/>
    </w:lvl>
    <w:lvl w:ilvl="1">
      <w:lvlJc w:val="left"/>
      <w:lvlText w:val="%2"/>
      <w:numFmt w:val="lowerLetter"/>
      <w:start w:val="1"/>
    </w:lvl>
  </w:abstractNum>
  <w:abstractNum w:abstractNumId="31">
    <w:nsid w:val="74DE0EE3"/>
    <w:multiLevelType w:val="hybridMultilevel"/>
    <w:lvl w:ilvl="0">
      <w:lvlJc w:val="left"/>
      <w:lvlText w:val="%1."/>
      <w:numFmt w:val="lowerRoman"/>
      <w:start w:val="2"/>
    </w:lvl>
  </w:abstractNum>
  <w:abstractNum w:abstractNumId="32">
    <w:nsid w:val="68EBC550"/>
    <w:multiLevelType w:val="hybridMultilevel"/>
    <w:lvl w:ilvl="0">
      <w:lvlJc w:val="left"/>
      <w:lvlText w:val="%1."/>
      <w:numFmt w:val="lowerLetter"/>
      <w:start w:val="1"/>
    </w:lvl>
  </w:abstractNum>
  <w:abstractNum w:abstractNumId="33">
    <w:nsid w:val="2DF6D648"/>
    <w:multiLevelType w:val="hybridMultilevel"/>
    <w:lvl w:ilvl="0">
      <w:lvlJc w:val="left"/>
      <w:lvlText w:val="(%1)"/>
      <w:numFmt w:val="lowerRoman"/>
      <w:start w:val="3"/>
    </w:lvl>
  </w:abstractNum>
  <w:abstractNum w:abstractNumId="34">
    <w:nsid w:val="46B7D447"/>
    <w:multiLevelType w:val="hybridMultilevel"/>
    <w:lvl w:ilvl="0">
      <w:lvlJc w:val="left"/>
      <w:lvlText w:val="%1."/>
      <w:numFmt w:val="lowerLetter"/>
      <w:start w:val="1"/>
    </w:lvl>
  </w:abstractNum>
  <w:abstractNum w:abstractNumId="35">
    <w:nsid w:val="4A2AC315"/>
    <w:multiLevelType w:val="hybridMultilevel"/>
    <w:lvl w:ilvl="0">
      <w:lvlJc w:val="left"/>
      <w:lvlText w:val="%1."/>
      <w:numFmt w:val="decimal"/>
      <w:start w:val="3"/>
    </w:lvl>
  </w:abstractNum>
  <w:abstractNum w:abstractNumId="36">
    <w:nsid w:val="39EE015C"/>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abstractNum>
  <w:abstractNum w:abstractNumId="37">
    <w:nsid w:val="57FC4FBB"/>
    <w:multiLevelType w:val="hybridMultilevel"/>
    <w:lvl w:ilvl="0">
      <w:lvlJc w:val="left"/>
      <w:lvlText w:val="(%1)"/>
      <w:numFmt w:val="lowerRoman"/>
      <w:start w:val="3"/>
    </w:lvl>
    <w:lvl w:ilvl="1">
      <w:lvlJc w:val="left"/>
      <w:lvlText w:val="%2."/>
      <w:numFmt w:val="lowerLetter"/>
      <w:start w:val="2"/>
    </w:lvl>
    <w:lvl w:ilvl="2">
      <w:lvlJc w:val="left"/>
      <w:lvlText w:val="(%3)"/>
      <w:numFmt w:val="decimal"/>
      <w:start w:val="1"/>
    </w:lvl>
  </w:abstractNum>
  <w:abstractNum w:abstractNumId="38">
    <w:nsid w:val="CC1016F"/>
    <w:multiLevelType w:val="hybridMultilevel"/>
    <w:lvl w:ilvl="0">
      <w:lvlJc w:val="left"/>
      <w:lvlText w:val="%1"/>
      <w:numFmt w:val="lowerLetter"/>
      <w:start w:val="1"/>
    </w:lvl>
    <w:lvl w:ilvl="1">
      <w:lvlJc w:val="left"/>
      <w:lvlText w:val="(%2)"/>
      <w:numFmt w:val="decimal"/>
      <w:start w:val="2"/>
    </w:lvl>
  </w:abstractNum>
  <w:abstractNum w:abstractNumId="39">
    <w:nsid w:val="43F18422"/>
    <w:multiLevelType w:val="hybridMultilevel"/>
    <w:lvl w:ilvl="0">
      <w:lvlJc w:val="left"/>
      <w:lvlText w:val="%1."/>
      <w:numFmt w:val="lowerLetter"/>
      <w:start w:val="3"/>
    </w:lvl>
    <w:lvl w:ilvl="1">
      <w:lvlJc w:val="left"/>
      <w:lvlText w:val="%2"/>
      <w:numFmt w:val="decimal"/>
      <w:start w:val="1"/>
    </w:lvl>
  </w:abstractNum>
  <w:abstractNum w:abstractNumId="40">
    <w:nsid w:val="60EF0119"/>
    <w:multiLevelType w:val="hybridMultilevel"/>
    <w:lvl w:ilvl="0">
      <w:lvlJc w:val="left"/>
      <w:lvlText w:val="%1."/>
      <w:numFmt w:val="lowerLetter"/>
      <w:start w:val="1"/>
    </w:lvl>
  </w:abstractNum>
  <w:abstractNum w:abstractNumId="41">
    <w:nsid w:val="26F324BA"/>
    <w:multiLevelType w:val="hybridMultilevel"/>
    <w:lvl w:ilvl="0">
      <w:lvlJc w:val="left"/>
      <w:lvlText w:val="%1."/>
      <w:numFmt w:val="lowerLetter"/>
      <w:start w:val="2"/>
    </w:lvl>
    <w:lvl w:ilvl="1">
      <w:lvlJc w:val="left"/>
      <w:lvlText w:val="%2."/>
      <w:numFmt w:val="lowerRoman"/>
      <w:start w:val="1"/>
    </w:lvl>
  </w:abstractNum>
  <w:abstractNum w:abstractNumId="42">
    <w:nsid w:val="7F01579B"/>
    <w:multiLevelType w:val="hybridMultilevel"/>
    <w:lvl w:ilvl="0">
      <w:lvlJc w:val="left"/>
      <w:lvlText w:val="%1."/>
      <w:numFmt w:val="lowerLetter"/>
      <w:start w:val="1"/>
    </w:lvl>
  </w:abstractNum>
  <w:abstractNum w:abstractNumId="43">
    <w:nsid w:val="49DA307D"/>
    <w:multiLevelType w:val="hybridMultilevel"/>
    <w:lvl w:ilvl="0">
      <w:lvlJc w:val="left"/>
      <w:lvlText w:val="%1."/>
      <w:numFmt w:val="decimal"/>
      <w:start w:val="4"/>
    </w:lvl>
  </w:abstractNum>
  <w:abstractNum w:abstractNumId="44">
    <w:nsid w:val="7055A5F5"/>
    <w:multiLevelType w:val="hybridMultilevel"/>
    <w:lvl w:ilvl="0">
      <w:lvlJc w:val="left"/>
      <w:lvlText w:val="%1."/>
      <w:numFmt w:val="decimal"/>
      <w:start w:val="5"/>
    </w:lvl>
  </w:abstractNum>
  <w:abstractNum w:abstractNumId="45">
    <w:nsid w:val="5FB8370B"/>
    <w:multiLevelType w:val="hybridMultilevel"/>
    <w:lvl w:ilvl="0">
      <w:lvlJc w:val="left"/>
      <w:lvlText w:val="%1."/>
      <w:numFmt w:val="decimal"/>
      <w:start w:val="6"/>
    </w:lvl>
  </w:abstractNum>
  <w:abstractNum w:abstractNumId="46">
    <w:nsid w:val="50801EE1"/>
    <w:multiLevelType w:val="hybridMultilevel"/>
    <w:lvl w:ilvl="0">
      <w:lvlJc w:val="left"/>
      <w:lvlText w:val="%1."/>
      <w:numFmt w:val="decimal"/>
      <w:start w:val="7"/>
    </w:lvl>
  </w:abstractNum>
  <w:abstractNum w:abstractNumId="47">
    <w:nsid w:val="488AC1A"/>
    <w:multiLevelType w:val="hybridMultilevel"/>
    <w:lvl w:ilvl="0">
      <w:lvlJc w:val="left"/>
      <w:lvlText w:val="%1."/>
      <w:numFmt w:val="decimal"/>
      <w:start w:val="15"/>
    </w:lvl>
  </w:abstractNum>
  <w:abstractNum w:abstractNumId="48">
    <w:nsid w:val="5FB8011C"/>
    <w:multiLevelType w:val="hybridMultilevel"/>
    <w:lvl w:ilvl="0">
      <w:lvlJc w:val="left"/>
      <w:lvlText w:val="•"/>
      <w:numFmt w:val="bullet"/>
      <w:start w:val="1"/>
    </w:lvl>
  </w:abstractNum>
  <w:abstractNum w:abstractNumId="49">
    <w:nsid w:val="6AA78F7F"/>
    <w:multiLevelType w:val="hybridMultilevel"/>
    <w:lvl w:ilvl="0">
      <w:lvlJc w:val="left"/>
      <w:lvlText w:val="%1."/>
      <w:numFmt w:val="decimal"/>
      <w:start w:val="1"/>
    </w:lvl>
    <w:lvl w:ilvl="1">
      <w:lvlJc w:val="left"/>
      <w:lvlText w:val="(%2)"/>
      <w:numFmt w:val="decimal"/>
      <w:start w:val="6"/>
    </w:lvl>
  </w:abstractNum>
  <w:abstractNum w:abstractNumId="50">
    <w:nsid w:val="7672BD23"/>
    <w:multiLevelType w:val="hybridMultilevel"/>
    <w:lvl w:ilvl="0">
      <w:lvlJc w:val="left"/>
      <w:lvlText w:val="%1."/>
      <w:numFmt w:val="decimal"/>
      <w:start w:val="1"/>
    </w:lvl>
  </w:abstractNum>
  <w:abstractNum w:abstractNumId="51">
    <w:nsid w:val="6FC75AF8"/>
    <w:multiLevelType w:val="hybridMultilevel"/>
    <w:lvl w:ilvl="0">
      <w:lvlJc w:val="left"/>
      <w:lvlText w:val="%1."/>
      <w:numFmt w:val="decimal"/>
      <w:start w:val="2"/>
    </w:lvl>
  </w:abstractNum>
  <w:abstractNum w:abstractNumId="52">
    <w:nsid w:val="6A5F7029"/>
    <w:multiLevelType w:val="hybridMultilevel"/>
    <w:lvl w:ilvl="0">
      <w:lvlJc w:val="left"/>
      <w:lvlText w:val="(%1)"/>
      <w:numFmt w:val="lowerLetter"/>
      <w:start w:val="1"/>
    </w:lvl>
  </w:abstractNum>
  <w:abstractNum w:abstractNumId="53">
    <w:nsid w:val="7D5E18F8"/>
    <w:multiLevelType w:val="hybridMultilevel"/>
    <w:lvl w:ilvl="0">
      <w:lvlJc w:val="left"/>
      <w:lvlText w:val="(%1)"/>
      <w:numFmt w:val="lowerRoman"/>
      <w:start w:val="2"/>
    </w:lvl>
  </w:abstractNum>
  <w:abstractNum w:abstractNumId="54">
    <w:nsid w:val="5F3534A4"/>
    <w:multiLevelType w:val="hybridMultilevel"/>
    <w:lvl w:ilvl="0">
      <w:lvlJc w:val="left"/>
      <w:lvlText w:val="%1."/>
      <w:numFmt w:val="decimal"/>
      <w:start w:val="3"/>
    </w:lvl>
  </w:abstractNum>
  <w:abstractNum w:abstractNumId="55">
    <w:nsid w:val="73A1821B"/>
    <w:multiLevelType w:val="hybridMultilevel"/>
    <w:lvl w:ilvl="0">
      <w:lvlJc w:val="left"/>
      <w:lvlText w:val="%1."/>
      <w:numFmt w:val="decimal"/>
      <w:start w:val="4"/>
    </w:lvl>
  </w:abstractNum>
  <w:abstractNum w:abstractNumId="56">
    <w:nsid w:val="7DE67713"/>
    <w:multiLevelType w:val="hybridMultilevel"/>
    <w:lvl w:ilvl="0">
      <w:lvlJc w:val="left"/>
      <w:lvlText w:val="%1."/>
      <w:numFmt w:val="lowerLetter"/>
      <w:start w:val="1"/>
    </w:lvl>
  </w:abstractNum>
  <w:abstractNum w:abstractNumId="57">
    <w:nsid w:val="555C55B5"/>
    <w:multiLevelType w:val="hybridMultilevel"/>
    <w:lvl w:ilvl="0">
      <w:lvlJc w:val="left"/>
      <w:lvlText w:val="%1."/>
      <w:numFmt w:val="decimal"/>
      <w:start w:val="5"/>
    </w:lvl>
  </w:abstractNum>
  <w:abstractNum w:abstractNumId="58">
    <w:nsid w:val="3FA62ACA"/>
    <w:multiLevelType w:val="hybridMultilevel"/>
    <w:lvl w:ilvl="0">
      <w:lvlJc w:val="left"/>
      <w:lvlText w:val="%1."/>
      <w:numFmt w:val="lowerLetter"/>
      <w:start w:val="1"/>
    </w:lvl>
    <w:lvl w:ilvl="1">
      <w:lvlJc w:val="left"/>
      <w:lvlText w:val="%2"/>
      <w:numFmt w:val="lowerLetter"/>
      <w:start w:val="1"/>
    </w:lvl>
  </w:abstractNum>
  <w:abstractNum w:abstractNumId="59">
    <w:nsid w:val="14FCE74E"/>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35"/>
    </w:lvl>
    <w:lvl w:ilvl="3">
      <w:lvlJc w:val="left"/>
      <w:lvlText w:val="%4."/>
      <w:numFmt w:val="decimal"/>
      <w:start w:val="1"/>
    </w:lvl>
  </w:abstractNum>
  <w:abstractNum w:abstractNumId="60">
    <w:nsid w:val="6A3DD3E8"/>
    <w:multiLevelType w:val="hybridMultilevel"/>
    <w:lvl w:ilvl="0">
      <w:lvlJc w:val="left"/>
      <w:lvlText w:val="%1"/>
      <w:numFmt w:val="decimal"/>
      <w:start w:val="1"/>
    </w:lvl>
    <w:lvl w:ilvl="1">
      <w:lvlJc w:val="left"/>
      <w:lvlText w:val="%2."/>
      <w:numFmt w:val="lowerLetter"/>
      <w:start w:val="6"/>
    </w:lvl>
  </w:abstractNum>
  <w:abstractNum w:abstractNumId="61">
    <w:nsid w:val="71C91298"/>
    <w:multiLevelType w:val="hybridMultilevel"/>
    <w:lvl w:ilvl="0">
      <w:lvlJc w:val="left"/>
      <w:lvlText w:val="%1."/>
      <w:numFmt w:val="decimal"/>
      <w:start w:val="6"/>
    </w:lvl>
    <w:lvl w:ilvl="1">
      <w:lvlJc w:val="left"/>
      <w:lvlText w:val="%2"/>
      <w:numFmt w:val="lowerLetter"/>
      <w:start w:val="1"/>
    </w:lvl>
  </w:abstractNum>
  <w:abstractNum w:abstractNumId="62">
    <w:nsid w:val="9DAF632"/>
    <w:multiLevelType w:val="hybridMultilevel"/>
    <w:lvl w:ilvl="0">
      <w:lvlJc w:val="left"/>
      <w:lvlText w:val="(%1)"/>
      <w:numFmt w:val="lowerLetter"/>
      <w:start w:val="1"/>
    </w:lvl>
  </w:abstractNum>
  <w:abstractNum w:abstractNumId="63">
    <w:nsid w:val="53299938"/>
    <w:multiLevelType w:val="hybridMultilevel"/>
    <w:lvl w:ilvl="0">
      <w:lvlJc w:val="left"/>
      <w:lvlText w:val="%1."/>
      <w:numFmt w:val="upperLetter"/>
      <w:start w:val="1"/>
    </w:lvl>
  </w:abstractNum>
  <w:abstractNum w:abstractNumId="64">
    <w:nsid w:val="1FBFE8E0"/>
    <w:multiLevelType w:val="hybridMultilevel"/>
    <w:lvl w:ilvl="0">
      <w:lvlJc w:val="left"/>
      <w:lvlText w:val="(%1)"/>
      <w:numFmt w:val="lowerLetter"/>
      <w:start w:val="1"/>
    </w:lvl>
    <w:lvl w:ilvl="1">
      <w:lvlJc w:val="left"/>
      <w:lvlText w:val="%2."/>
      <w:numFmt w:val="lowerRoman"/>
      <w:start w:val="1"/>
    </w:lvl>
  </w:abstractNum>
  <w:abstractNum w:abstractNumId="65">
    <w:nsid w:val="5092CA79"/>
    <w:multiLevelType w:val="hybridMultilevel"/>
    <w:lvl w:ilvl="0">
      <w:lvlJc w:val="left"/>
      <w:lvlText w:val="(%1)"/>
      <w:numFmt w:val="lowerLetter"/>
      <w:start w:val="1"/>
    </w:lvl>
  </w:abstractNum>
  <w:abstractNum w:abstractNumId="66">
    <w:nsid w:val="1D545C4D"/>
    <w:multiLevelType w:val="hybridMultilevel"/>
    <w:lvl w:ilvl="0">
      <w:lvlJc w:val="left"/>
      <w:lvlText w:val="(%1)"/>
      <w:numFmt w:val="lowerLetter"/>
      <w:start w:val="2"/>
    </w:lvl>
  </w:abstractNum>
  <w:abstractNum w:abstractNumId="67">
    <w:nsid w:val="59ADEA3D"/>
    <w:multiLevelType w:val="hybridMultilevel"/>
    <w:lvl w:ilvl="0">
      <w:lvlJc w:val="left"/>
      <w:lvlText w:val="(%1)"/>
      <w:numFmt w:val="lowerLetter"/>
      <w:start w:val="3"/>
    </w:lvl>
  </w:abstractNum>
  <w:abstractNum w:abstractNumId="68">
    <w:nsid w:val="288F1A34"/>
    <w:multiLevelType w:val="hybridMultilevel"/>
    <w:lvl w:ilvl="0">
      <w:lvlJc w:val="left"/>
      <w:lvlText w:val="(%1)"/>
      <w:numFmt w:val="lowerLetter"/>
      <w:start w:val="6"/>
    </w:lvl>
  </w:abstractNum>
  <w:abstractNum w:abstractNumId="69">
    <w:nsid w:val="2A155DBC"/>
    <w:multiLevelType w:val="hybridMultilevel"/>
    <w:lvl w:ilvl="0">
      <w:lvlJc w:val="left"/>
      <w:lvlText w:val="(%1)"/>
      <w:numFmt w:val="lowerLetter"/>
      <w:start w:val="10"/>
    </w:lvl>
  </w:abstractNum>
  <w:abstractNum w:abstractNumId="70">
    <w:nsid w:val="1D9F6E5F"/>
    <w:multiLevelType w:val="hybridMultilevel"/>
    <w:lvl w:ilvl="0">
      <w:lvlJc w:val="left"/>
      <w:lvlText w:val="(%1)"/>
      <w:numFmt w:val="lowerLetter"/>
      <w:start w:val="12"/>
    </w:lvl>
  </w:abstractNum>
  <w:abstractNum w:abstractNumId="71">
    <w:nsid w:val="97E1B4E"/>
    <w:multiLevelType w:val="hybridMultilevel"/>
    <w:lvl w:ilvl="0">
      <w:lvlJc w:val="left"/>
      <w:lvlText w:val="(%1)"/>
      <w:numFmt w:val="lowerLetter"/>
      <w:start w:val="13"/>
    </w:lvl>
  </w:abstractNum>
  <w:abstractNum w:abstractNumId="72">
    <w:nsid w:val="51088277"/>
    <w:multiLevelType w:val="hybridMultilevel"/>
    <w:lvl w:ilvl="0">
      <w:lvlJc w:val="left"/>
      <w:lvlText w:val="%1"/>
      <w:numFmt w:val="decimal"/>
      <w:start w:val="1"/>
    </w:lvl>
    <w:lvl w:ilvl="1">
      <w:lvlJc w:val="left"/>
      <w:lvlText w:val="(%2)"/>
      <w:numFmt w:val="lowerLetter"/>
      <w:start w:val="14"/>
    </w:lvl>
  </w:abstractNum>
  <w:abstractNum w:abstractNumId="73">
    <w:nsid w:val="1CA0C5FA"/>
    <w:multiLevelType w:val="hybridMultilevel"/>
    <w:lvl w:ilvl="0">
      <w:lvlJc w:val="left"/>
      <w:lvlText w:val="(%1)"/>
      <w:numFmt w:val="decimal"/>
      <w:start w:val="24"/>
    </w:lvl>
    <w:lvl w:ilvl="1">
      <w:lvlJc w:val="left"/>
      <w:lvlText w:val="%2"/>
      <w:numFmt w:val="lowerLetter"/>
      <w:start w:val="1"/>
    </w:lvl>
  </w:abstractNum>
  <w:abstractNum w:abstractNumId="74">
    <w:nsid w:val="53584BCB"/>
    <w:multiLevelType w:val="hybridMultilevel"/>
    <w:lvl w:ilvl="0">
      <w:lvlJc w:val="left"/>
      <w:lvlText w:val="%1"/>
      <w:numFmt w:val="decimal"/>
      <w:start w:val="1"/>
    </w:lvl>
    <w:lvl w:ilvl="1">
      <w:lvlJc w:val="left"/>
      <w:lvlText w:val="(%2)"/>
      <w:numFmt w:val="lowerLetter"/>
      <w:start w:val="18"/>
    </w:lvl>
    <w:lvl w:ilvl="2">
      <w:lvlJc w:val="left"/>
      <w:lvlText w:val="%3."/>
      <w:numFmt w:val="lowerRoman"/>
      <w:start w:val="1"/>
    </w:lvl>
    <w:lvl w:ilvl="3">
      <w:lvlJc w:val="left"/>
      <w:lvlText w:val="%4."/>
      <w:numFmt w:val="decimal"/>
      <w:start w:val="1"/>
    </w:lvl>
  </w:abstractNum>
  <w:abstractNum w:abstractNumId="75">
    <w:nsid w:val="415E286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76">
    <w:nsid w:val="7C58FD05"/>
    <w:multiLevelType w:val="hybridMultilevel"/>
    <w:lvl w:ilvl="0">
      <w:lvlJc w:val="left"/>
      <w:lvlText w:val="%1."/>
      <w:numFmt w:val="decimal"/>
      <w:start w:val="2"/>
    </w:lvl>
    <w:lvl w:ilvl="1">
      <w:lvlJc w:val="left"/>
      <w:lvlText w:val="%2."/>
      <w:numFmt w:val="lowerRoman"/>
      <w:start w:val="1"/>
    </w:lvl>
  </w:abstractNum>
  <w:abstractNum w:abstractNumId="77">
    <w:nsid w:val="23D86AAC"/>
    <w:multiLevelType w:val="hybridMultilevel"/>
    <w:lvl w:ilvl="0">
      <w:lvlJc w:val="left"/>
      <w:lvlText w:val="%1."/>
      <w:numFmt w:val="lowerRoman"/>
      <w:start w:val="2"/>
    </w:lvl>
  </w:abstractNum>
  <w:abstractNum w:abstractNumId="78">
    <w:nsid w:val="45E6D486"/>
    <w:multiLevelType w:val="hybridMultilevel"/>
    <w:lvl w:ilvl="0">
      <w:lvlJc w:val="left"/>
      <w:lvlText w:val="%1."/>
      <w:numFmt w:val="lowerRoman"/>
      <w:start w:val="3"/>
    </w:lvl>
  </w:abstractNum>
  <w:abstractNum w:abstractNumId="79">
    <w:nsid w:val="5C10FE21"/>
    <w:multiLevelType w:val="hybridMultilevel"/>
    <w:lvl w:ilvl="0">
      <w:lvlJc w:val="left"/>
      <w:lvlText w:val="%1."/>
      <w:numFmt w:val="lowerRoman"/>
      <w:start w:val="7"/>
    </w:lvl>
  </w:abstractNum>
  <w:abstractNum w:abstractNumId="80">
    <w:nsid w:val="E7FFA2B"/>
    <w:multiLevelType w:val="hybridMultilevel"/>
    <w:lvl w:ilvl="0">
      <w:lvlJc w:val="left"/>
      <w:lvlText w:val="(%1)"/>
      <w:numFmt w:val="lowerLetter"/>
      <w:start w:val="23"/>
    </w:lvl>
  </w:abstractNum>
  <w:abstractNum w:abstractNumId="81">
    <w:nsid w:val="3C5991AA"/>
    <w:multiLevelType w:val="hybridMultilevel"/>
    <w:lvl w:ilvl="0">
      <w:lvlJc w:val="left"/>
      <w:lvlText w:val="(%1)"/>
      <w:numFmt w:val="lowerLetter"/>
      <w:start w:val="25"/>
    </w:lvl>
  </w:abstractNum>
  <w:abstractNum w:abstractNumId="82">
    <w:nsid w:val="4BD8591A"/>
    <w:multiLevelType w:val="hybridMultilevel"/>
    <w:lvl w:ilvl="0">
      <w:lvlJc w:val="left"/>
      <w:lvlText w:val="(%1)"/>
      <w:numFmt w:val="lowerLetter"/>
      <w:start w:val="27"/>
    </w:lvl>
  </w:abstractNum>
  <w:abstractNum w:abstractNumId="83">
    <w:nsid w:val="78DF6A55"/>
    <w:multiLevelType w:val="hybridMultilevel"/>
    <w:lvl w:ilvl="0">
      <w:lvlJc w:val="left"/>
      <w:lvlText w:val="%1."/>
      <w:numFmt w:val="decimal"/>
      <w:start w:val="1"/>
    </w:lvl>
  </w:abstractNum>
  <w:abstractNum w:abstractNumId="84">
    <w:nsid w:val="39B7AAA2"/>
    <w:multiLevelType w:val="hybridMultilevel"/>
    <w:lvl w:ilvl="0">
      <w:lvlJc w:val="left"/>
      <w:lvlText w:val="%1."/>
      <w:numFmt w:val="decimal"/>
      <w:start w:val="1"/>
    </w:lvl>
  </w:abstractNum>
  <w:abstractNum w:abstractNumId="85">
    <w:nsid w:val="2B0D8DBE"/>
    <w:multiLevelType w:val="hybridMultilevel"/>
    <w:lvl w:ilvl="0">
      <w:lvlJc w:val="left"/>
      <w:lvlText w:val="%1."/>
      <w:numFmt w:val="decimal"/>
      <w:start w:val="1"/>
    </w:lvl>
  </w:abstractNum>
  <w:abstractNum w:abstractNumId="86">
    <w:nsid w:val="6C80EC70"/>
    <w:multiLevelType w:val="hybridMultilevel"/>
    <w:lvl w:ilvl="0">
      <w:lvlJc w:val="left"/>
      <w:lvlText w:val="%1."/>
      <w:numFmt w:val="decimal"/>
      <w:start w:val="1"/>
    </w:lvl>
  </w:abstractNum>
  <w:abstractNum w:abstractNumId="87">
    <w:nsid w:val="379E21B5"/>
    <w:multiLevelType w:val="hybridMultilevel"/>
    <w:lvl w:ilvl="0">
      <w:lvlJc w:val="left"/>
      <w:lvlText w:val="%1."/>
      <w:numFmt w:val="decimal"/>
      <w:start w:val="2"/>
    </w:lvl>
  </w:abstractNum>
  <w:abstractNum w:abstractNumId="88">
    <w:nsid w:val="69E373"/>
    <w:multiLevelType w:val="hybridMultilevel"/>
    <w:lvl w:ilvl="0">
      <w:lvlJc w:val="left"/>
      <w:lvlText w:val="%1."/>
      <w:numFmt w:val="lowerLetter"/>
      <w:start w:val="1"/>
    </w:lvl>
  </w:abstractNum>
  <w:abstractNum w:abstractNumId="89">
    <w:nsid w:val="2C27173B"/>
    <w:multiLevelType w:val="hybridMultilevel"/>
    <w:lvl w:ilvl="0">
      <w:lvlJc w:val="left"/>
      <w:lvlText w:val="%1"/>
      <w:numFmt w:val="decimal"/>
      <w:start w:val="1"/>
    </w:lvl>
    <w:lvl w:ilvl="1">
      <w:lvlJc w:val="left"/>
      <w:lvlText w:val="%2."/>
      <w:numFmt w:val="lowerLetter"/>
      <w:start w:val="1"/>
    </w:lvl>
  </w:abstractNum>
  <w:abstractNum w:abstractNumId="90">
    <w:nsid w:val="4C9B0904"/>
    <w:multiLevelType w:val="hybridMultilevel"/>
    <w:lvl w:ilvl="0">
      <w:lvlJc w:val="left"/>
      <w:lvlText w:val="(%1)"/>
      <w:numFmt w:val="decimal"/>
      <w:start w:val="12"/>
    </w:lvl>
    <w:lvl w:ilvl="1">
      <w:lvlJc w:val="left"/>
      <w:lvlText w:val="%2"/>
      <w:numFmt w:val="lowerLetter"/>
      <w:start w:val="1"/>
    </w:lvl>
  </w:abstractNum>
  <w:abstractNum w:abstractNumId="91">
    <w:nsid w:val="6AA7B75C"/>
    <w:multiLevelType w:val="hybridMultilevel"/>
    <w:lvl w:ilvl="0">
      <w:lvlJc w:val="left"/>
      <w:lvlText w:val="%1."/>
      <w:numFmt w:val="lowerLetter"/>
      <w:start w:val="2"/>
    </w:lvl>
    <w:lvl w:ilvl="1">
      <w:lvlJc w:val="left"/>
      <w:lvlText w:val="%2"/>
      <w:numFmt w:val="lowerLetter"/>
      <w:start w:val="1"/>
    </w:lvl>
  </w:abstractNum>
  <w:abstractNum w:abstractNumId="92">
    <w:nsid w:val="1DF029D3"/>
    <w:multiLevelType w:val="hybridMultilevel"/>
    <w:lvl w:ilvl="0">
      <w:lvlJc w:val="left"/>
      <w:lvlText w:val="%1."/>
      <w:numFmt w:val="lowerRoman"/>
      <w:start w:val="2"/>
    </w:lvl>
  </w:abstractNum>
  <w:abstractNum w:abstractNumId="93">
    <w:nsid w:val="5675FF36"/>
    <w:multiLevelType w:val="hybridMultilevel"/>
    <w:lvl w:ilvl="0">
      <w:lvlJc w:val="left"/>
      <w:lvlText w:val="%1."/>
      <w:numFmt w:val="lowerLetter"/>
      <w:start w:val="1"/>
    </w:lvl>
  </w:abstractNum>
  <w:abstractNum w:abstractNumId="94">
    <w:nsid w:val="3DD15094"/>
    <w:multiLevelType w:val="hybridMultilevel"/>
    <w:lvl w:ilvl="0">
      <w:lvlJc w:val="left"/>
      <w:lvlText w:val="%1."/>
      <w:numFmt w:val="lowerLetter"/>
      <w:start w:val="1"/>
    </w:lvl>
  </w:abstractNum>
  <w:abstractNum w:abstractNumId="95">
    <w:nsid w:val="3DB012B3"/>
    <w:multiLevelType w:val="hybridMultilevel"/>
    <w:lvl w:ilvl="0">
      <w:lvlJc w:val="left"/>
      <w:lvlText w:val="%1."/>
      <w:numFmt w:val="decimal"/>
      <w:start w:val="3"/>
    </w:lvl>
  </w:abstractNum>
  <w:abstractNum w:abstractNumId="96">
    <w:nsid w:val="2708C9AF"/>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abstractNum>
  <w:abstractNum w:abstractNumId="97">
    <w:nsid w:val="5B25ACE2"/>
    <w:multiLevelType w:val="hybridMultilevel"/>
    <w:lvl w:ilvl="0">
      <w:lvlJc w:val="left"/>
      <w:lvlText w:val="(%1)"/>
      <w:numFmt w:val="lowerRoman"/>
      <w:start w:val="3"/>
    </w:lvl>
    <w:lvl w:ilvl="1">
      <w:lvlJc w:val="left"/>
      <w:lvlText w:val="%2."/>
      <w:numFmt w:val="lowerLetter"/>
      <w:start w:val="2"/>
    </w:lvl>
    <w:lvl w:ilvl="2">
      <w:lvlJc w:val="left"/>
      <w:lvlText w:val="(%3)"/>
      <w:numFmt w:val="decimal"/>
      <w:start w:val="1"/>
    </w:lvl>
  </w:abstractNum>
  <w:abstractNum w:abstractNumId="98">
    <w:nsid w:val="175DFCF0"/>
    <w:multiLevelType w:val="hybridMultilevel"/>
    <w:lvl w:ilvl="0">
      <w:lvlJc w:val="left"/>
      <w:lvlText w:val="%1"/>
      <w:numFmt w:val="lowerLetter"/>
      <w:start w:val="1"/>
    </w:lvl>
    <w:lvl w:ilvl="1">
      <w:lvlJc w:val="left"/>
      <w:lvlText w:val="(%2)"/>
      <w:numFmt w:val="decimal"/>
      <w:start w:val="3"/>
    </w:lvl>
  </w:abstractNum>
  <w:abstractNum w:abstractNumId="99">
    <w:nsid w:val="4F97E3E4"/>
    <w:multiLevelType w:val="hybridMultilevel"/>
    <w:lvl w:ilvl="0">
      <w:lvlJc w:val="left"/>
      <w:lvlText w:val="%1."/>
      <w:numFmt w:val="lowerLetter"/>
      <w:start w:val="3"/>
    </w:lvl>
    <w:lvl w:ilvl="1">
      <w:lvlJc w:val="left"/>
      <w:lvlText w:val="%2"/>
      <w:numFmt w:val="decimal"/>
      <w:start w:val="1"/>
    </w:lvl>
  </w:abstractNum>
  <w:abstractNum w:abstractNumId="100">
    <w:nsid w:val="53B0A9E"/>
    <w:multiLevelType w:val="hybridMultilevel"/>
    <w:lvl w:ilvl="0">
      <w:lvlJc w:val="left"/>
      <w:lvlText w:val="%1."/>
      <w:numFmt w:val="lowerLetter"/>
      <w:start w:val="1"/>
    </w:lvl>
  </w:abstractNum>
  <w:abstractNum w:abstractNumId="101">
    <w:nsid w:val="34FD6B4F"/>
    <w:multiLevelType w:val="hybridMultilevel"/>
    <w:lvl w:ilvl="0">
      <w:lvlJc w:val="left"/>
      <w:lvlText w:val="%1."/>
      <w:numFmt w:val="lowerLetter"/>
      <w:start w:val="2"/>
    </w:lvl>
    <w:lvl w:ilvl="1">
      <w:lvlJc w:val="left"/>
      <w:lvlText w:val="%2."/>
      <w:numFmt w:val="lowerRoman"/>
      <w:start w:val="1"/>
    </w:lvl>
  </w:abstractNum>
  <w:abstractNum w:abstractNumId="102">
    <w:nsid w:val="5915FF32"/>
    <w:multiLevelType w:val="hybridMultilevel"/>
    <w:lvl w:ilvl="0">
      <w:lvlJc w:val="left"/>
      <w:lvlText w:val="%1."/>
      <w:numFmt w:val="lowerLetter"/>
      <w:start w:val="1"/>
    </w:lvl>
  </w:abstractNum>
  <w:abstractNum w:abstractNumId="103">
    <w:nsid w:val="56438D15"/>
    <w:multiLevelType w:val="hybridMultilevel"/>
    <w:lvl w:ilvl="0">
      <w:lvlJc w:val="left"/>
      <w:lvlText w:val="%1."/>
      <w:numFmt w:val="decimal"/>
      <w:start w:val="4"/>
    </w:lvl>
  </w:abstractNum>
  <w:abstractNum w:abstractNumId="104">
    <w:nsid w:val="519E3149"/>
    <w:multiLevelType w:val="hybridMultilevel"/>
    <w:lvl w:ilvl="0">
      <w:lvlJc w:val="left"/>
      <w:lvlText w:val="%1."/>
      <w:numFmt w:val="decimal"/>
      <w:start w:val="5"/>
    </w:lvl>
  </w:abstractNum>
  <w:abstractNum w:abstractNumId="105">
    <w:nsid w:val="2C6E4AFD"/>
    <w:multiLevelType w:val="hybridMultilevel"/>
    <w:lvl w:ilvl="0">
      <w:lvlJc w:val="left"/>
      <w:lvlText w:val="%1."/>
      <w:numFmt w:val="decimal"/>
      <w:start w:val="6"/>
    </w:lvl>
  </w:abstractNum>
  <w:abstractNum w:abstractNumId="106">
    <w:nsid w:val="17A1B582"/>
    <w:multiLevelType w:val="hybridMultilevel"/>
    <w:lvl w:ilvl="0">
      <w:lvlJc w:val="left"/>
      <w:lvlText w:val="%1."/>
      <w:numFmt w:val="decimal"/>
      <w:start w:val="7"/>
    </w:lvl>
  </w:abstractNum>
  <w:abstractNum w:abstractNumId="107">
    <w:nsid w:val="4DF72E4E"/>
    <w:multiLevelType w:val="hybridMultilevel"/>
    <w:lvl w:ilvl="0">
      <w:lvlJc w:val="left"/>
      <w:lvlText w:val="%1."/>
      <w:numFmt w:val="decimal"/>
      <w:start w:val="12"/>
    </w:lvl>
  </w:abstractNum>
  <w:abstractNum w:abstractNumId="108">
    <w:nsid w:val="5046B5A9"/>
    <w:multiLevelType w:val="hybridMultilevel"/>
    <w:lvl w:ilvl="0">
      <w:lvlJc w:val="left"/>
      <w:lvlText w:val="•"/>
      <w:numFmt w:val="bullet"/>
      <w:start w:val="1"/>
    </w:lvl>
  </w:abstractNum>
  <w:abstractNum w:abstractNumId="109">
    <w:nsid w:val="5D888A08"/>
    <w:multiLevelType w:val="hybridMultilevel"/>
    <w:lvl w:ilvl="0">
      <w:lvlJc w:val="left"/>
      <w:lvlText w:val="%1."/>
      <w:numFmt w:val="decimal"/>
      <w:start w:val="1"/>
    </w:lvl>
  </w:abstractNum>
  <w:abstractNum w:abstractNumId="110">
    <w:nsid w:val="2A082C70"/>
    <w:multiLevelType w:val="hybridMultilevel"/>
    <w:lvl w:ilvl="0">
      <w:lvlJc w:val="left"/>
      <w:lvlText w:val="%1."/>
      <w:numFmt w:val="decimal"/>
      <w:start w:val="2"/>
    </w:lvl>
  </w:abstractNum>
  <w:abstractNum w:abstractNumId="111">
    <w:nsid w:val="5EC6AFD4"/>
    <w:multiLevelType w:val="hybridMultilevel"/>
    <w:lvl w:ilvl="0">
      <w:lvlJc w:val="left"/>
      <w:lvlText w:val="(%1)"/>
      <w:numFmt w:val="lowerLetter"/>
      <w:start w:val="1"/>
    </w:lvl>
  </w:abstractNum>
  <w:abstractNum w:abstractNumId="112">
    <w:nsid w:val="19E21BB2"/>
    <w:multiLevelType w:val="hybridMultilevel"/>
    <w:lvl w:ilvl="0">
      <w:lvlJc w:val="left"/>
      <w:lvlText w:val="(%1)"/>
      <w:numFmt w:val="lowerLetter"/>
      <w:start w:val="3"/>
    </w:lvl>
  </w:abstractNum>
  <w:abstractNum w:abstractNumId="113">
    <w:nsid w:val="75E0858A"/>
    <w:multiLevelType w:val="hybridMultilevel"/>
    <w:lvl w:ilvl="0">
      <w:lvlJc w:val="left"/>
      <w:lvlText w:val="%1."/>
      <w:numFmt w:val="decimal"/>
      <w:start w:val="3"/>
    </w:lvl>
  </w:abstractNum>
  <w:abstractNum w:abstractNumId="114">
    <w:nsid w:val="57A61A29"/>
    <w:multiLevelType w:val="hybridMultilevel"/>
    <w:lvl w:ilvl="0">
      <w:lvlJc w:val="left"/>
      <w:lvlText w:val="%1."/>
      <w:numFmt w:val="decimal"/>
      <w:start w:val="4"/>
    </w:lvl>
  </w:abstractNum>
  <w:abstractNum w:abstractNumId="115">
    <w:nsid w:val="5399C654"/>
    <w:multiLevelType w:val="hybridMultilevel"/>
    <w:lvl w:ilvl="0">
      <w:lvlJc w:val="left"/>
      <w:lvlText w:val="%1."/>
      <w:numFmt w:val="lowerLetter"/>
      <w:start w:val="1"/>
    </w:lvl>
  </w:abstractNum>
  <w:abstractNum w:abstractNumId="116">
    <w:nsid w:val="20EE1348"/>
    <w:multiLevelType w:val="hybridMultilevel"/>
    <w:lvl w:ilvl="0">
      <w:lvlJc w:val="left"/>
      <w:lvlText w:val="%1."/>
      <w:numFmt w:val="lowerLetter"/>
      <w:start w:val="2"/>
    </w:lvl>
  </w:abstractNum>
  <w:abstractNum w:abstractNumId="117">
    <w:nsid w:val="4427069A"/>
    <w:multiLevelType w:val="hybridMultilevel"/>
    <w:lvl w:ilvl="0">
      <w:lvlJc w:val="left"/>
      <w:lvlText w:val="%1."/>
      <w:numFmt w:val="decimal"/>
      <w:start w:val="5"/>
    </w:lvl>
  </w:abstractNum>
  <w:abstractNum w:abstractNumId="118">
    <w:nsid w:val="B37E80A"/>
    <w:multiLevelType w:val="hybridMultilevel"/>
    <w:lvl w:ilvl="0">
      <w:lvlJc w:val="left"/>
      <w:lvlText w:val="%1."/>
      <w:numFmt w:val="lowerLetter"/>
      <w:start w:val="1"/>
    </w:lvl>
  </w:abstractNum>
  <w:abstractNum w:abstractNumId="119">
    <w:nsid w:val="2157F6B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20">
    <w:nsid w:val="704E1DD5"/>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21">
    <w:nsid w:val="57D2F10E"/>
    <w:multiLevelType w:val="hybridMultilevel"/>
    <w:lvl w:ilvl="0">
      <w:lvlJc w:val="left"/>
      <w:lvlText w:val="%1"/>
      <w:numFmt w:val="decimal"/>
      <w:start w:val="1"/>
    </w:lvl>
    <w:lvl w:ilvl="1">
      <w:lvlJc w:val="left"/>
      <w:lvlText w:val="%2."/>
      <w:numFmt w:val="lowerLetter"/>
      <w:start w:val="6"/>
    </w:lvl>
  </w:abstractNum>
  <w:abstractNum w:abstractNumId="122">
    <w:nsid w:val="BFFAE18"/>
    <w:multiLevelType w:val="hybridMultilevel"/>
    <w:lvl w:ilvl="0">
      <w:lvlJc w:val="left"/>
      <w:lvlText w:val="%1."/>
      <w:numFmt w:val="decimal"/>
      <w:start w:val="6"/>
    </w:lvl>
    <w:lvl w:ilvl="1">
      <w:lvlJc w:val="left"/>
      <w:lvlText w:val="%2"/>
      <w:numFmt w:val="lowerLetter"/>
      <w:start w:val="1"/>
    </w:lvl>
  </w:abstractNum>
  <w:abstractNum w:abstractNumId="123">
    <w:nsid w:val="E3E47A8"/>
    <w:multiLevelType w:val="hybridMultilevel"/>
    <w:lvl w:ilvl="0">
      <w:lvlJc w:val="left"/>
      <w:lvlText w:val="(%1)"/>
      <w:numFmt w:val="lowerLetter"/>
      <w:start w:val="1"/>
    </w:lvl>
  </w:abstractNum>
  <w:abstractNum w:abstractNumId="124">
    <w:nsid w:val="2E48F044"/>
    <w:multiLevelType w:val="hybridMultilevel"/>
    <w:lvl w:ilvl="0">
      <w:lvlJc w:val="left"/>
      <w:lvlText w:val="%1."/>
      <w:numFmt w:val="upperLetter"/>
      <w:start w:val="1"/>
    </w:lvl>
  </w:abstractNum>
  <w:abstractNum w:abstractNumId="125">
    <w:nsid w:val="49D0FEAC"/>
    <w:multiLevelType w:val="hybridMultilevel"/>
    <w:lvl w:ilvl="0">
      <w:lvlJc w:val="left"/>
      <w:lvlText w:val="(%1)"/>
      <w:numFmt w:val="lowerLetter"/>
      <w:start w:val="1"/>
    </w:lvl>
    <w:lvl w:ilvl="1">
      <w:lvlJc w:val="left"/>
      <w:lvlText w:val="%2."/>
      <w:numFmt w:val="lowerRoman"/>
      <w:start w:val="1"/>
    </w:lvl>
  </w:abstractNum>
  <w:abstractNum w:abstractNumId="126">
    <w:nsid w:val="4BEE5A5B"/>
    <w:multiLevelType w:val="hybridMultilevel"/>
    <w:lvl w:ilvl="0">
      <w:lvlJc w:val="left"/>
      <w:lvlText w:val="(%1)"/>
      <w:numFmt w:val="lowerLetter"/>
      <w:start w:val="1"/>
    </w:lvl>
  </w:abstractNum>
  <w:abstractNum w:abstractNumId="127">
    <w:nsid w:val="5551B9F3"/>
    <w:multiLevelType w:val="hybridMultilevel"/>
    <w:lvl w:ilvl="0">
      <w:lvlJc w:val="left"/>
      <w:lvlText w:val="(%1)"/>
      <w:numFmt w:val="lowerLetter"/>
      <w:start w:val="2"/>
    </w:lvl>
  </w:abstractNum>
  <w:abstractNum w:abstractNumId="128">
    <w:nsid w:val="24F6AB8E"/>
    <w:multiLevelType w:val="hybridMultilevel"/>
    <w:lvl w:ilvl="0">
      <w:lvlJc w:val="left"/>
      <w:lvlText w:val="(%1)"/>
      <w:numFmt w:val="lowerLetter"/>
      <w:start w:val="6"/>
    </w:lvl>
  </w:abstractNum>
  <w:abstractNum w:abstractNumId="129">
    <w:nsid w:val="634C574C"/>
    <w:multiLevelType w:val="hybridMultilevel"/>
    <w:lvl w:ilvl="0">
      <w:lvlJc w:val="left"/>
      <w:lvlText w:val="(%1)"/>
      <w:numFmt w:val="lowerLetter"/>
      <w:start w:val="8"/>
    </w:lvl>
  </w:abstractNum>
  <w:abstractNum w:abstractNumId="130">
    <w:nsid w:val="24E99DD7"/>
    <w:multiLevelType w:val="hybridMultilevel"/>
    <w:lvl w:ilvl="0">
      <w:lvlJc w:val="left"/>
      <w:lvlText w:val="(%1)"/>
      <w:numFmt w:val="lowerLetter"/>
      <w:start w:val="12"/>
    </w:lvl>
  </w:abstractNum>
  <w:abstractNum w:abstractNumId="131">
    <w:nsid w:val="2A31B62D"/>
    <w:multiLevelType w:val="hybridMultilevel"/>
    <w:lvl w:ilvl="0">
      <w:lvlJc w:val="left"/>
      <w:lvlText w:val="(%1)"/>
      <w:numFmt w:val="lowerLetter"/>
      <w:start w:val="13"/>
    </w:lvl>
  </w:abstractNum>
  <w:abstractNum w:abstractNumId="132">
    <w:nsid w:val="1849C29B"/>
    <w:multiLevelType w:val="hybridMultilevel"/>
    <w:lvl w:ilvl="0">
      <w:lvlJc w:val="left"/>
      <w:lvlText w:val="(%1)"/>
      <w:numFmt w:val="lowerLetter"/>
      <w:start w:val="14"/>
    </w:lvl>
  </w:abstractNum>
  <w:abstractNum w:abstractNumId="133">
    <w:nsid w:val="7DFF9D09"/>
    <w:multiLevelType w:val="hybridMultilevel"/>
    <w:lvl w:ilvl="0">
      <w:lvlJc w:val="left"/>
      <w:lvlText w:val="%1"/>
      <w:numFmt w:val="decimal"/>
      <w:start w:val="1"/>
    </w:lvl>
    <w:lvl w:ilvl="1">
      <w:lvlJc w:val="left"/>
      <w:lvlText w:val="(%2)"/>
      <w:numFmt w:val="lowerLetter"/>
      <w:start w:val="18"/>
    </w:lvl>
    <w:lvl w:ilvl="2">
      <w:lvlJc w:val="left"/>
      <w:lvlText w:val="%3."/>
      <w:numFmt w:val="lowerRoman"/>
      <w:start w:val="1"/>
    </w:lvl>
    <w:lvl w:ilvl="3">
      <w:lvlJc w:val="left"/>
      <w:lvlText w:val="%4."/>
      <w:numFmt w:val="decimal"/>
      <w:start w:val="1"/>
    </w:lvl>
  </w:abstractNum>
  <w:abstractNum w:abstractNumId="134">
    <w:nsid w:val="75434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35">
    <w:nsid w:val="69E7F3E5"/>
    <w:multiLevelType w:val="hybridMultilevel"/>
    <w:lvl w:ilvl="0">
      <w:lvlJc w:val="left"/>
      <w:lvlText w:val="%1."/>
      <w:numFmt w:val="decimal"/>
      <w:start w:val="2"/>
    </w:lvl>
    <w:lvl w:ilvl="1">
      <w:lvlJc w:val="left"/>
      <w:lvlText w:val="%2."/>
      <w:numFmt w:val="lowerRoman"/>
      <w:start w:val="1"/>
    </w:lvl>
  </w:abstractNum>
  <w:abstractNum w:abstractNumId="136">
    <w:nsid w:val="2A6DE806"/>
    <w:multiLevelType w:val="hybridMultilevel"/>
    <w:lvl w:ilvl="0">
      <w:lvlJc w:val="left"/>
      <w:lvlText w:val="%1."/>
      <w:numFmt w:val="lowerRoman"/>
      <w:start w:val="2"/>
    </w:lvl>
  </w:abstractNum>
  <w:abstractNum w:abstractNumId="137">
    <w:nsid w:val="1816F8C4"/>
    <w:multiLevelType w:val="hybridMultilevel"/>
    <w:lvl w:ilvl="0">
      <w:lvlJc w:val="left"/>
      <w:lvlText w:val="%1."/>
      <w:numFmt w:val="lowerRoman"/>
      <w:start w:val="3"/>
    </w:lvl>
  </w:abstractNum>
  <w:abstractNum w:abstractNumId="138">
    <w:nsid w:val="37DF2233"/>
    <w:multiLevelType w:val="hybridMultilevel"/>
    <w:lvl w:ilvl="0">
      <w:lvlJc w:val="left"/>
      <w:lvlText w:val="%1."/>
      <w:numFmt w:val="lowerRoman"/>
      <w:start w:val="7"/>
    </w:lvl>
  </w:abstractNum>
  <w:abstractNum w:abstractNumId="139">
    <w:nsid w:val="7AB49DAF"/>
    <w:multiLevelType w:val="hybridMultilevel"/>
    <w:lvl w:ilvl="0">
      <w:lvlJc w:val="left"/>
      <w:lvlText w:val="(%1)"/>
      <w:numFmt w:val="lowerLetter"/>
      <w:start w:val="23"/>
    </w:lvl>
  </w:abstractNum>
  <w:abstractNum w:abstractNumId="140">
    <w:nsid w:val="759F82CD"/>
    <w:multiLevelType w:val="hybridMultilevel"/>
    <w:lvl w:ilvl="0">
      <w:lvlJc w:val="left"/>
      <w:lvlText w:val="(%1)"/>
      <w:numFmt w:val="lowerLetter"/>
      <w:start w:val="26"/>
    </w:lvl>
  </w:abstractNum>
  <w:abstractNum w:abstractNumId="141">
    <w:nsid w:val="61E74EA3"/>
    <w:multiLevelType w:val="hybridMultilevel"/>
    <w:lvl w:ilvl="0">
      <w:lvlJc w:val="left"/>
      <w:lvlText w:val="(%1)"/>
      <w:numFmt w:val="lowerLetter"/>
      <w:start w:val="27"/>
    </w:lvl>
  </w:abstractNum>
  <w:abstractNum w:abstractNumId="142">
    <w:nsid w:val="597B4D84"/>
    <w:multiLevelType w:val="hybridMultilevel"/>
    <w:lvl w:ilvl="0">
      <w:lvlJc w:val="left"/>
      <w:lvlText w:val="(%1)"/>
      <w:numFmt w:val="decimal"/>
      <w:start w:val="1"/>
    </w:lvl>
  </w:abstractNum>
  <w:abstractNum w:abstractNumId="143">
    <w:nsid w:val="F819E7F"/>
    <w:multiLevelType w:val="hybridMultilevel"/>
    <w:lvl w:ilvl="0">
      <w:lvlJc w:val="left"/>
      <w:lvlText w:val="%1."/>
      <w:numFmt w:val="decimal"/>
      <w:start w:val="1"/>
    </w:lvl>
    <w:lvl w:ilvl="1">
      <w:lvlJc w:val="left"/>
      <w:lvlText w:val="(%2)"/>
      <w:numFmt w:val="lowerLetter"/>
      <w:start w:val="1"/>
    </w:lvl>
  </w:abstractNum>
  <w:abstractNum w:abstractNumId="144">
    <w:nsid w:val="57C7D42D"/>
    <w:multiLevelType w:val="hybridMultilevel"/>
    <w:lvl w:ilvl="0">
      <w:lvlJc w:val="left"/>
      <w:lvlText w:val="%1."/>
      <w:numFmt w:val="decimal"/>
      <w:start w:val="1"/>
    </w:lvl>
    <w:lvl w:ilvl="1">
      <w:lvlJc w:val="left"/>
      <w:lvlText w:val="(%2)"/>
      <w:numFmt w:val="lowerLetter"/>
      <w:start w:val="1"/>
    </w:lvl>
  </w:abstractNum>
  <w:abstractNum w:abstractNumId="145">
    <w:nsid w:val="312167AD"/>
    <w:multiLevelType w:val="hybridMultilevel"/>
    <w:lvl w:ilvl="0">
      <w:lvlJc w:val="left"/>
      <w:lvlText w:val="(%1)"/>
      <w:numFmt w:val="decimal"/>
      <w:start w:val="1"/>
    </w:lvl>
  </w:abstractNum>
  <w:abstractNum w:abstractNumId="146">
    <w:nsid w:val="631B64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157" Type="http://schemas.openxmlformats.org/officeDocument/2006/relationships/image" Target="media/image44.png"/><Relationship Id="rId158" Type="http://schemas.openxmlformats.org/officeDocument/2006/relationships/image" Target="media/image45.png"/><Relationship Id="rId159" Type="http://schemas.openxmlformats.org/officeDocument/2006/relationships/image" Target="media/image46.png"/><Relationship Id="rId160" Type="http://schemas.openxmlformats.org/officeDocument/2006/relationships/image" Target="media/image47.png"/><Relationship Id="rId161" Type="http://schemas.openxmlformats.org/officeDocument/2006/relationships/image" Target="media/image48.png"/><Relationship Id="rId162" Type="http://schemas.openxmlformats.org/officeDocument/2006/relationships/image" Target="media/image49.png"/><Relationship Id="rId163" Type="http://schemas.openxmlformats.org/officeDocument/2006/relationships/image" Target="media/image50.png"/><Relationship Id="rId164" Type="http://schemas.openxmlformats.org/officeDocument/2006/relationships/image" Target="media/image51.png"/><Relationship Id="rId165" Type="http://schemas.openxmlformats.org/officeDocument/2006/relationships/image" Target="media/image52.png"/><Relationship Id="rId166" Type="http://schemas.openxmlformats.org/officeDocument/2006/relationships/image" Target="media/image53.png"/><Relationship Id="rId167" Type="http://schemas.openxmlformats.org/officeDocument/2006/relationships/image" Target="media/image54.png"/><Relationship Id="rId168" Type="http://schemas.openxmlformats.org/officeDocument/2006/relationships/image" Target="media/image55.png"/><Relationship Id="rId169" Type="http://schemas.openxmlformats.org/officeDocument/2006/relationships/image" Target="media/image56.png"/><Relationship Id="rId170" Type="http://schemas.openxmlformats.org/officeDocument/2006/relationships/image" Target="media/image57.png"/><Relationship Id="rId171" Type="http://schemas.openxmlformats.org/officeDocument/2006/relationships/image" Target="media/image58.png"/><Relationship Id="rId172" Type="http://schemas.openxmlformats.org/officeDocument/2006/relationships/image" Target="media/image59.png"/><Relationship Id="rId173" Type="http://schemas.openxmlformats.org/officeDocument/2006/relationships/image" Target="media/image60.png"/><Relationship Id="rId174" Type="http://schemas.openxmlformats.org/officeDocument/2006/relationships/image" Target="media/image61.png"/><Relationship Id="rId175" Type="http://schemas.openxmlformats.org/officeDocument/2006/relationships/image" Target="media/image62.png"/><Relationship Id="rId176" Type="http://schemas.openxmlformats.org/officeDocument/2006/relationships/image" Target="media/image63.png"/><Relationship Id="rId177" Type="http://schemas.openxmlformats.org/officeDocument/2006/relationships/image" Target="media/image64.png"/><Relationship Id="rId178" Type="http://schemas.openxmlformats.org/officeDocument/2006/relationships/image" Target="media/image65.png"/><Relationship Id="rId179" Type="http://schemas.openxmlformats.org/officeDocument/2006/relationships/image" Target="media/image66.png"/><Relationship Id="rId180" Type="http://schemas.openxmlformats.org/officeDocument/2006/relationships/image" Target="media/image67.png"/><Relationship Id="rId51" Type="http://schemas.openxmlformats.org/officeDocument/2006/relationships/hyperlink" Target="http://www.sec.gov/Archives/edgar/data/1144215/000119312507208062/dex31.htm" TargetMode="External"/><Relationship Id="rId52" Type="http://schemas.openxmlformats.org/officeDocument/2006/relationships/hyperlink" Target="http://www.sec.gov/Archives/edgar/data/1144215/000119312507208062/dex32.htm" TargetMode="External"/><Relationship Id="rId53" Type="http://schemas.openxmlformats.org/officeDocument/2006/relationships/hyperlink" Target="http://www.sec.gov/Archives/edgar/data/1144215/000114421517000005/ex3ccertificateofamendment.htm" TargetMode="External"/><Relationship Id="rId54" Type="http://schemas.openxmlformats.org/officeDocument/2006/relationships/hyperlink" Target="http://www.sec.gov/Archives/edgar/data/1144215/000114421517000005/ex3damendedandrestatedby-l.htm" TargetMode="External"/><Relationship Id="rId55" Type="http://schemas.openxmlformats.org/officeDocument/2006/relationships/hyperlink" Target="http://www.sec.gov/Archives/edgar/data/1144215/000095014401510028/g73259ex4-1.txt" TargetMode="External"/><Relationship Id="rId56" Type="http://schemas.openxmlformats.org/officeDocument/2006/relationships/hyperlink" Target="http://www.sec.gov/Archives/edgar/data/1144215/000114421518000080/ayi-20180531xex101.htm" TargetMode="External"/><Relationship Id="rId57" Type="http://schemas.openxmlformats.org/officeDocument/2006/relationships/hyperlink" Target="http://www.sec.gov/Archives/edgar/data/1144215/000114421519000049/ayi-20190423x8xk_ex101.htm" TargetMode="External"/><Relationship Id="rId58" Type="http://schemas.openxmlformats.org/officeDocument/2006/relationships/hyperlink" Target="http://www.sec.gov/Archives/edgar/data/1144215/000095014401510028/g73259ex10-6.txt" TargetMode="External"/><Relationship Id="rId59" Type="http://schemas.openxmlformats.org/officeDocument/2006/relationships/hyperlink" Target="http://www.sec.gov/Archives/edgar/data/1144215/000095014402000328/g73684ex10-iiia3.txt" TargetMode="External"/><Relationship Id="rId60" Type="http://schemas.openxmlformats.org/officeDocument/2006/relationships/hyperlink" Target="http://www.sec.gov/Archives/edgar/data/1144215/000119312506216923/dex991.htm" TargetMode="External"/><Relationship Id="rId61" Type="http://schemas.openxmlformats.org/officeDocument/2006/relationships/hyperlink" Target="http://www.sec.gov/Archives/edgar/data/1144215/000119312507001119/dex10iiiac.htm" TargetMode="External"/><Relationship Id="rId62" Type="http://schemas.openxmlformats.org/officeDocument/2006/relationships/hyperlink" Target="http://www.sec.gov/Archives/edgar/data/1144215/000119312507152172/dex10iiia3.htm" TargetMode="External"/><Relationship Id="rId63" Type="http://schemas.openxmlformats.org/officeDocument/2006/relationships/hyperlink" Target="http://www.sec.gov/Archives/edgar/data/1144215/000095014401510028/g73259ex10-14.txt" TargetMode="External"/><Relationship Id="rId64" Type="http://schemas.openxmlformats.org/officeDocument/2006/relationships/hyperlink" Target="http://www.sec.gov/Archives/edgar/data/1144215/000093176303000078/dex10iiia2.htm" TargetMode="External"/><Relationship Id="rId65" Type="http://schemas.openxmlformats.org/officeDocument/2006/relationships/hyperlink" Target="http://www.sec.gov/Archives/edgar/data/1144215/000119312503019186/dex10iiia8.htm" TargetMode="External"/><Relationship Id="rId66" Type="http://schemas.openxmlformats.org/officeDocument/2006/relationships/hyperlink" Target="http://www.sec.gov/Archives/edgar/data/1144215/000119312504181807/dex10iiia36.htm" TargetMode="External"/><Relationship Id="rId67" Type="http://schemas.openxmlformats.org/officeDocument/2006/relationships/hyperlink" Target="http://www.sec.gov/Archives/edgar/data/1144215/000119312506142480/dex992.htm" TargetMode="External"/><Relationship Id="rId68" Type="http://schemas.openxmlformats.org/officeDocument/2006/relationships/hyperlink" Target="http://www.sec.gov/Archives/edgar/data/1144215/000119312507152172/dex10iiia6.htm" TargetMode="External"/><Relationship Id="rId69" Type="http://schemas.openxmlformats.org/officeDocument/2006/relationships/hyperlink" Target="http://www.sec.gov/Archives/edgar/data/1144215/000119312510072493/dex10c.htm" TargetMode="External"/><Relationship Id="rId70" Type="http://schemas.openxmlformats.org/officeDocument/2006/relationships/hyperlink" Target="http://www.sec.gov/Archives/edgar/data/1144215/000114421519000072/ayi-20190531xex10b.htm" TargetMode="External"/><Relationship Id="rId71" Type="http://schemas.openxmlformats.org/officeDocument/2006/relationships/hyperlink" Target="http://www.sec.gov/Archives/edgar/data/1144215/000119312506142480/dex991.htm" TargetMode="External"/><Relationship Id="rId72" Type="http://schemas.openxmlformats.org/officeDocument/2006/relationships/hyperlink" Target="http://www.sec.gov/Archives/edgar/data/1144215/000119312508216953/dex10iiia86.htm" TargetMode="External"/><Relationship Id="rId73" Type="http://schemas.openxmlformats.org/officeDocument/2006/relationships/hyperlink" Target="http://www.sec.gov/Archives/edgar/data/1144215/000114421512000139/ayi-2012831xex10iiia68.htm" TargetMode="External"/><Relationship Id="rId74" Type="http://schemas.openxmlformats.org/officeDocument/2006/relationships/hyperlink" Target="http://www.sec.gov/Archives/edgar/data/1144215/000114421519000025/ayi-20181130xex10c.htm" TargetMode="External"/><Relationship Id="rId75" Type="http://schemas.openxmlformats.org/officeDocument/2006/relationships/hyperlink" Target="http://www.sec.gov/Archives/edgar/data/1144215/000095014401510028/g73259ex10-16.txt" TargetMode="External"/><Relationship Id="rId76" Type="http://schemas.openxmlformats.org/officeDocument/2006/relationships/hyperlink" Target="http://www.sec.gov/Archives/edgar/data/1144215/000119312507152172/dex10iiia5.htm" TargetMode="External"/><Relationship Id="rId77" Type="http://schemas.openxmlformats.org/officeDocument/2006/relationships/hyperlink" Target="http://www.sec.gov/Archives/edgar/data/1144215/000095014401510028/g73259ex10-18.txt" TargetMode="External"/><Relationship Id="rId78" Type="http://schemas.openxmlformats.org/officeDocument/2006/relationships/hyperlink" Target="http://www.sec.gov/Archives/edgar/data/1144215/000095014401510028/g73259ex10-19.txt" TargetMode="External"/><Relationship Id="rId79" Type="http://schemas.openxmlformats.org/officeDocument/2006/relationships/hyperlink" Target="http://www.sec.gov/Archives/edgar/data/1144215/000093176303000964/dex10iiia2.htm" TargetMode="External"/><Relationship Id="rId80" Type="http://schemas.openxmlformats.org/officeDocument/2006/relationships/hyperlink" Target="http://www.sec.gov/Archives/edgar/data/1144215/000095014401510028/g73259ex10-21.txt" TargetMode="External"/><Relationship Id="rId81" Type="http://schemas.openxmlformats.org/officeDocument/2006/relationships/hyperlink" Target="http://www.sec.gov/Archives/edgar/data/1144215/000095014401510028/g73259ex10-25.txt" TargetMode="External"/><Relationship Id="rId82" Type="http://schemas.openxmlformats.org/officeDocument/2006/relationships/hyperlink" Target="http://www.sec.gov/Archives/edgar/data/1144215/000114421515000077/ayi-20150531xex10iiia1.htm" TargetMode="External"/><Relationship Id="rId83" Type="http://schemas.openxmlformats.org/officeDocument/2006/relationships/hyperlink" Target="http://www.sec.gov/Archives/edgar/data/1144215/000114421519000072/ayi-20190531xex10c.htm" TargetMode="External"/><Relationship Id="rId84" Type="http://schemas.openxmlformats.org/officeDocument/2006/relationships/hyperlink" Target="http://www.sec.gov/Archives/edgar/data/1144215/000114421518000110/ayi-20180831xex10iiia24.htm" TargetMode="External"/><Relationship Id="rId85" Type="http://schemas.openxmlformats.org/officeDocument/2006/relationships/hyperlink" Target="http://www.sec.gov/Archives/edgar/data/1144215/000119312506091167/dex991.htm" TargetMode="External"/><Relationship Id="rId86" Type="http://schemas.openxmlformats.org/officeDocument/2006/relationships/hyperlink" Target="http://www.sec.gov/Archives/edgar/data/1144215/000119312503019186/dex10iiia4.htm" TargetMode="External"/><Relationship Id="rId87" Type="http://schemas.openxmlformats.org/officeDocument/2006/relationships/hyperlink" Target="http://www.sec.gov/Archives/edgar/data/1144215/000119312504114150/dex10iiia1.htm" TargetMode="External"/><Relationship Id="rId88" Type="http://schemas.openxmlformats.org/officeDocument/2006/relationships/hyperlink" Target="http://www.sec.gov/Archives/edgar/data/1144215/000119312504114150/dex10iiia2.htm" TargetMode="External"/><Relationship Id="rId89" Type="http://schemas.openxmlformats.org/officeDocument/2006/relationships/hyperlink" Target="http://www.sec.gov/Archives/edgar/data/1144215/000119312506091167/dex993.htm" TargetMode="External"/><Relationship Id="rId90" Type="http://schemas.openxmlformats.org/officeDocument/2006/relationships/hyperlink" Target="http://www.sec.gov/Archives/edgar/data/1144215/000119312507073910/dex10iiia2.htm" TargetMode="External"/><Relationship Id="rId91" Type="http://schemas.openxmlformats.org/officeDocument/2006/relationships/hyperlink" Target="http://www.sec.gov/Archives/edgar/data/1144215/000119312509217720/dex10iiia78.htm" TargetMode="External"/><Relationship Id="rId92" Type="http://schemas.openxmlformats.org/officeDocument/2006/relationships/hyperlink" Target="http://www.sec.gov/Archives/edgar/data/1144215/000114421514000037/ayi-20140228xex10iiia2.htm" TargetMode="External"/><Relationship Id="rId93" Type="http://schemas.openxmlformats.org/officeDocument/2006/relationships/hyperlink" Target="http://www.sec.gov/Archives/edgar/data/1144215/000114421519000043/ayi-20190228xex10a.htm" TargetMode="External"/><Relationship Id="rId94" Type="http://schemas.openxmlformats.org/officeDocument/2006/relationships/hyperlink" Target="http://www.sec.gov/Archives/edgar/data/1144215/000119312505002028/dex10iiia5.htm" TargetMode="External"/><Relationship Id="rId95" Type="http://schemas.openxmlformats.org/officeDocument/2006/relationships/hyperlink" Target="http://www.sec.gov/Archives/edgar/data/1144215/000114421520000010/ayi-20200109x8xkex101.htm" TargetMode="External"/><Relationship Id="rId96" Type="http://schemas.openxmlformats.org/officeDocument/2006/relationships/hyperlink" Target="http://www.sec.gov/Archives/edgar/data/1144215/000114421520000010/ayi-20200109x8xkex102.htm" TargetMode="External"/><Relationship Id="rId97" Type="http://schemas.openxmlformats.org/officeDocument/2006/relationships/hyperlink" Target="http://www.sec.gov/Archives/edgar/data/1144215/000114421520000010/ayi-20200109x8xkex103.htm" TargetMode="External"/><Relationship Id="rId98" Type="http://schemas.openxmlformats.org/officeDocument/2006/relationships/hyperlink" Target="http://www.sec.gov/Archives/edgar/data/1144215/000114421520000010/ayi-20200109x8xkex104.htm" TargetMode="External"/><Relationship Id="rId99" Type="http://schemas.openxmlformats.org/officeDocument/2006/relationships/hyperlink" Target="http://www.sec.gov/Archives/edgar/data/1144215/000114421520000010/ayi-20200109x8xkex105.htm" TargetMode="External"/><Relationship Id="rId100" Type="http://schemas.openxmlformats.org/officeDocument/2006/relationships/hyperlink" Target="http://www.sec.gov/Archives/edgar/data/1144215/000119312505002028/dex10iiia3.htm" TargetMode="External"/><Relationship Id="rId101" Type="http://schemas.openxmlformats.org/officeDocument/2006/relationships/hyperlink" Target="http://www.sec.gov/Archives/edgar/data/1144215/000119312505002028/dex10iiia4.htm" TargetMode="External"/><Relationship Id="rId102" Type="http://schemas.openxmlformats.org/officeDocument/2006/relationships/hyperlink" Target="http://www.sec.gov/Archives/edgar/data/1144215/000119312505068978/dex10iiia1.htm" TargetMode="External"/><Relationship Id="rId103" Type="http://schemas.openxmlformats.org/officeDocument/2006/relationships/hyperlink" Target="http://www.sec.gov/Archives/edgar/data/1144215/000119312505229173/dex101.htm" TargetMode="External"/><Relationship Id="rId104" Type="http://schemas.openxmlformats.org/officeDocument/2006/relationships/hyperlink" Target="http://www.sec.gov/Archives/edgar/data/1144215/000119312509217720/dex10iiia81.htm" TargetMode="External"/><Relationship Id="rId105" Type="http://schemas.openxmlformats.org/officeDocument/2006/relationships/hyperlink" Target="http://www.sec.gov/Archives/edgar/data/1144215/000119312510072493/dex10f.htm" TargetMode="External"/><Relationship Id="rId106" Type="http://schemas.openxmlformats.org/officeDocument/2006/relationships/hyperlink" Target="http://www.sec.gov/Archives/edgar/data/1144215/000114421514000037/ayi-20140228xex10iiia4.htm" TargetMode="External"/><Relationship Id="rId107" Type="http://schemas.openxmlformats.org/officeDocument/2006/relationships/hyperlink" Target="http://www.sec.gov/Archives/edgar/data/1144215/000114421514000108/ayi-20140831xex10iiia46.htm" TargetMode="External"/><Relationship Id="rId108" Type="http://schemas.openxmlformats.org/officeDocument/2006/relationships/hyperlink" Target="http://www.sec.gov/Archives/edgar/data/1144215/000114421515000120/ayi-2015831xex10iiia43.htm" TargetMode="External"/><Relationship Id="rId109" Type="http://schemas.openxmlformats.org/officeDocument/2006/relationships/hyperlink" Target="http://www.sec.gov/Archives/edgar/data/1144215/000114421516000287/ayi-2016831xex10iiia44.htm" TargetMode="External"/><Relationship Id="rId110" Type="http://schemas.openxmlformats.org/officeDocument/2006/relationships/hyperlink" Target="http://www.sec.gov/Archives/edgar/data/1144215/000114421517000106/ayi-20170831xex10iiia45.htm" TargetMode="External"/><Relationship Id="rId111" Type="http://schemas.openxmlformats.org/officeDocument/2006/relationships/hyperlink" Target="http://www.sec.gov/Archives/edgar/data/1144215/000114421519000025/ayi-20181130xex10a.htm" TargetMode="External"/><Relationship Id="rId112" Type="http://schemas.openxmlformats.org/officeDocument/2006/relationships/hyperlink" Target="http://www.sec.gov/Archives/edgar/data/1144215/000114421519000043/ayi-20190228xex10b.htm" TargetMode="External"/><Relationship Id="rId113" Type="http://schemas.openxmlformats.org/officeDocument/2006/relationships/hyperlink" Target="http://www.sec.gov/Archives/edgar/data/1144215/000114421519000114/ayi-20190831xex10iiia51.htm" TargetMode="External"/><Relationship Id="rId114" Type="http://schemas.openxmlformats.org/officeDocument/2006/relationships/hyperlink" Target="http://www.sec.gov/Archives/edgar/data/1144215/000114421519000114/ayi-20190831xex10iiia52.htm" TargetMode="External"/><Relationship Id="rId115" Type="http://schemas.openxmlformats.org/officeDocument/2006/relationships/hyperlink" Target="http://www.sec.gov/Archives/edgar/data/1144215/000114421519000114/ayi-20190831xex10iiia53.htm" TargetMode="External"/><Relationship Id="rId116" Type="http://schemas.openxmlformats.org/officeDocument/2006/relationships/hyperlink" Target="http://www.sec.gov/Archives/edgar/data/1144215/000114421519000114/ayi-20190831xex10iiia54.htm" TargetMode="External"/><Relationship Id="rId117" Type="http://schemas.openxmlformats.org/officeDocument/2006/relationships/hyperlink" Target="http://www.sec.gov/Archives/edgar/data/1144215/000114421519000114/ayi-20190831xex10iiia55.htm" TargetMode="External"/><Relationship Id="rId118" Type="http://schemas.openxmlformats.org/officeDocument/2006/relationships/hyperlink" Target="http://www.sec.gov/Archives/edgar/data/1144215/000119312505235968/dex991.htm" TargetMode="External"/><Relationship Id="rId119" Type="http://schemas.openxmlformats.org/officeDocument/2006/relationships/hyperlink" Target="http://www.sec.gov/Archives/edgar/data/1144215/000095014407010596/g09656def14a.htm#153" TargetMode="External"/><Relationship Id="rId120" Type="http://schemas.openxmlformats.org/officeDocument/2006/relationships/hyperlink" Target="http://www.sec.gov/Archives/edgar/data/1144215/000119312508001527/dex991.htm" TargetMode="External"/><Relationship Id="rId121" Type="http://schemas.openxmlformats.org/officeDocument/2006/relationships/hyperlink" Target="http://www.sec.gov/Archives/edgar/data/1144215/000119312509075441/dex10i.htm" TargetMode="External"/><Relationship Id="rId122" Type="http://schemas.openxmlformats.org/officeDocument/2006/relationships/hyperlink" Target="http://www.sec.gov/Archives/edgar/data/1144215/000119312509075441/dex10j.htm" TargetMode="External"/><Relationship Id="rId123" Type="http://schemas.openxmlformats.org/officeDocument/2006/relationships/hyperlink" Target="http://www.sec.gov/Archives/edgar/data/1144215/000119312509075441/dex10f.htm" TargetMode="External"/><Relationship Id="rId124" Type="http://schemas.openxmlformats.org/officeDocument/2006/relationships/hyperlink" Target="http://www.sec.gov/Archives/edgar/data/1144215/000114421515000004/ayi-20141130xex10iiia1.htm" TargetMode="External"/><Relationship Id="rId125" Type="http://schemas.openxmlformats.org/officeDocument/2006/relationships/hyperlink" Target="http://www.sec.gov/Archives/edgar/data/1144215/000119312509217720/dex10iiia79.htm" TargetMode="External"/><Relationship Id="rId126" Type="http://schemas.openxmlformats.org/officeDocument/2006/relationships/hyperlink" Target="http://www.sec.gov/Archives/edgar/data/1144215/000119312510072493/dex10d.htm" TargetMode="External"/><Relationship Id="rId127" Type="http://schemas.openxmlformats.org/officeDocument/2006/relationships/hyperlink" Target="http://www.sec.gov/Archives/edgar/data/1144215/000114421514000037/ayi-20140228xex10iiia3.htm" TargetMode="External"/><Relationship Id="rId128" Type="http://schemas.openxmlformats.org/officeDocument/2006/relationships/hyperlink" Target="http://www.sec.gov/Archives/edgar/data/1144215/000114421514000108/ayi-20140831xex10iiia58.htm" TargetMode="External"/><Relationship Id="rId129" Type="http://schemas.openxmlformats.org/officeDocument/2006/relationships/hyperlink" Target="http://www.sec.gov/Archives/edgar/data/1144215/000114421515000120/ayi-2015831xex10iiia57.htm" TargetMode="External"/><Relationship Id="rId130" Type="http://schemas.openxmlformats.org/officeDocument/2006/relationships/hyperlink" Target="http://www.sec.gov/Archives/edgar/data/1144215/000114421516000287/ayi-2016831xex10iiia59.htm" TargetMode="External"/><Relationship Id="rId131" Type="http://schemas.openxmlformats.org/officeDocument/2006/relationships/hyperlink" Target="http://www.sec.gov/Archives/edgar/data/1144215/000114421518000110/ayi-20180831xex10iiia58.htm" TargetMode="External"/><Relationship Id="rId132" Type="http://schemas.openxmlformats.org/officeDocument/2006/relationships/hyperlink" Target="http://www.sec.gov/Archives/edgar/data/1144215/000114421515000004/ayi-20141130xex10iiia2.htm" TargetMode="External"/><Relationship Id="rId133" Type="http://schemas.openxmlformats.org/officeDocument/2006/relationships/hyperlink" Target="http://www.sec.gov/Archives/edgar/data/1144215/000119312509217720/dex10iiia84.htm" TargetMode="External"/><Relationship Id="rId134" Type="http://schemas.openxmlformats.org/officeDocument/2006/relationships/hyperlink" Target="http://www.sec.gov/Archives/edgar/data/1144215/000114421518000110/ayi-20180831xex10iiia61.htm" TargetMode="External"/><Relationship Id="rId135" Type="http://schemas.openxmlformats.org/officeDocument/2006/relationships/hyperlink" Target="http://www.sec.gov/Archives/edgar/data/1144215/000114421518000110/ayi-20180831xex10iiia62.htm" TargetMode="External"/><Relationship Id="rId136" Type="http://schemas.openxmlformats.org/officeDocument/2006/relationships/hyperlink" Target="http://www.sec.gov/Archives/edgar/data/1144215/000114421519000025/ayi-20181130xex10b.htm" TargetMode="External"/><Relationship Id="rId137" Type="http://schemas.openxmlformats.org/officeDocument/2006/relationships/hyperlink" Target="http://www.sec.gov/Archives/edgar/data/1144215/000114421518000110/ayi-20180831xex10iiia63.htm" TargetMode="External"/><Relationship Id="rId138" Type="http://schemas.openxmlformats.org/officeDocument/2006/relationships/hyperlink" Target="http://www.sec.gov/Archives/edgar/data/1144215/000119312510025834/dex101.htm" TargetMode="External"/><Relationship Id="rId139" Type="http://schemas.openxmlformats.org/officeDocument/2006/relationships/hyperlink" Target="http://www.sec.gov/Archives/edgar/data/1144215/000119312512475685/d403167ddef14a.htm#toc403167_37" TargetMode="External"/><Relationship Id="rId140" Type="http://schemas.openxmlformats.org/officeDocument/2006/relationships/hyperlink" Target="http://www.sec.gov/Archives/edgar/data/1144215/000119312512475685/d403167ddef14a.htm#toc403167_38" TargetMode="External"/><Relationship Id="rId141" Type="http://schemas.openxmlformats.org/officeDocument/2006/relationships/hyperlink" Target="http://www.sec.gov/Archives/edgar/data/1144215/000114421513000113/ayi-2013831xex10iiia72.htm" TargetMode="External"/><Relationship Id="rId142" Type="http://schemas.openxmlformats.org/officeDocument/2006/relationships/hyperlink" Target="http://www.sec.gov/Archives/edgar/data/1144215/000114421514000037/ayi-20140228xex10iiia1.htm" TargetMode="External"/><Relationship Id="rId143" Type="http://schemas.openxmlformats.org/officeDocument/2006/relationships/hyperlink" Target="http://www.sec.gov/Archives/edgar/data/1144215/000114421514000108/ayi-20140831xex10iiia65.htm" TargetMode="External"/><Relationship Id="rId144" Type="http://schemas.openxmlformats.org/officeDocument/2006/relationships/hyperlink" Target="http://www.sec.gov/Archives/edgar/data/1144215/000114421514000108/ayi-20140831xex10iiia66.htm" TargetMode="External"/><Relationship Id="rId145" Type="http://schemas.openxmlformats.org/officeDocument/2006/relationships/hyperlink" Target="http://www.sec.gov/Archives/edgar/data/1144215/000114421516000200/ayi-20160229xex10iiia1.htm" TargetMode="External"/><Relationship Id="rId146" Type="http://schemas.openxmlformats.org/officeDocument/2006/relationships/hyperlink" Target="http://www.sec.gov/Archives/edgar/data/1144215/000114421516000287/ayi-2016831xex10iiia70.htm" TargetMode="External"/><Relationship Id="rId147" Type="http://schemas.openxmlformats.org/officeDocument/2006/relationships/hyperlink" Target="http://www.sec.gov/Archives/edgar/data/1144215/000114421517000106/ayi-20170831xex10iiia72.htm" TargetMode="External"/><Relationship Id="rId148" Type="http://schemas.openxmlformats.org/officeDocument/2006/relationships/hyperlink" Target="http://www.sec.gov/Archives/edgar/data/1144215/000114421516000287/ayi-2016831xex10iiia72.htm" TargetMode="External"/><Relationship Id="rId149" Type="http://schemas.openxmlformats.org/officeDocument/2006/relationships/hyperlink" Target="http://www.sec.gov/Archives/edgar/data/1144215/000114421516000287/ayi-2016831xex10iiia73.htm" TargetMode="External"/><Relationship Id="rId150" Type="http://schemas.openxmlformats.org/officeDocument/2006/relationships/hyperlink" Target="http://www.sec.gov/Archives/edgar/data/1144215/000114421517000130/a2017proxydef14a.htm#sF3400A41D009354EEC8E9E45711C7C21" TargetMode="External"/><Relationship Id="rId151" Type="http://schemas.openxmlformats.org/officeDocument/2006/relationships/hyperlink" Target="http://www.sec.gov/Archives/edgar/data/1144215/000114421517000130/a2017proxydef14a.htm#sb719b3f2e0d14bb0948e9c46f7f66dcb" TargetMode="External"/><Relationship Id="rId152" Type="http://schemas.openxmlformats.org/officeDocument/2006/relationships/hyperlink" Target="http://www.sec.gov/Archives/edgar/data/1144215/000114421518000040/ayi-20180228xex10iiia1.htm" TargetMode="External"/><Relationship Id="rId153" Type="http://schemas.openxmlformats.org/officeDocument/2006/relationships/hyperlink" Target="http://www.sec.gov/Archives/edgar/data/1144215/000114421518000040/ayi-20180228xex10iiia2.htm" TargetMode="External"/><Relationship Id="rId154" Type="http://schemas.openxmlformats.org/officeDocument/2006/relationships/hyperlink" Target="http://www.sec.gov/Archives/edgar/data/1144215/000114421518000040/ayi-20180228xex10iiia3.htm" TargetMode="External"/><Relationship Id="rId155" Type="http://schemas.openxmlformats.org/officeDocument/2006/relationships/hyperlink" Target="http://www.sec.gov/Archives/edgar/data/1144215/000114421519000114/ayi-20190831xex10iiia93.htm" TargetMode="External"/><Relationship Id="rId156" Type="http://schemas.openxmlformats.org/officeDocument/2006/relationships/hyperlink" Target="http://www.sec.gov/Archives/edgar/data/1144215/000114421519000114/ayi-20190831xex10iiia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2020-10-23T16:19:45Z</dcterms:created>
  <dcterms:modified xsi:type="dcterms:W3CDTF">2020-10-23T16:19:45Z</dcterms:modified>
</cp:coreProperties>
</file>