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280" w:type="dxa"/>
        <w:tblCellMar>
          <w:top w:w="0" w:type="dxa"/>
          <w:left w:w="0" w:type="dxa"/>
          <w:bottom w:w="0" w:type="dxa"/>
          <w:right w:w="0" w:type="dxa"/>
        </w:tblCellMar>
      </w:tblPr>
      <w:tr>
        <w:trPr>
          <w:trHeight w:val="308"/>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80"/>
        </w:trPr>
        <w:tc>
          <w:tcPr>
            <w:tcW w:w="1200" w:type="dxa"/>
            <w:vAlign w:val="bottom"/>
          </w:tcPr>
          <w:p>
            <w:pPr>
              <w:spacing w:after="0"/>
              <w:rPr>
                <w:sz w:val="24"/>
                <w:szCs w:val="24"/>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419"/>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76"/>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quarterly period ended November 30, 2020.</w:t>
            </w:r>
          </w:p>
        </w:tc>
        <w:tc>
          <w:tcPr>
            <w:tcW w:w="0" w:type="dxa"/>
            <w:vAlign w:val="bottom"/>
          </w:tcPr>
          <w:p>
            <w:pPr>
              <w:spacing w:after="0"/>
              <w:rPr>
                <w:sz w:val="1"/>
                <w:szCs w:val="1"/>
                <w:color w:val="auto"/>
              </w:rPr>
            </w:pPr>
          </w:p>
        </w:tc>
      </w:tr>
      <w:tr>
        <w:trPr>
          <w:trHeight w:val="296"/>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18" w:lineRule="exact"/>
        <w:rPr>
          <w:sz w:val="24"/>
          <w:szCs w:val="24"/>
          <w:color w:val="auto"/>
        </w:rPr>
      </w:pPr>
    </w:p>
    <w:tbl>
      <w:tblPr>
        <w:tblLayout w:type="fixed"/>
        <w:tblInd w:w="1780" w:type="dxa"/>
        <w:tblCellMar>
          <w:top w:w="0" w:type="dxa"/>
          <w:left w:w="0" w:type="dxa"/>
          <w:bottom w:w="0" w:type="dxa"/>
          <w:right w:w="0" w:type="dxa"/>
        </w:tblCellMar>
      </w:tblPr>
      <w:tr>
        <w:trPr>
          <w:trHeight w:val="190"/>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47"/>
        </w:trPr>
        <w:tc>
          <w:tcPr>
            <w:tcW w:w="3960" w:type="dxa"/>
            <w:vAlign w:val="bottom"/>
          </w:tcPr>
          <w:p>
            <w:pPr>
              <w:jc w:val="center"/>
              <w:ind w:right="200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47" w:lineRule="exact"/>
              <w:rPr>
                <w:sz w:val="20"/>
                <w:szCs w:val="20"/>
                <w:color w:val="auto"/>
              </w:rPr>
            </w:pPr>
            <w:r>
              <w:rPr>
                <w:rFonts w:ascii="Arial" w:cs="Arial" w:eastAsia="Arial" w:hAnsi="Arial"/>
                <w:sz w:val="14"/>
                <w:szCs w:val="14"/>
                <w:i w:val="1"/>
                <w:iCs w:val="1"/>
                <w:color w:val="auto"/>
              </w:rPr>
              <w:t>(I.R.S. Employer</w:t>
            </w:r>
          </w:p>
        </w:tc>
      </w:tr>
      <w:tr>
        <w:trPr>
          <w:trHeight w:val="186"/>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0" w:right="339" w:bottom="1440" w:gutter="0" w:footer="0" w:header="0"/>
        </w:sectPr>
      </w:pPr>
    </w:p>
    <w:p>
      <w:pPr>
        <w:spacing w:after="0" w:line="123" w:lineRule="exact"/>
        <w:rPr>
          <w:sz w:val="24"/>
          <w:szCs w:val="24"/>
          <w:color w:val="auto"/>
        </w:rPr>
      </w:pPr>
    </w:p>
    <w:p>
      <w:pPr>
        <w:ind w:left="20" w:right="840"/>
        <w:spacing w:after="0" w:line="298"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81" w:lineRule="exact"/>
        <w:rPr>
          <w:sz w:val="24"/>
          <w:szCs w:val="24"/>
          <w:color w:val="auto"/>
        </w:rPr>
      </w:pPr>
    </w:p>
    <w:p>
      <w:pPr>
        <w:sectPr>
          <w:pgSz w:w="11900" w:h="16838" w:orient="portrait"/>
          <w:cols w:equalWidth="0" w:num="5">
            <w:col w:w="2580" w:space="720"/>
            <w:col w:w="140" w:space="280"/>
            <w:col w:w="2580" w:space="720"/>
            <w:col w:w="3160" w:space="720"/>
            <w:col w:w="340"/>
          </w:cols>
          <w:pgMar w:left="320" w:top="260"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tabs>
          <w:tab w:leader="none" w:pos="80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36,026,752 shares as of January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999490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140" w:type="dxa"/>
            <w:vAlign w:val="bottom"/>
            <w:gridSpan w:val="2"/>
            <w:vMerge w:val="restart"/>
          </w:tcPr>
          <w:p>
            <w:pPr>
              <w:ind w:left="20"/>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Part I. FINANCIAL INFORMATION</w:t>
              </w:r>
            </w:hyperlink>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90"/>
        </w:trPr>
        <w:tc>
          <w:tcPr>
            <w:tcW w:w="10140" w:type="dxa"/>
            <w:vAlign w:val="bottom"/>
            <w:gridSpan w:val="2"/>
            <w:vMerge w:val="continue"/>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Item 1.</w:t>
              </w:r>
            </w:hyperlink>
          </w:p>
        </w:tc>
        <w:tc>
          <w:tcPr>
            <w:tcW w:w="9000" w:type="dxa"/>
            <w:vAlign w:val="bottom"/>
          </w:tcPr>
          <w:p>
            <w:pPr>
              <w:ind w:left="60"/>
              <w:spacing w:after="0"/>
              <w:rPr>
                <w:rFonts w:ascii="Arial" w:cs="Arial" w:eastAsia="Arial" w:hAnsi="Arial"/>
                <w:sz w:val="16"/>
                <w:szCs w:val="16"/>
                <w:color w:val="0000FF"/>
              </w:rPr>
            </w:pPr>
            <w:hyperlink w:anchor="page2">
              <w:r>
                <w:rPr>
                  <w:rFonts w:ascii="Arial" w:cs="Arial" w:eastAsia="Arial" w:hAnsi="Arial"/>
                  <w:sz w:val="16"/>
                  <w:szCs w:val="16"/>
                  <w:color w:val="0000FF"/>
                </w:rPr>
                <w:t>Financial Statements</w:t>
              </w:r>
            </w:hyperlink>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 -- November 30, 2020 (Unaudited) and August 31, 2020</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(Unaudited) -- Three months ended November 30, 2020 and 2019</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60"/>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 (Unaudited) -- Three months ended November 30, 2020 and 2019</w:t>
              </w:r>
            </w:hyperlink>
          </w:p>
        </w:tc>
        <w:tc>
          <w:tcPr>
            <w:tcW w:w="106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60"/>
              <w:spacing w:after="0"/>
              <w:rPr>
                <w:rFonts w:ascii="Arial" w:cs="Arial" w:eastAsia="Arial" w:hAnsi="Arial"/>
                <w:sz w:val="16"/>
                <w:szCs w:val="16"/>
                <w:color w:val="0000FF"/>
              </w:rPr>
            </w:pPr>
            <w:hyperlink w:anchor="page5">
              <w:r>
                <w:rPr>
                  <w:rFonts w:ascii="Arial" w:cs="Arial" w:eastAsia="Arial" w:hAnsi="Arial"/>
                  <w:sz w:val="16"/>
                  <w:szCs w:val="16"/>
                  <w:color w:val="0000FF"/>
                </w:rPr>
                <w:t>Notes to Consolidated Financial Statements (Unaudited)</w:t>
              </w:r>
            </w:hyperlink>
          </w:p>
        </w:tc>
        <w:tc>
          <w:tcPr>
            <w:tcW w:w="106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1 — Description of Business and Basis of Presentation</w:t>
              </w:r>
            </w:hyperlink>
          </w:p>
        </w:tc>
        <w:tc>
          <w:tcPr>
            <w:tcW w:w="106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2 — Significant Accounting Policies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3 — Acquisitions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4 — New Accounting Pronouncements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5 — Fair Value Measurements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9">
              <w:r>
                <w:rPr>
                  <w:rFonts w:ascii="Arial" w:cs="Arial" w:eastAsia="Arial" w:hAnsi="Arial"/>
                  <w:sz w:val="16"/>
                  <w:szCs w:val="16"/>
                  <w:color w:val="0000FF"/>
                </w:rPr>
                <w:t>Note 6 — Inventories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7 — Property, Plant, and Equipment</w:t>
              </w:r>
            </w:hyperlink>
          </w:p>
        </w:tc>
        <w:tc>
          <w:tcPr>
            <w:tcW w:w="1060" w:type="dxa"/>
            <w:vAlign w:val="bottom"/>
          </w:tcPr>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8 — Goodwill and Intangible Assets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9 — Debt and Lines of Credit</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2">
              <w:r>
                <w:rPr>
                  <w:rFonts w:ascii="Arial" w:cs="Arial" w:eastAsia="Arial" w:hAnsi="Arial"/>
                  <w:sz w:val="16"/>
                  <w:szCs w:val="16"/>
                  <w:color w:val="0000FF"/>
                </w:rPr>
                <w:t>Note 10 — Commitments and Contingencies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11 — Changes in Stockholders' Equity</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12 — Revenue Recognition</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5">
              <w:r>
                <w:rPr>
                  <w:rFonts w:ascii="Arial" w:cs="Arial" w:eastAsia="Arial" w:hAnsi="Arial"/>
                  <w:sz w:val="16"/>
                  <w:szCs w:val="16"/>
                  <w:color w:val="0000FF"/>
                </w:rPr>
                <w:t>Note 13 — Share-based Payments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14 — Pension Plans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15 — Special Charges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Note 16 — Earnings Per Share</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000" w:type="dxa"/>
            <w:vAlign w:val="bottom"/>
          </w:tcPr>
          <w:p>
            <w:pPr>
              <w:ind w:left="260"/>
              <w:spacing w:after="0"/>
              <w:rPr>
                <w:rFonts w:ascii="Arial" w:cs="Arial" w:eastAsia="Arial" w:hAnsi="Arial"/>
                <w:sz w:val="16"/>
                <w:szCs w:val="16"/>
                <w:color w:val="0000FF"/>
              </w:rPr>
            </w:pPr>
            <w:hyperlink w:anchor="page19">
              <w:r>
                <w:rPr>
                  <w:rFonts w:ascii="Arial" w:cs="Arial" w:eastAsia="Arial" w:hAnsi="Arial"/>
                  <w:sz w:val="16"/>
                  <w:szCs w:val="16"/>
                  <w:color w:val="0000FF"/>
                </w:rPr>
                <w:t>Note 17 — Comprehensive Income</w:t>
              </w:r>
            </w:hyperlink>
          </w:p>
        </w:tc>
        <w:tc>
          <w:tcPr>
            <w:tcW w:w="1060" w:type="dxa"/>
            <w:vAlign w:val="bottom"/>
          </w:tcPr>
          <w:p>
            <w:pPr>
              <w:jc w:val="right"/>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Item 2.</w:t>
              </w:r>
            </w:hyperlink>
          </w:p>
        </w:tc>
        <w:tc>
          <w:tcPr>
            <w:tcW w:w="9000" w:type="dxa"/>
            <w:vAlign w:val="bottom"/>
          </w:tcPr>
          <w:p>
            <w:pPr>
              <w:ind w:left="60"/>
              <w:spacing w:after="0"/>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3.</w:t>
              </w:r>
            </w:hyperlink>
          </w:p>
        </w:tc>
        <w:tc>
          <w:tcPr>
            <w:tcW w:w="9000" w:type="dxa"/>
            <w:vAlign w:val="bottom"/>
          </w:tcPr>
          <w:p>
            <w:pPr>
              <w:ind w:left="60"/>
              <w:spacing w:after="0"/>
              <w:rPr>
                <w:rFonts w:ascii="Arial" w:cs="Arial" w:eastAsia="Arial" w:hAnsi="Arial"/>
                <w:sz w:val="16"/>
                <w:szCs w:val="16"/>
                <w:color w:val="0000FF"/>
              </w:rPr>
            </w:pPr>
            <w:hyperlink w:anchor="page29">
              <w:r>
                <w:rPr>
                  <w:rFonts w:ascii="Arial" w:cs="Arial" w:eastAsia="Arial" w:hAnsi="Arial"/>
                  <w:sz w:val="16"/>
                  <w:szCs w:val="16"/>
                  <w:color w:val="0000FF"/>
                </w:rPr>
                <w:t>Quantitative and Qualitative Disclosures about Market Risk</w:t>
              </w:r>
            </w:hyperlink>
          </w:p>
        </w:tc>
        <w:tc>
          <w:tcPr>
            <w:tcW w:w="106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4.</w:t>
              </w:r>
            </w:hyperlink>
          </w:p>
        </w:tc>
        <w:tc>
          <w:tcPr>
            <w:tcW w:w="9000" w:type="dxa"/>
            <w:vAlign w:val="bottom"/>
          </w:tcPr>
          <w:p>
            <w:pPr>
              <w:ind w:left="60"/>
              <w:spacing w:after="0"/>
              <w:rPr>
                <w:rFonts w:ascii="Arial" w:cs="Arial" w:eastAsia="Arial" w:hAnsi="Arial"/>
                <w:sz w:val="16"/>
                <w:szCs w:val="16"/>
                <w:color w:val="0000FF"/>
              </w:rPr>
            </w:pPr>
            <w:hyperlink w:anchor="page29">
              <w:r>
                <w:rPr>
                  <w:rFonts w:ascii="Arial" w:cs="Arial" w:eastAsia="Arial" w:hAnsi="Arial"/>
                  <w:sz w:val="16"/>
                  <w:szCs w:val="16"/>
                  <w:color w:val="0000FF"/>
                </w:rPr>
                <w:t>Controls and Procedures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0140" w:type="dxa"/>
            <w:vAlign w:val="bottom"/>
            <w:gridSpan w:val="2"/>
          </w:tcPr>
          <w:p>
            <w:pPr>
              <w:ind w:left="20"/>
              <w:spacing w:after="0"/>
              <w:rPr>
                <w:rFonts w:ascii="Arial" w:cs="Arial" w:eastAsia="Arial" w:hAnsi="Arial"/>
                <w:sz w:val="16"/>
                <w:szCs w:val="16"/>
                <w:b w:val="1"/>
                <w:bCs w:val="1"/>
                <w:u w:val="single" w:color="auto"/>
                <w:color w:val="0000FF"/>
              </w:rPr>
            </w:pPr>
            <w:hyperlink w:anchor="page29">
              <w:r>
                <w:rPr>
                  <w:rFonts w:ascii="Arial" w:cs="Arial" w:eastAsia="Arial" w:hAnsi="Arial"/>
                  <w:sz w:val="16"/>
                  <w:szCs w:val="16"/>
                  <w:b w:val="1"/>
                  <w:bCs w:val="1"/>
                  <w:u w:val="single" w:color="auto"/>
                  <w:color w:val="0000FF"/>
                </w:rPr>
                <w:t>Part II. OTHER INFORMATION</w:t>
              </w:r>
            </w:hyperlink>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Item 1.</w:t>
              </w:r>
            </w:hyperlink>
          </w:p>
        </w:tc>
        <w:tc>
          <w:tcPr>
            <w:tcW w:w="9000" w:type="dxa"/>
            <w:vAlign w:val="bottom"/>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Legal Proceedings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1a.</w:t>
              </w:r>
            </w:hyperlink>
          </w:p>
        </w:tc>
        <w:tc>
          <w:tcPr>
            <w:tcW w:w="9000" w:type="dxa"/>
            <w:vAlign w:val="bottom"/>
          </w:tcPr>
          <w:p>
            <w:pPr>
              <w:ind w:left="60"/>
              <w:spacing w:after="0"/>
              <w:rPr>
                <w:rFonts w:ascii="Arial" w:cs="Arial" w:eastAsia="Arial" w:hAnsi="Arial"/>
                <w:sz w:val="16"/>
                <w:szCs w:val="16"/>
                <w:color w:val="0000FF"/>
              </w:rPr>
            </w:pPr>
            <w:hyperlink w:anchor="page31">
              <w:r>
                <w:rPr>
                  <w:rFonts w:ascii="Arial" w:cs="Arial" w:eastAsia="Arial" w:hAnsi="Arial"/>
                  <w:sz w:val="16"/>
                  <w:szCs w:val="16"/>
                  <w:color w:val="0000FF"/>
                </w:rPr>
                <w:t>Risk Factors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2.</w:t>
              </w:r>
            </w:hyperlink>
          </w:p>
        </w:tc>
        <w:tc>
          <w:tcPr>
            <w:tcW w:w="9000" w:type="dxa"/>
            <w:vAlign w:val="bottom"/>
          </w:tcPr>
          <w:p>
            <w:pPr>
              <w:ind w:left="60"/>
              <w:spacing w:after="0"/>
              <w:rPr>
                <w:rFonts w:ascii="Arial" w:cs="Arial" w:eastAsia="Arial" w:hAnsi="Arial"/>
                <w:sz w:val="16"/>
                <w:szCs w:val="16"/>
                <w:color w:val="0000FF"/>
              </w:rPr>
            </w:pPr>
            <w:hyperlink w:anchor="page31">
              <w:r>
                <w:rPr>
                  <w:rFonts w:ascii="Arial" w:cs="Arial" w:eastAsia="Arial" w:hAnsi="Arial"/>
                  <w:sz w:val="16"/>
                  <w:szCs w:val="16"/>
                  <w:color w:val="0000FF"/>
                </w:rPr>
                <w:t>Unregistered Sales of Equity Securities and Use of Proceeds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Item 5.</w:t>
              </w:r>
            </w:hyperlink>
          </w:p>
        </w:tc>
        <w:tc>
          <w:tcPr>
            <w:tcW w:w="9000" w:type="dxa"/>
            <w:vAlign w:val="bottom"/>
          </w:tcPr>
          <w:p>
            <w:pPr>
              <w:ind w:left="60"/>
              <w:spacing w:after="0"/>
              <w:rPr>
                <w:rFonts w:ascii="Arial" w:cs="Arial" w:eastAsia="Arial" w:hAnsi="Arial"/>
                <w:sz w:val="16"/>
                <w:szCs w:val="16"/>
                <w:color w:val="0000FF"/>
              </w:rPr>
            </w:pPr>
            <w:hyperlink w:anchor="page31">
              <w:r>
                <w:rPr>
                  <w:rFonts w:ascii="Arial" w:cs="Arial" w:eastAsia="Arial" w:hAnsi="Arial"/>
                  <w:sz w:val="16"/>
                  <w:szCs w:val="16"/>
                  <w:color w:val="0000FF"/>
                </w:rPr>
                <w:t>Other Information</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6.</w:t>
              </w:r>
            </w:hyperlink>
          </w:p>
        </w:tc>
        <w:tc>
          <w:tcPr>
            <w:tcW w:w="9000" w:type="dxa"/>
            <w:vAlign w:val="bottom"/>
          </w:tcPr>
          <w:p>
            <w:pPr>
              <w:ind w:left="60"/>
              <w:spacing w:after="0"/>
              <w:rPr>
                <w:rFonts w:ascii="Arial" w:cs="Arial" w:eastAsia="Arial" w:hAnsi="Arial"/>
                <w:sz w:val="16"/>
                <w:szCs w:val="16"/>
                <w:color w:val="0000FF"/>
              </w:rPr>
            </w:pPr>
            <w:hyperlink w:anchor="page33">
              <w:r>
                <w:rPr>
                  <w:rFonts w:ascii="Arial" w:cs="Arial" w:eastAsia="Arial" w:hAnsi="Arial"/>
                  <w:sz w:val="16"/>
                  <w:szCs w:val="16"/>
                  <w:color w:val="0000FF"/>
                </w:rPr>
                <w:t>Exhibits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40" w:type="dxa"/>
            <w:vAlign w:val="bottom"/>
            <w:gridSpan w:val="2"/>
          </w:tcPr>
          <w:p>
            <w:pPr>
              <w:ind w:left="20"/>
              <w:spacing w:after="0"/>
              <w:rPr>
                <w:rFonts w:ascii="Arial" w:cs="Arial" w:eastAsia="Arial" w:hAnsi="Arial"/>
                <w:sz w:val="16"/>
                <w:szCs w:val="16"/>
                <w:b w:val="1"/>
                <w:bCs w:val="1"/>
                <w:u w:val="single" w:color="auto"/>
                <w:color w:val="0000FF"/>
              </w:rPr>
            </w:pPr>
            <w:hyperlink w:anchor="page33">
              <w:r>
                <w:rPr>
                  <w:rFonts w:ascii="Arial" w:cs="Arial" w:eastAsia="Arial" w:hAnsi="Arial"/>
                  <w:sz w:val="16"/>
                  <w:szCs w:val="16"/>
                  <w:b w:val="1"/>
                  <w:bCs w:val="1"/>
                  <w:u w:val="single" w:color="auto"/>
                  <w:color w:val="0000FF"/>
                </w:rPr>
                <w:t>INDEX TO EXHIBITS</w:t>
              </w:r>
            </w:hyperlink>
          </w:p>
        </w:tc>
        <w:tc>
          <w:tcPr>
            <w:tcW w:w="106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140" w:type="dxa"/>
            <w:vAlign w:val="bottom"/>
          </w:tcPr>
          <w:p>
            <w:pPr>
              <w:ind w:left="20"/>
              <w:spacing w:after="0"/>
              <w:rPr>
                <w:rFonts w:ascii="Arial" w:cs="Arial" w:eastAsia="Arial" w:hAnsi="Arial"/>
                <w:sz w:val="16"/>
                <w:szCs w:val="16"/>
                <w:b w:val="1"/>
                <w:bCs w:val="1"/>
                <w:u w:val="single" w:color="auto"/>
                <w:color w:val="0000FF"/>
              </w:rPr>
            </w:pPr>
            <w:hyperlink w:anchor="page35">
              <w:r>
                <w:rPr>
                  <w:rFonts w:ascii="Arial" w:cs="Arial" w:eastAsia="Arial" w:hAnsi="Arial"/>
                  <w:sz w:val="16"/>
                  <w:szCs w:val="16"/>
                  <w:b w:val="1"/>
                  <w:bCs w:val="1"/>
                  <w:u w:val="single" w:color="auto"/>
                  <w:color w:val="0000FF"/>
                </w:rPr>
                <w:t>SIGNATURES</w:t>
              </w:r>
            </w:hyperlink>
          </w:p>
        </w:tc>
        <w:tc>
          <w:tcPr>
            <w:tcW w:w="9000" w:type="dxa"/>
            <w:vAlign w:val="bottom"/>
          </w:tcPr>
          <w:p>
            <w:pPr>
              <w:spacing w:after="0"/>
              <w:rPr>
                <w:sz w:val="24"/>
                <w:szCs w:val="24"/>
                <w:color w:val="auto"/>
              </w:rPr>
            </w:pPr>
          </w:p>
        </w:tc>
        <w:tc>
          <w:tcPr>
            <w:tcW w:w="1060" w:type="dxa"/>
            <w:vAlign w:val="bottom"/>
          </w:tcPr>
          <w:p>
            <w:pPr>
              <w:jc w:val="right"/>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114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share data)</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November 30,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August 31, 2020</w:t>
            </w:r>
          </w:p>
        </w:tc>
      </w:tr>
      <w:tr>
        <w:trPr>
          <w:trHeight w:val="183"/>
        </w:trPr>
        <w:tc>
          <w:tcPr>
            <w:tcW w:w="7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$2.4 and $2.6, respectively</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r>
      <w:tr>
        <w:trPr>
          <w:trHeight w:val="18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183"/>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1,439.7</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1,080.6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1,080.0</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3"/>
        </w:trPr>
        <w:tc>
          <w:tcPr>
            <w:tcW w:w="75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56"/>
        </w:trPr>
        <w:tc>
          <w:tcPr>
            <w:tcW w:w="7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85.4</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r>
      <w:tr>
        <w:trPr>
          <w:trHeight w:val="183"/>
        </w:trPr>
        <w:tc>
          <w:tcPr>
            <w:tcW w:w="75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617.6</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Self-insurance reserves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1,364.2</w:t>
            </w: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18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500,000,000 shares authorized; 53,960,200 and 53,885,165 issued, respectively</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968.6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963.6</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2,523.3</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(132.7)</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 17,571,980 and 15,012,449 shares, respectively</w:t>
            </w: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(1,227.2)</w:t>
            </w:r>
          </w:p>
        </w:tc>
      </w:tr>
      <w:tr>
        <w:trPr>
          <w:trHeight w:val="18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2,127.5</w:t>
            </w:r>
          </w:p>
        </w:tc>
      </w:tr>
      <w:tr>
        <w:trPr>
          <w:trHeight w:val="208"/>
        </w:trPr>
        <w:tc>
          <w:tcPr>
            <w:tcW w:w="7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3,388.6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834.7</w:t>
            </w: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478.9</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4"/>
        </w:trPr>
        <w:tc>
          <w:tcPr>
            <w:tcW w:w="7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2019</w:t>
            </w:r>
          </w:p>
        </w:tc>
      </w:tr>
      <w:tr>
        <w:trPr>
          <w:trHeight w:val="197"/>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0"/>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(302.0)</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(194.4)</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develops, manufactures, and provides lighting and building technology solutions and services for commercial, institutional, industrial, infrastructure, and residential applications throughout North America and select international markets. Our lighting and building technology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evolve Atrius as the intelligent building platform upon which a host of problem-solving applications can be deployed. Our solution, built on our local operating system, delivers increased efficiency and productivity by solving facility, operational, and line of business problems through location awareness. We have one reportable segment serving the North American lighting market and select international markets.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2020, our consolidated comprehensive income for the three months ended November 30, 2020 and 2019, and our consolidated cash flows for the three months ended November 30, 2020 and 2019.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2020 and notes thereto included in our Annual Report on Form 10-K filed with the Securities and Exchange Commission (the “SEC”) on October 23, 2020 (File No. 001-16583) (“Form 10-K”).</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months ended November 30, 2020 and 2019 are not necessarily indicative of the results to be expected for the full fiscal year due primarily to continued uncertainty of general economic conditions that may impact our key end markets for the remainder of fiscal 2021,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acquisitions completed during fiscal 2020. No acquisitions were completed during fiscal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Fiscal 2020 Acquisitions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accounted for the acquisitions of TLG and LocusLabs (collectively, the “2020 Acquisitions”)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As of November 30, 2020, we have finalized the acquisition accounting for the 2020 Acquisitions. There were no material changes to our financial statements as a result of the finalization of the acquisition accounting for the 2020 Acquisitions.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aggregate purchase price of these acquisitions reflects total goodwill and identified intangible assets of approximately $107.6 million and $180.6 million, respectively, as of November 30, 2020. Identified intangible assets consist of indefinite-lived marketing-related intangibles as well as definite-lived customer-based and technology-based assets, which have a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of the acquired businesses with our operations. Goodwill from these acquisitions totaling $77.7 million is expected to be tax deductible.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2021</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assess impairment of its financial instruments based on the entity's estimate of expected credit losses. Since the issuance of ASU 2016-13, the FASB released several amendments to improve and clarify the implementation guidance. These standards have been collectively codified within ASC Topic 326,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(“ASC 326”). The provisions of ASC 326 are effective for fiscal years, and interim reporting periods within those years, beginning after December 15, 2019. We adopted the provisions of ASC 326 as of September 1, 2020 and applied these changes through an immaterial cumulative-effect adjustment of $ 0.2 million to retained earnings as of the date of adoption. Our estimation of current expected credit losses reflects our considerations of the impact of general economic conditions, including construction spending, unemployment rates, the effects of the COVID-19 pandemic, and macroeconomic growth, on our customers' ability to meet their obligations.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requires customers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that are able to be capitalized. Capitalized implementation costs are required to be amortized over the term of the arrangement, beginning when the cloud computing arrangement is ready for its intended use. ASU 2018-15 is effective for fiscal years, and interim reporting periods within those years, beginning after December 15, 2019. We adopted ASU 2018-15 prospectively, and this standard did not have a material effect on our financial condition,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provisions of ASU 2019-12 on our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(“ASC 820”), establishes a three-level hierarchy that categorizes market participant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$507.0 million and $560.7 million as of November 30, 2020 and August 31, 2020, respectively.</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estimated fair values of certain of our financial instruments were as follows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November 30, 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August 31, 2020</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Term Loan Facility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hold equity investments in three unconsolidated affiliates without readily determinable fair value. These strategic investments represent less than a 20% ownership interest in each of the privately-held affiliates, and we do not maintain power over or control of the entities. We have elected the practical expedient in ASC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Based on these considerations, we estimate that the carrying value of the acquired shares represents the fair value of the investment as of November 30, 2020. During the first quarter of fiscal 2021, we recorded an impairment charge for one of these investments of $4.0 million as a recapitalization of the underlying company diluted our holding value. This impairment is reflected 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 Statements of Comprehensive Income.</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Our industrial revenue bond (“IRB”) is carried at the outstanding balance as of the end of the reporting period. The IRB is a variable-rate instrument that resets on a frequent short-term basis; therefore, we estimate that the face amount of this bond approximates its fair value as of November 30, 2020 based on instruments of similar terms and maturity (Level 2). The bank loans are carried at the outstanding balance as of the end of the reporting period. Fair value is estimated based on discounted future cash flows using rates currently available for debt of similar terms and maturity (Level 2). See </w:t>
      </w:r>
      <w:r>
        <w:rPr>
          <w:rFonts w:ascii="Arial" w:cs="Arial" w:eastAsia="Arial" w:hAnsi="Arial"/>
          <w:sz w:val="18"/>
          <w:szCs w:val="18"/>
          <w:i w:val="1"/>
          <w:iCs w:val="1"/>
          <w:color w:val="auto"/>
        </w:rPr>
        <w:t>Note 9 — Debt and Lines of Credit</w:t>
      </w:r>
      <w:r>
        <w:rPr>
          <w:rFonts w:ascii="Arial" w:cs="Arial" w:eastAsia="Arial" w:hAnsi="Arial"/>
          <w:sz w:val="18"/>
          <w:szCs w:val="18"/>
          <w:color w:val="auto"/>
        </w:rPr>
        <w:t xml:space="preserve"> for further details on our borrowings.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720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261" w:lineRule="auto"/>
        <w:tabs>
          <w:tab w:leader="none" w:pos="140" w:val="left"/>
        </w:tabs>
        <w:numPr>
          <w:ilvl w:val="0"/>
          <w:numId w:val="1"/>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as of the dates presented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802.8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have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$10.1 million and $9.6 million during the three months ended November 30, 2020 and 2019, respectively. Amortization expense is generally recorded on a straight-line basis and is expected to be approximately $40.7 million in fiscal 2021, $40.6 million in fiscal 2022, $40.3 million in fiscal 2023, $40.1 million in fiscal 2024, and $33.3 million in fiscal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Provisional additions from acquired businesses</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1,115.5</w:t>
            </w:r>
          </w:p>
        </w:tc>
      </w:tr>
      <w:tr>
        <w:trPr>
          <w:trHeight w:val="21"/>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10, 2020, Acuity Brands Lighting, Inc. (“ABL”), our wholly-owned operating subsidiary, issued $ 500.0 million aggregate principal amount of 2.150% senior unsecured notes due December 2030 (the "Unsecured Notes"). The Unsecured Notes bear interest at a rate of 2.150% per annum and were issued at a price equal to 99.737% of their face value. Interest on the Unsecured Notes will be paid semi-annually in arrears on June 15 and December 15 of each year, beginning on June 15, 2021. The Unsecured Notes will mature on December 15, 2030. The Unsecured Notes are fully and unconditionally guaranteed on a senior unsecured basis by Acuity Brands and ABL IP Holding LLC, a wholly-owned subsidiary of Acuity Brands. Additionally, we recorded $4.8 million of deferred issuance costs related to the Unsecured Notes as a direct deduction from the face amount of the Unsecured Notes. These issuance costs are amortized over the 10-year term of the Unsecured Notes. As of November 30, 2020, the balance of the bond net of unamortized discount and deferred issuance costs was $493.9 million.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November 30, 2020, we also had $4.0 million of tax-exempt industrial revenue bonds that are scheduled to mature in June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November 30, 2020. Additionally, we had $2.0 million outstanding under fixed-rate bank loans at November 30, 2020 that mature in February 2028, subject to monthly or quarterly repayment schedules.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provided us with a $400.0 million unsecured delayed draw term loan facility (the “Term Loan Facility”). We had no borrowings outstanding under the Revolving Credit Facility as of November 30, 2020 or August 31, 2020. We had $395.0 million of borrowings under the Term Loan Facility as of August 31, 2020, which we fully repaid during the first quarter of fiscal 2021 using the proceeds from the Unsecured Notes. The Credit Agreement allows for no future borrowings under the Term Loan Facility.</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0.250%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November 30, 2020. At November 30, 2020,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 As of November 30, 2020, we had outstanding letters of credit totaling $8.3 million, primarily for securing collateral requirements under our casualty insurance programs and for providing credit support for our industrial revenue bond, which includes the $4.1 million issued under the Revolving Credit Facility.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2020</w:t>
            </w:r>
          </w:p>
        </w:tc>
        <w:tc>
          <w:tcPr>
            <w:tcW w:w="20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9.0</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(0.7)</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8.3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November 30, 2020,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The following table summarizes changes in the estimated liabilities for product warranty and recall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2020</w:t>
            </w:r>
          </w:p>
        </w:tc>
        <w:tc>
          <w:tcPr>
            <w:tcW w:w="180" w:type="dxa"/>
            <w:vAlign w:val="bottom"/>
          </w:tcPr>
          <w:p>
            <w:pPr>
              <w:spacing w:after="0"/>
              <w:rPr>
                <w:sz w:val="18"/>
                <w:szCs w:val="18"/>
                <w:color w:val="auto"/>
              </w:rPr>
            </w:pPr>
          </w:p>
        </w:tc>
        <w:tc>
          <w:tcPr>
            <w:tcW w:w="182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On October 9, 2019 and November 6, 2019, LSG dropped from the International Trade Commission action its claims regarding four additional patents. For the remaining three patents, LSG’s infringement allegations relate to certain of our LED luminaires. On April 7, 2020 and October 1, 2020, the International Trade Commission made final determinations that LSG was not entitled to any relief. In the District of Delaware action, LSG separately sought unspecified monetary damages, costs, and attorneys’ fees. During fiscal 2021, LSG and the Company reached an agreement to resolve their patent disputes pending before the International Trade Commission, United States District Court for the District of Delaware, and the Patent Trial and Appeal Board. According to the terms of the settlement, the various pending actions will be dismissed with prejudice, each party will bear its own fees and costs, and the Company will pay no compensation for the rights granted under the settlement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has granted the Company permission to file an interlocutory appeal of the District Court’s class certification order.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Stockholders' Equity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5"/>
        </w:trPr>
        <w:tc>
          <w:tcPr>
            <w:tcW w:w="46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Cumulative effect of adoption of ASC 326 </w:t>
            </w:r>
            <w:r>
              <w:rPr>
                <w:rFonts w:ascii="Arial" w:cs="Arial" w:eastAsia="Arial" w:hAnsi="Arial"/>
                <w:sz w:val="16"/>
                <w:szCs w:val="1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20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1" w:lineRule="exact"/>
        <w:rPr>
          <w:sz w:val="20"/>
          <w:szCs w:val="20"/>
          <w:color w:val="auto"/>
        </w:rPr>
      </w:pPr>
    </w:p>
    <w:p>
      <w:pPr>
        <w:ind w:left="140" w:hanging="132"/>
        <w:spacing w:after="0"/>
        <w:tabs>
          <w:tab w:leader="none" w:pos="140"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4 - New Accounting Pronouncements</w:t>
      </w:r>
      <w:r>
        <w:rPr>
          <w:rFonts w:ascii="Arial" w:cs="Arial" w:eastAsia="Arial" w:hAnsi="Arial"/>
          <w:sz w:val="14"/>
          <w:szCs w:val="14"/>
          <w:color w:val="auto"/>
        </w:rPr>
        <w:t xml:space="preserve"> for further details on our adoption of ASC 326.</w:t>
      </w:r>
    </w:p>
    <w:p>
      <w:pPr>
        <w:spacing w:after="0" w:line="152"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6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62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1,918.9</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9"/>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1"/>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2019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Revenue Recognition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2020</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53.6</w:t>
            </w:r>
          </w:p>
        </w:tc>
      </w:tr>
    </w:tbl>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2020 totaled $2.8 million.</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November 30, 2020 that do not represent contract liabilities consist primarily of orders for physical goods that have not yet been shipped, which are typically shipped within a few weeks of order receipt.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periods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Independent sales network</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Direct sales network</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sales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Corporate accounts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834.7</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Payments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savings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Further details regarding our stock options, restricted shares, and director compensation award programs as well as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 Updates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for restricted stock and performance share grants awarded in October 2020 and thereafter, the Board of Directors (the “Board”) discontinued a policy that provided for the continued vesting of stock awards following retirement for all eligible participants who have attained age 60 and have at least ten years of service with the Company. This policy required acceleration of share-based payment expense in certain circumstances.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November 30, 2020, we had approximately 1,192,000 options outstanding to officers and other key employees. The increase from the prior fiscal year end was due to a grant on September 1, 2020 of approximately 277,000 options that have an exercise price equal to or greater than the fair market value of our stock as of the grant date. These options vest and become exercisable over a four-year period and are also subject to a market condition (the "Market Options"). All of these options expire after ten years from the date of grant.</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weighted average assumptions were used to estimate the fair value of the Market Options granted in the first quarter of fiscal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Market Options</w:t>
            </w:r>
          </w:p>
        </w:tc>
      </w:tr>
      <w:tr>
        <w:trPr>
          <w:trHeight w:val="21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Methodology</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Monte Carlo Simulation</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180" w:type="dxa"/>
            <w:vAlign w:val="bottom"/>
          </w:tcPr>
          <w:p>
            <w:pPr>
              <w:jc w:val="center"/>
              <w:spacing w:after="0"/>
              <w:rPr>
                <w:sz w:val="20"/>
                <w:szCs w:val="20"/>
                <w:color w:val="auto"/>
              </w:rPr>
            </w:pPr>
            <w:r>
              <w:rPr>
                <w:rFonts w:ascii="Arial" w:cs="Arial" w:eastAsia="Arial" w:hAnsi="Arial"/>
                <w:sz w:val="16"/>
                <w:szCs w:val="16"/>
                <w:color w:val="auto"/>
              </w:rPr>
              <w:t>0.5%</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36.5%</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180" w:type="dxa"/>
            <w:vAlign w:val="bottom"/>
          </w:tcPr>
          <w:p>
            <w:pPr>
              <w:jc w:val="center"/>
              <w:spacing w:after="0"/>
              <w:rPr>
                <w:sz w:val="20"/>
                <w:szCs w:val="20"/>
                <w:color w:val="auto"/>
              </w:rPr>
            </w:pPr>
            <w:r>
              <w:rPr>
                <w:rFonts w:ascii="Arial" w:cs="Arial" w:eastAsia="Arial" w:hAnsi="Arial"/>
                <w:sz w:val="16"/>
                <w:szCs w:val="16"/>
                <w:color w:val="auto"/>
              </w:rPr>
              <w:t>0.7%</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options</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 years</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color w:val="auto"/>
              </w:rPr>
              <w:t>Weighted-average fair value of options</w:t>
            </w:r>
          </w:p>
        </w:tc>
        <w:tc>
          <w:tcPr>
            <w:tcW w:w="2180" w:type="dxa"/>
            <w:vAlign w:val="bottom"/>
          </w:tcPr>
          <w:p>
            <w:pPr>
              <w:jc w:val="center"/>
              <w:spacing w:after="0"/>
              <w:rPr>
                <w:sz w:val="20"/>
                <w:szCs w:val="20"/>
                <w:color w:val="auto"/>
              </w:rPr>
            </w:pPr>
            <w:r>
              <w:rPr>
                <w:rFonts w:ascii="Arial" w:cs="Arial" w:eastAsia="Arial" w:hAnsi="Arial"/>
                <w:sz w:val="16"/>
                <w:szCs w:val="16"/>
                <w:color w:val="auto"/>
              </w:rPr>
              <w:t>$40.45</w:t>
            </w:r>
          </w:p>
        </w:tc>
      </w:tr>
    </w:tbl>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contractual term for the Market Options. The expected life of the options is based on projected exercise dates resulting from the Monte Carlo simulation for each award tranche. All inputs noted above are estimates made at the time of grant. Actual realized value of each option grant could materially differ from these estimates, without impact to future reported share-based payment expense.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00" w:type="dxa"/>
            <w:vAlign w:val="bottom"/>
          </w:tcPr>
          <w:p>
            <w:pPr>
              <w:spacing w:after="0"/>
              <w:rPr>
                <w:sz w:val="18"/>
                <w:szCs w:val="18"/>
                <w:color w:val="auto"/>
              </w:rPr>
            </w:pPr>
          </w:p>
        </w:tc>
        <w:tc>
          <w:tcPr>
            <w:tcW w:w="31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rPr>
              <w:t>Exercisable</w:t>
            </w:r>
          </w:p>
        </w:tc>
      </w:tr>
      <w:tr>
        <w:trPr>
          <w:trHeight w:val="158"/>
        </w:trPr>
        <w:tc>
          <w:tcPr>
            <w:tcW w:w="510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Number of</w:t>
            </w: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Number of</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Weighted</w:t>
            </w:r>
          </w:p>
        </w:tc>
      </w:tr>
      <w:tr>
        <w:trPr>
          <w:trHeight w:val="162"/>
        </w:trPr>
        <w:tc>
          <w:tcPr>
            <w:tcW w:w="5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Average</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r>
      <w:tr>
        <w:trPr>
          <w:trHeight w:val="215"/>
        </w:trPr>
        <w:tc>
          <w:tcPr>
            <w:tcW w:w="5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Exercise 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0.9</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$133.19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$151.07</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center"/>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$108.96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Outstanding at November 30, 2020</w:t>
            </w:r>
          </w:p>
        </w:tc>
        <w:tc>
          <w:tcPr>
            <w:tcW w:w="1360" w:type="dxa"/>
            <w:vAlign w:val="bottom"/>
          </w:tcPr>
          <w:p>
            <w:pPr>
              <w:jc w:val="center"/>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$127.56</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$148.90</w:t>
            </w:r>
          </w:p>
        </w:tc>
      </w:tr>
      <w:tr>
        <w:trPr>
          <w:trHeight w:val="259"/>
        </w:trPr>
        <w:tc>
          <w:tcPr>
            <w:tcW w:w="5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Range of option exercise prices: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$40.01 - $100.00 (average life - 1.9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$62.25</w:t>
            </w:r>
          </w:p>
        </w:tc>
      </w:tr>
      <w:tr>
        <w:trPr>
          <w:trHeight w:val="213"/>
        </w:trPr>
        <w:tc>
          <w:tcPr>
            <w:tcW w:w="5100" w:type="dxa"/>
            <w:vAlign w:val="bottom"/>
          </w:tcPr>
          <w:p>
            <w:pPr>
              <w:ind w:left="360"/>
              <w:spacing w:after="0"/>
              <w:rPr>
                <w:sz w:val="20"/>
                <w:szCs w:val="20"/>
                <w:color w:val="auto"/>
              </w:rPr>
            </w:pPr>
            <w:r>
              <w:rPr>
                <w:rFonts w:ascii="Arial" w:cs="Arial" w:eastAsia="Arial" w:hAnsi="Arial"/>
                <w:sz w:val="16"/>
                <w:szCs w:val="16"/>
                <w:color w:val="auto"/>
              </w:rPr>
              <w:t>$100.01 - $160.00 (average life - 8.6 years)</w:t>
            </w:r>
          </w:p>
        </w:tc>
        <w:tc>
          <w:tcPr>
            <w:tcW w:w="1360" w:type="dxa"/>
            <w:vAlign w:val="bottom"/>
          </w:tcPr>
          <w:p>
            <w:pPr>
              <w:jc w:val="center"/>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$119.11</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$126.85</w:t>
            </w:r>
          </w:p>
        </w:tc>
      </w:tr>
      <w:tr>
        <w:trPr>
          <w:trHeight w:val="219"/>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$160.01 - $210.00 (average life - 4.9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$207.80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$207.80</w:t>
            </w:r>
          </w:p>
        </w:tc>
      </w:tr>
      <w:tr>
        <w:trPr>
          <w:trHeight w:val="210"/>
        </w:trPr>
        <w:tc>
          <w:tcPr>
            <w:tcW w:w="5100" w:type="dxa"/>
            <w:vAlign w:val="bottom"/>
          </w:tcPr>
          <w:p>
            <w:pPr>
              <w:ind w:left="360"/>
              <w:spacing w:after="0"/>
              <w:rPr>
                <w:sz w:val="20"/>
                <w:szCs w:val="20"/>
                <w:color w:val="auto"/>
              </w:rPr>
            </w:pPr>
            <w:r>
              <w:rPr>
                <w:rFonts w:ascii="Arial" w:cs="Arial" w:eastAsia="Arial" w:hAnsi="Arial"/>
                <w:sz w:val="16"/>
                <w:szCs w:val="16"/>
                <w:color w:val="auto"/>
              </w:rPr>
              <w:t>$210.01 - $239.76 (average life - 5.9 years)</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$239.76</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$239.76</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options were exercised during the three months ended November 30, 2020 or 2019. As of November 30, 2020, the total intrinsic value of options outstanding was $7.5 million, the total intrinsic value of options expected to vest was $2.9 million, and the total intrinsic value of options exercisable was $4.5 million. As of November 30, 2020, there was $23.6 million of total unrecognized compensation cost related to unvested options. That cost is expected to be recognized over a weighted-average period of approximately 2.5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Pension Plans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2020</w:t>
            </w:r>
          </w:p>
        </w:tc>
        <w:tc>
          <w:tcPr>
            <w:tcW w:w="20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1.2</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1.8</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59"/>
              <w:spacing w:after="0"/>
              <w:rPr>
                <w:sz w:val="20"/>
                <w:szCs w:val="20"/>
                <w:color w:val="auto"/>
              </w:rPr>
            </w:pPr>
            <w:r>
              <w:rPr>
                <w:rFonts w:ascii="Arial" w:cs="Arial" w:eastAsia="Arial" w:hAnsi="Arial"/>
                <w:sz w:val="16"/>
                <w:szCs w:val="16"/>
                <w:color w:val="auto"/>
              </w:rPr>
              <w:t>(3.1)</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center"/>
              <w:ind w:left="1359"/>
              <w:spacing w:after="0"/>
              <w:rPr>
                <w:sz w:val="20"/>
                <w:szCs w:val="20"/>
                <w:color w:val="auto"/>
              </w:rPr>
            </w:pPr>
            <w:r>
              <w:rPr>
                <w:rFonts w:ascii="Arial" w:cs="Arial" w:eastAsia="Arial" w:hAnsi="Arial"/>
                <w:sz w:val="16"/>
                <w:szCs w:val="16"/>
                <w:color w:val="auto"/>
                <w:w w:val="98"/>
              </w:rPr>
              <w:t>1.0</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1.4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w w:val="98"/>
              </w:rPr>
              <w:t>2.3</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Special Charges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three months of fiscal 2021, we recognized pre-tax special charges of $0.7 million, which consisted of severance costs and charges for relocation costs associated with the previously announced transfer of activities from planned facility closures. We expect these actions to streamline our business activities, integrate recent acquisitions, and respond to reduced demand due to the COVID-19 pandemic will allow us to reduce spending in certain areas while permitting continued investment in future growth initiatives, such as new products, expanded market presence, and technology and innovation. Further details regarding our special charges are included within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employee-related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Relocation and other restructuring costs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special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As of November 30, 2020, remaining restructuring reserves were $2.0 million and are included in </w:t>
      </w:r>
      <w:r>
        <w:rPr>
          <w:rFonts w:ascii="Arial" w:cs="Arial" w:eastAsia="Arial" w:hAnsi="Arial"/>
          <w:sz w:val="17"/>
          <w:szCs w:val="17"/>
          <w:i w:val="1"/>
          <w:iCs w:val="1"/>
          <w:color w:val="auto"/>
        </w:rPr>
        <w:t>Accrued compensation</w:t>
      </w:r>
      <w:r>
        <w:rPr>
          <w:rFonts w:ascii="Arial" w:cs="Arial" w:eastAsia="Arial" w:hAnsi="Arial"/>
          <w:sz w:val="17"/>
          <w:szCs w:val="17"/>
          <w:color w:val="auto"/>
        </w:rPr>
        <w:t xml:space="preserve"> on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Balance Sheets</w:t>
      </w:r>
      <w:r>
        <w:rPr>
          <w:rFonts w:ascii="Arial" w:cs="Arial" w:eastAsia="Arial" w:hAnsi="Arial"/>
          <w:sz w:val="17"/>
          <w:szCs w:val="17"/>
          <w:color w:val="auto"/>
        </w:rPr>
        <w:t>. The changes in the reserves related to these programs during the period presented are summarized as follows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August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Severance and 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made during the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November 30, 2020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2020 Actions</w:t>
            </w:r>
          </w:p>
        </w:tc>
      </w:tr>
      <w:tr>
        <w:trPr>
          <w:trHeight w:val="206"/>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center"/>
              <w:ind w:left="1399"/>
              <w:spacing w:after="0"/>
              <w:rPr>
                <w:sz w:val="20"/>
                <w:szCs w:val="20"/>
                <w:color w:val="auto"/>
              </w:rPr>
            </w:pPr>
            <w:r>
              <w:rPr>
                <w:rFonts w:ascii="Arial" w:cs="Arial" w:eastAsia="Arial" w:hAnsi="Arial"/>
                <w:sz w:val="16"/>
                <w:szCs w:val="16"/>
                <w:color w:val="auto"/>
                <w:w w:val="98"/>
              </w:rPr>
              <w:t>3.0</w:t>
            </w:r>
          </w:p>
        </w:tc>
      </w:tr>
      <w:tr>
        <w:trPr>
          <w:trHeight w:val="216"/>
        </w:trPr>
        <w:tc>
          <w:tcPr>
            <w:tcW w:w="200" w:type="dxa"/>
            <w:vAlign w:val="bottom"/>
          </w:tcPr>
          <w:p>
            <w:pPr>
              <w:spacing w:after="0"/>
              <w:rPr>
                <w:sz w:val="18"/>
                <w:szCs w:val="18"/>
                <w:color w:val="auto"/>
              </w:rPr>
            </w:pPr>
          </w:p>
        </w:tc>
        <w:tc>
          <w:tcPr>
            <w:tcW w:w="1860" w:type="dxa"/>
            <w:vAlign w:val="bottom"/>
          </w:tcPr>
          <w:p>
            <w:pPr>
              <w:jc w:val="center"/>
              <w:ind w:left="1399"/>
              <w:spacing w:after="0"/>
              <w:rPr>
                <w:sz w:val="20"/>
                <w:szCs w:val="20"/>
                <w:color w:val="auto"/>
              </w:rPr>
            </w:pPr>
            <w:r>
              <w:rPr>
                <w:rFonts w:ascii="Arial" w:cs="Arial" w:eastAsia="Arial" w:hAnsi="Arial"/>
                <w:sz w:val="16"/>
                <w:szCs w:val="16"/>
                <w:color w:val="auto"/>
                <w:w w:val="98"/>
              </w:rPr>
              <w:t>0.3</w:t>
            </w:r>
          </w:p>
        </w:tc>
      </w:tr>
      <w:tr>
        <w:trPr>
          <w:trHeight w:val="219"/>
        </w:trPr>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399"/>
              <w:spacing w:after="0"/>
              <w:rPr>
                <w:sz w:val="20"/>
                <w:szCs w:val="20"/>
                <w:color w:val="auto"/>
              </w:rPr>
            </w:pPr>
            <w:r>
              <w:rPr>
                <w:rFonts w:ascii="Arial" w:cs="Arial" w:eastAsia="Arial" w:hAnsi="Arial"/>
                <w:sz w:val="16"/>
                <w:szCs w:val="16"/>
                <w:color w:val="auto"/>
              </w:rPr>
              <w:t>(1.3)</w:t>
            </w:r>
          </w:p>
        </w:tc>
      </w:tr>
      <w:tr>
        <w:trPr>
          <w:trHeight w:val="209"/>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center"/>
              <w:ind w:left="1399"/>
              <w:spacing w:after="0"/>
              <w:rPr>
                <w:sz w:val="20"/>
                <w:szCs w:val="20"/>
                <w:color w:val="auto"/>
              </w:rPr>
            </w:pPr>
            <w:r>
              <w:rPr>
                <w:rFonts w:ascii="Arial" w:cs="Arial" w:eastAsia="Arial" w:hAnsi="Arial"/>
                <w:sz w:val="16"/>
                <w:szCs w:val="16"/>
                <w:color w:val="auto"/>
                <w:w w:val="98"/>
              </w:rPr>
              <w:t>2.0</w:t>
            </w:r>
          </w:p>
        </w:tc>
      </w:tr>
      <w:tr>
        <w:trPr>
          <w:trHeight w:val="24"/>
        </w:trPr>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140" w:right="33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2020</w:t>
            </w:r>
          </w:p>
        </w:tc>
        <w:tc>
          <w:tcPr>
            <w:tcW w:w="160" w:type="dxa"/>
            <w:vAlign w:val="bottom"/>
          </w:tcPr>
          <w:p>
            <w:pPr>
              <w:spacing w:after="0"/>
              <w:rPr>
                <w:sz w:val="18"/>
                <w:szCs w:val="18"/>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30, 2019</w:t>
            </w:r>
          </w:p>
        </w:tc>
      </w:tr>
      <w:tr>
        <w:trPr>
          <w:trHeight w:val="235"/>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8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48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November 30, 2020</w:t>
            </w:r>
          </w:p>
        </w:tc>
        <w:tc>
          <w:tcPr>
            <w:tcW w:w="182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30, 2019</w:t>
            </w:r>
          </w:p>
        </w:tc>
      </w:tr>
      <w:tr>
        <w:trPr>
          <w:trHeight w:val="210"/>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1,127,837</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278,972</w:t>
            </w: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820" w:type="dxa"/>
            <w:vAlign w:val="bottom"/>
          </w:tcPr>
          <w:p>
            <w:pPr>
              <w:jc w:val="right"/>
              <w:spacing w:after="0"/>
              <w:rPr>
                <w:sz w:val="20"/>
                <w:szCs w:val="20"/>
                <w:color w:val="auto"/>
              </w:rPr>
            </w:pPr>
            <w:r>
              <w:rPr>
                <w:rFonts w:ascii="Arial" w:cs="Arial" w:eastAsia="Arial" w:hAnsi="Arial"/>
                <w:sz w:val="16"/>
                <w:szCs w:val="16"/>
                <w:color w:val="auto"/>
              </w:rPr>
              <w:t>185,419</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118,036</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 performance share units were antidilutive for the three months ended November 30, 2020 and 2019.</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includes foreign currency translation and pension adjustments.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6"/>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2020</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2019</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center"/>
              <w:ind w:right="8"/>
              <w:spacing w:after="0"/>
              <w:rPr>
                <w:sz w:val="20"/>
                <w:szCs w:val="20"/>
                <w:color w:val="auto"/>
              </w:rPr>
            </w:pPr>
            <w:r>
              <w:rPr>
                <w:rFonts w:ascii="Arial" w:cs="Arial" w:eastAsia="Arial" w:hAnsi="Arial"/>
                <w:sz w:val="14"/>
                <w:szCs w:val="14"/>
                <w:b w:val="1"/>
                <w:bCs w:val="1"/>
                <w:color w:val="auto"/>
              </w:rPr>
              <w:t>November 30, 2020</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November 30, 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November 30, 2020 and for the three months ended November 30, 2020 and 2019. The following discussion should be read in conjunction with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Acuity</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Annual Report on Form 10-K for the fiscal year ended August 31, 2020, filed with the Securities and Exchange Commission (the “SEC”) on October 23, 2020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market-leading industrial technology company that designs, manufactures, and brings to market products and services for commercial, institutional, industrial, infrastructure, and residential applications throughout North America and select international markets. Our products include building management systems, lighting, lighting controls, and location aware applications. We achieve growth through the development of innovative new products and services. Through the Acuity Business System, we achieve customer-focused efficiencies that allow us to increase market share and deliver superior returns. We look to aggressively deploy capital to grow the business and to enter attractive new verticals. As of November 30, 2020, we operate 18 manufacturing facilities and eight distribution facilities along with two warehouses to serve our extensive customer base.</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 during the prior fiscal year.</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months ended November 30, 2020 and 2019 are not necessarily indicative of the results to be expected for the full fiscal year due primarily to continued uncertainty of general economic conditions that may impact our key end markets for fiscal 2021, seasonality, and the impact of any acquisitions, among other reasons. Additionally, we are uncertain of the future impact of the ongoing COVID-19 pandemic and of possible sustained deterioration in economic conditions to our sales channels, supply chain, manufacturing, and distribution as well as overall construction, renovation, and consumer spending.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March 2020, the World Health Organization declared the COVID-19 outbreak a pandemic. This pandemic has resulted in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and distribution and open office facilities in the United States, Mexico, and other locations as permitted by law. We have also implemented one-way traffic flows, additional cleaning requirements for common spaces, mandatory face coverings, hand sanitizer stations, socially distanced workspaces, and self-serve pay stations within our cafeterias to mitigate the spread of the virus. Additionally, we are requiring certain employees whose job functions can be performed remotely to work from home for the foreseeable future.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Government-mandated and voluntary social distancing measures had an adverse impact on our results of operations. The pandemic has caused reduced construction and renovation spending during the year as well as a disruption in our supply chain for certain components, both of which negatively impacted our fiscal 2021 sales. In fiscal 2020 we experienced a limited number of temporary facility shutdowns due to government-mandated closures. We also continue to incur additional health and safety costs including expenditures for personal protection equipment and facility enhancements to maintain proper distancing guidelines issued by the Centers for Disease Control and Prevention. In response to our sales declines, we have taken actions to reduce costs, including the realignment of headcount with current volumes, a freeze on all non-essential employee travel, other efforts to decrease discretionary spending, and planned reductions in our real estate footprint.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 of our Form 10-K.</w:t>
      </w:r>
      <w:r>
        <w:rPr>
          <w:rFonts w:ascii="Arial" w:cs="Arial" w:eastAsia="Arial" w:hAnsi="Arial"/>
          <w:sz w:val="18"/>
          <w:szCs w:val="18"/>
          <w:color w:val="auto"/>
        </w:rPr>
        <w:t xml:space="preserve"> for further details regarding the potential impacts of COVID-19 to our results of operations, financial position,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three months of fiscal 2021, we paid $ 11.4 million for property, plant, and equipment, primarily for tooling, new and enhanced information technology capabilities, equipment, and facility enhancements. We currently expect to invest approximately 1.5% of net sales on capital expenditures during fiscal 2021.</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fiscal 2021, we repurchased 2.6 million shares. As of November 30, 2020, the maximum number of shares that may yet be repurchased under the share repurchase program authorized by the Board equaled 5.1 million shares. We expect to repurchase the remaining shares available for repurchase on an opportunistic basis subject to various factors including stock price, Company performance, market conditions, and other possible uses of cash.</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making required contributions and distributions related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However, as the impact of the COVID-19 pandemic on the economy and our operations evolves, we will continue to assess our liquidity needs. A continued worldwide disruption could materially affect our future access to our sources of liquidity, particularly our cash flows from operations, financial condition, capitalization, and capital investments. In the event of a sustained market deterioration, we may need additional liquidity, which would require us to evaluate available alternatives and take appropriate 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use available cash and cash flows from operations, borrowings, and proceeds from the exercise of stock options to fund operations, capital expenditures, and acquisitions if any; to repurchase Company stock; and to pay dividends.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cash position at November 30, 2020 was $507.0 million, a decrease of $53.7 million from August 31, 2020. During the three months ended November 30, 2020, we generated net cash flows from operations of $123.9 million. Borrowings completed in the first quarter of fiscal 2021, as more fully described below under the </w:t>
      </w:r>
      <w:r>
        <w:rPr>
          <w:rFonts w:ascii="Arial" w:cs="Arial" w:eastAsia="Arial" w:hAnsi="Arial"/>
          <w:sz w:val="18"/>
          <w:szCs w:val="18"/>
          <w:i w:val="1"/>
          <w:iCs w:val="1"/>
          <w:color w:val="auto"/>
        </w:rPr>
        <w:t>Capitalization</w:t>
      </w:r>
      <w:r>
        <w:rPr>
          <w:rFonts w:ascii="Arial" w:cs="Arial" w:eastAsia="Arial" w:hAnsi="Arial"/>
          <w:sz w:val="18"/>
          <w:szCs w:val="18"/>
          <w:color w:val="auto"/>
        </w:rPr>
        <w:t xml:space="preserve"> section, contributed $493.9 million to the cash position. Cash generated from operating activities, cash on-hand, and funds from borrowings were used during the three months ended November 30, 2020 primarily to repay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on our Term Loan Facility (defined below) of $395.0 million, to pay for share repurchases of $255.2 million, to fund capital expenditures of $11.4 million, to pay dividends to stockholders of $5.0 million, and to pay withholding taxes on the net settlement of equity awards of $3.0 million.</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generated $ 123.9 million of cash flows from operating activities during the three months ended November 30, 2020 compared with $129.6 million in the prior-year period, a decrease of $5.7 million, due primarily to the timing of certain payments.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$11.4 million and $11.6 million during the first three months of fiscal 2021 and 2020, respectively, for property, plant, and equipment, primarily related to investments in tooling, new and enhanced information technology capabilities, equipment, and facility enhancements.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Acuity Brands Lighting, Inc. (“ABL”), our wholly-owned operating subsidiary, issued $ 500.0 million aggregate principal amount of 2.150% senior unsecured notes due December 2030 (the "Unsecured Notes"). The Unsecured Notes bear interest at a rate of 2.150% per annum and were issued at a price equal to 99.737% of their face value. Interest on the Unsecured Notes will be paid semi-annually in arrears on June 15 and December 15 of each year, beginning on June 15, 2021. The Unsecured Notes will mature on December 15, 2030. The Unsecured Notes are fully and unconditionally guaranteed on a senior unsecured basis by Acuity Brands and ABL IP Holding LLC (“ABL IP Holding”, and, together with Acuity Brands, the “Guarantors”), a wholly-owned subsidiary of Acuity Brands. Additionally, we capitalized $4.8 million of deferred issuance costs related to the Unsecured Notes that are being amortized over the 10-year term. As of November 30, 2020, the balance of the bond net of unamortized discount and deferred issuance costs was $493.9 million.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November 30, 2020, we also had $4.0 million of tax-exempt industrial revenue bonds that are scheduled to mature in June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November 30, 2020. Additionally, we had $2.0 million outstanding under fixed-rate bank loans outstanding at November 30, 2020 that mature in February 2028, subject to monthly or quarterly repayment schedules. There have been no other material changes outside of the ordinary course of business in our contractual obligations since August 31, 2020.</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summarized financial information for Acuity Brands, ABL,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24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6"/>
                <w:szCs w:val="16"/>
                <w:b w:val="1"/>
                <w:bCs w:val="1"/>
                <w:color w:val="auto"/>
              </w:rPr>
              <w:t>November 30, 2020</w:t>
            </w:r>
          </w:p>
        </w:tc>
        <w:tc>
          <w:tcPr>
            <w:tcW w:w="500" w:type="dxa"/>
            <w:vAlign w:val="bottom"/>
          </w:tcPr>
          <w:p>
            <w:pPr>
              <w:spacing w:after="0"/>
              <w:rPr>
                <w:sz w:val="18"/>
                <w:szCs w:val="18"/>
                <w:color w:val="auto"/>
              </w:rPr>
            </w:pPr>
          </w:p>
        </w:tc>
        <w:tc>
          <w:tcPr>
            <w:tcW w:w="25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2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1,152.6</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Current assets due from non-guarantor affiliates</w:t>
            </w:r>
          </w:p>
        </w:tc>
        <w:tc>
          <w:tcPr>
            <w:tcW w:w="12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2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1,416.0</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530.2</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24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Three Months Ended November 30, 2020</w:t>
            </w:r>
          </w:p>
        </w:tc>
      </w:tr>
      <w:tr>
        <w:trPr>
          <w:trHeight w:val="21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0" w:type="dxa"/>
            <w:vAlign w:val="bottom"/>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6"/>
                <w:szCs w:val="16"/>
                <w:color w:val="auto"/>
              </w:rPr>
              <w:t>280.7</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0" w:type="dxa"/>
            <w:vAlign w:val="bottom"/>
            <w:shd w:val="clear" w:color="auto" w:fill="CCEEFF"/>
          </w:tcPr>
          <w:p>
            <w:pPr>
              <w:spacing w:after="0"/>
              <w:rPr>
                <w:sz w:val="19"/>
                <w:szCs w:val="19"/>
                <w:color w:val="auto"/>
              </w:rPr>
            </w:pPr>
          </w:p>
        </w:tc>
        <w:tc>
          <w:tcPr>
            <w:tcW w:w="3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November 30, 2020, our capital structure was comprised principally of the Unsecured Notes and equity of our stockholders. Total debt outstanding was $499.9 million at November 30, 2020 and consisted primarily of fixed-rate obligations. At August 31, 2020, total debt outstanding was $401.1 million and consisted primarily of variable-rate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(the “Term Loan Facility)”. We had no borrowings outstanding under the Revolving Credit Facility or the Term Loan Facility as of November 30, 2020 or August 31, 2020. We had $395.0 million of borrowings under the Term Loan Facility as of August 31, 2020, which we fully repaid during the first quarter of fiscal 2021 using the proceeds from the Unsecured Notes. The Credit Agreement allows for no future borrowings under the Term Loan Facility.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November 30, 2020. At November 30, 2020,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 As of November 30, 2020, we had outstanding letters of credit totaling $8.3 million, primarily for securing collateral requirements under our casualty insurance programs and for providing credit support for our industrial revenue bond, which includes the $4.1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more information.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three months of fiscal 2021, our consolidated stockholders’ equity decreased $190.5 million to $1.9 billion at November 30, 2020, from $2.1 billion at August 31, 2020. The decrease was due primarily to repurchases of our outstanding common stock, partially offset by net income earned. Our debt to total capitalization ratio (calculated by dividing total debt by the sum of total debt and total stockholders’ equity) was 20.5% and 15.9% at November 30, 2020 and August 31, 2020, respectively. The ratio of debt, net of cash, to total capitalization, net of cash, was (0.4)% and (8.1)% at November 30, 2020 and August 31,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$5.0 million ($ 0.13 per share) and $5.2 million ($0.13 per share) during the three months ended November 30, 2020 and 2019,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2021 Compared with First Quarter of Fiscal 2020</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2020 and 2019 (in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November 30, 2020</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November 30, 2019</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459.6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478.9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42.0 %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42.6 %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(60) 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10.8 %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80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189"/>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10.0 %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8.9 %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110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83"/>
        </w:trPr>
        <w:tc>
          <w:tcPr>
            <w:tcW w:w="44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i w:val="1"/>
                <w:iCs w:val="1"/>
                <w:color w:val="auto"/>
              </w:rPr>
              <w:t>24.7 %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i w:val="1"/>
                <w:iCs w:val="1"/>
                <w:color w:val="auto"/>
              </w:rPr>
              <w:t>22.9 %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$792.0 million for the three months ended November 30, 2020 compared with $834.7 million reported for the three months ended November 30, 2019, a decrease of $42.7 million, or 5.1%. For the three months ended November 30, 2020, we reported net income of $59.6 million, an increase of $2.6 million, or 4.6%, compared with $ 57.0 million for the three months ended November 30, 2019. For the first quarter of fiscal 2021, diluted earnings per share increased 9.0% to $1.57 compared with $1.44 reported in the year-ago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acquisition-related items, amortization of acquired intangible assets, share-based payment expense, special charges associated primarily with continued efforts to streamline the organization and integrate recent acquisitions, and impairments of investments.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adjusted gross profit margin, adjusted selling, distribution, and administrative (“SD&amp;A”) expenses and adjusted SD&amp;A expenses as a percent of net sales, adjusted operating profit and margin, adjusted other expense,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There are limitations to the use of non-U.S. GAAP financial measures and such non-U.S. GAAP financial measures should be considered in addition to, and not as a substitute for or superior to, results prepared in accordance with U.S. GAAP. The non-U.S. GAAP measures as defined by us may not be comparable to similar non-U.S. GAAP measures presented by other companies. Our presentation of such measures, which may include adjustments to exclude unusual or non-recurring items, should not be construed as an inference that our future results will be unaffected by other unusual or non-recurring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8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200" w:type="dxa"/>
            <w:vAlign w:val="bottom"/>
            <w:gridSpan w:val="3"/>
          </w:tcPr>
          <w:p>
            <w:pPr>
              <w:jc w:val="right"/>
              <w:ind w:right="1048"/>
              <w:spacing w:after="0" w:line="142" w:lineRule="exact"/>
              <w:rPr>
                <w:sz w:val="20"/>
                <w:szCs w:val="20"/>
                <w:color w:val="auto"/>
              </w:rPr>
            </w:pPr>
            <w:r>
              <w:rPr>
                <w:rFonts w:ascii="Arial" w:cs="Arial" w:eastAsia="Arial" w:hAnsi="Arial"/>
                <w:sz w:val="14"/>
                <w:szCs w:val="14"/>
                <w:b w:val="1"/>
                <w:bCs w:val="1"/>
                <w:color w:val="auto"/>
              </w:rPr>
              <w:t>November 30,</w:t>
            </w:r>
          </w:p>
        </w:tc>
        <w:tc>
          <w:tcPr>
            <w:tcW w:w="120" w:type="dxa"/>
            <w:vAlign w:val="bottom"/>
          </w:tcPr>
          <w:p>
            <w:pPr>
              <w:spacing w:after="0"/>
              <w:rPr>
                <w:sz w:val="12"/>
                <w:szCs w:val="12"/>
                <w:color w:val="auto"/>
              </w:rPr>
            </w:pPr>
          </w:p>
        </w:tc>
        <w:tc>
          <w:tcPr>
            <w:tcW w:w="2120" w:type="dxa"/>
            <w:vAlign w:val="bottom"/>
            <w:gridSpan w:val="2"/>
          </w:tcPr>
          <w:p>
            <w:pPr>
              <w:jc w:val="right"/>
              <w:ind w:right="1068"/>
              <w:spacing w:after="0" w:line="142" w:lineRule="exact"/>
              <w:rPr>
                <w:sz w:val="20"/>
                <w:szCs w:val="20"/>
                <w:color w:val="auto"/>
              </w:rPr>
            </w:pPr>
            <w:r>
              <w:rPr>
                <w:rFonts w:ascii="Arial" w:cs="Arial" w:eastAsia="Arial" w:hAnsi="Arial"/>
                <w:sz w:val="14"/>
                <w:szCs w:val="14"/>
                <w:b w:val="1"/>
                <w:bCs w:val="1"/>
                <w:color w:val="auto"/>
              </w:rPr>
              <w:t>November 30,</w:t>
            </w:r>
          </w:p>
        </w:tc>
        <w:tc>
          <w:tcPr>
            <w:tcW w:w="120" w:type="dxa"/>
            <w:vAlign w:val="bottom"/>
          </w:tcPr>
          <w:p>
            <w:pPr>
              <w:spacing w:after="0"/>
              <w:rPr>
                <w:sz w:val="12"/>
                <w:szCs w:val="12"/>
                <w:color w:val="auto"/>
              </w:rPr>
            </w:pPr>
          </w:p>
        </w:tc>
        <w:tc>
          <w:tcPr>
            <w:tcW w:w="9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Increase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332.4</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355.8</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450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tcPr>
          <w:p>
            <w:pPr>
              <w:spacing w:after="0"/>
              <w:rPr>
                <w:sz w:val="16"/>
                <w:szCs w:val="16"/>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42.0 %</w:t>
            </w:r>
          </w:p>
        </w:tc>
        <w:tc>
          <w:tcPr>
            <w:tcW w:w="120" w:type="dxa"/>
            <w:vAlign w:val="bottom"/>
          </w:tcPr>
          <w:p>
            <w:pPr>
              <w:spacing w:after="0"/>
              <w:rPr>
                <w:sz w:val="16"/>
                <w:szCs w:val="16"/>
                <w:color w:val="auto"/>
              </w:rPr>
            </w:pPr>
          </w:p>
        </w:tc>
        <w:tc>
          <w:tcPr>
            <w:tcW w:w="212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42.6 %</w:t>
            </w:r>
          </w:p>
        </w:tc>
        <w:tc>
          <w:tcPr>
            <w:tcW w:w="120" w:type="dxa"/>
            <w:vAlign w:val="bottom"/>
          </w:tcPr>
          <w:p>
            <w:pPr>
              <w:spacing w:after="0"/>
              <w:rPr>
                <w:sz w:val="16"/>
                <w:szCs w:val="16"/>
                <w:color w:val="auto"/>
              </w:rPr>
            </w:pPr>
          </w:p>
        </w:tc>
        <w:tc>
          <w:tcPr>
            <w:tcW w:w="2120" w:type="dxa"/>
            <w:vAlign w:val="bottom"/>
            <w:gridSpan w:val="2"/>
          </w:tcPr>
          <w:p>
            <w:pPr>
              <w:jc w:val="right"/>
              <w:ind w:right="828"/>
              <w:spacing w:after="0"/>
              <w:rPr>
                <w:sz w:val="20"/>
                <w:szCs w:val="20"/>
                <w:color w:val="auto"/>
              </w:rPr>
            </w:pPr>
            <w:r>
              <w:rPr>
                <w:rFonts w:ascii="Arial" w:cs="Arial" w:eastAsia="Arial" w:hAnsi="Arial"/>
                <w:sz w:val="14"/>
                <w:szCs w:val="14"/>
                <w:i w:val="1"/>
                <w:iCs w:val="1"/>
                <w:color w:val="auto"/>
              </w:rPr>
              <w:t>(60) bps</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rPr>
                <w:sz w:val="20"/>
                <w:szCs w:val="20"/>
                <w:color w:val="auto"/>
              </w:rPr>
            </w:pPr>
            <w:r>
              <w:rPr>
                <w:rFonts w:ascii="Arial" w:cs="Arial" w:eastAsia="Arial" w:hAnsi="Arial"/>
                <w:sz w:val="14"/>
                <w:szCs w:val="14"/>
                <w:color w:val="auto"/>
              </w:rPr>
              <w:t>Adjusted gross profit</w:t>
            </w: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332.4</w:t>
            </w:r>
          </w:p>
        </w:tc>
        <w:tc>
          <w:tcPr>
            <w:tcW w:w="9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356.9</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(24.5)</w:t>
            </w: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42.0 %</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i w:val="1"/>
                <w:iCs w:val="1"/>
                <w:color w:val="auto"/>
              </w:rPr>
              <w:t>42.8 %</w:t>
            </w:r>
          </w:p>
        </w:tc>
        <w:tc>
          <w:tcPr>
            <w:tcW w:w="12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right"/>
              <w:ind w:right="828"/>
              <w:spacing w:after="0" w:line="156" w:lineRule="exact"/>
              <w:rPr>
                <w:sz w:val="20"/>
                <w:szCs w:val="20"/>
                <w:color w:val="auto"/>
              </w:rPr>
            </w:pPr>
            <w:r>
              <w:rPr>
                <w:rFonts w:ascii="Arial" w:cs="Arial" w:eastAsia="Arial" w:hAnsi="Arial"/>
                <w:sz w:val="14"/>
                <w:szCs w:val="14"/>
                <w:i w:val="1"/>
                <w:iCs w:val="1"/>
                <w:color w:val="auto"/>
              </w:rPr>
              <w:t>(80) bps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246.0</w:t>
            </w:r>
          </w:p>
        </w:tc>
        <w:tc>
          <w:tcPr>
            <w:tcW w:w="9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265.3</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(19.3)</w:t>
            </w: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31.1 %</w:t>
            </w:r>
          </w:p>
        </w:tc>
        <w:tc>
          <w:tcPr>
            <w:tcW w:w="12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31.8 %</w:t>
            </w:r>
          </w:p>
        </w:tc>
        <w:tc>
          <w:tcPr>
            <w:tcW w:w="12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28"/>
              <w:spacing w:after="0"/>
              <w:rPr>
                <w:sz w:val="20"/>
                <w:szCs w:val="20"/>
                <w:color w:val="auto"/>
              </w:rPr>
            </w:pPr>
            <w:r>
              <w:rPr>
                <w:rFonts w:ascii="Arial" w:cs="Arial" w:eastAsia="Arial" w:hAnsi="Arial"/>
                <w:sz w:val="14"/>
                <w:szCs w:val="14"/>
                <w:i w:val="1"/>
                <w:iCs w:val="1"/>
                <w:color w:val="auto"/>
              </w:rPr>
              <w:t>(70) bps</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80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228.2</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237.9</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28.8 %</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28.5 %</w:t>
            </w: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30</w:t>
            </w:r>
          </w:p>
        </w:tc>
        <w:tc>
          <w:tcPr>
            <w:tcW w:w="1160" w:type="dxa"/>
            <w:vAlign w:val="bottom"/>
            <w:tcBorders>
              <w:top w:val="single" w:sz="8" w:color="CCEEFF"/>
              <w:bottom w:val="single" w:sz="8" w:color="CCEEFF"/>
            </w:tcBorders>
            <w:vMerge w:val="restart"/>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85.7</w:t>
            </w:r>
          </w:p>
        </w:tc>
        <w:tc>
          <w:tcPr>
            <w:tcW w:w="9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116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i w:val="1"/>
                <w:iCs w:val="1"/>
                <w:color w:val="auto"/>
              </w:rPr>
              <w:t>10.8 %</w:t>
            </w:r>
          </w:p>
        </w:tc>
        <w:tc>
          <w:tcPr>
            <w:tcW w:w="12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i w:val="1"/>
                <w:iCs w:val="1"/>
                <w:color w:val="auto"/>
              </w:rPr>
              <w:t>10.0 %</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80</w:t>
            </w:r>
          </w:p>
        </w:tc>
        <w:tc>
          <w:tcPr>
            <w:tcW w:w="1160" w:type="dxa"/>
            <w:vAlign w:val="bottom"/>
            <w:shd w:val="clear" w:color="auto" w:fill="CCEEFF"/>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8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Special charges</w:t>
            </w: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9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104.2</w:t>
            </w:r>
          </w:p>
        </w:tc>
        <w:tc>
          <w:tcPr>
            <w:tcW w:w="9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119.0</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c>
          <w:tcPr>
            <w:tcW w:w="11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shd w:val="clear" w:color="auto" w:fill="CCEEFF"/>
          </w:tcPr>
          <w:p>
            <w:pPr>
              <w:ind w:left="480"/>
              <w:spacing w:after="0" w:line="156" w:lineRule="exact"/>
              <w:rPr>
                <w:sz w:val="20"/>
                <w:szCs w:val="20"/>
                <w:color w:val="auto"/>
              </w:rPr>
            </w:pPr>
            <w:r>
              <w:rPr>
                <w:rFonts w:ascii="Arial" w:cs="Arial" w:eastAsia="Arial" w:hAnsi="Arial"/>
                <w:sz w:val="14"/>
                <w:szCs w:val="14"/>
                <w:i w:val="1"/>
                <w:iCs w:val="1"/>
                <w:color w:val="auto"/>
              </w:rPr>
              <w:t>Percent of net sales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13.2 %</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i w:val="1"/>
                <w:iCs w:val="1"/>
                <w:color w:val="auto"/>
              </w:rPr>
              <w:t>14.3 %</w:t>
            </w:r>
          </w:p>
        </w:tc>
        <w:tc>
          <w:tcPr>
            <w:tcW w:w="12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right"/>
              <w:ind w:right="828"/>
              <w:spacing w:after="0" w:line="156" w:lineRule="exact"/>
              <w:rPr>
                <w:sz w:val="20"/>
                <w:szCs w:val="20"/>
                <w:color w:val="auto"/>
              </w:rPr>
            </w:pPr>
            <w:r>
              <w:rPr>
                <w:rFonts w:ascii="Arial" w:cs="Arial" w:eastAsia="Arial" w:hAnsi="Arial"/>
                <w:sz w:val="14"/>
                <w:szCs w:val="14"/>
                <w:i w:val="1"/>
                <w:iCs w:val="1"/>
                <w:color w:val="auto"/>
              </w:rPr>
              <w:t>(110) bps</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Less: Impairment of investment</w:t>
            </w: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expense</w:t>
            </w:r>
          </w:p>
        </w:tc>
        <w:tc>
          <w:tcPr>
            <w:tcW w:w="80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8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800" w:type="dxa"/>
            <w:vAlign w:val="bottom"/>
          </w:tcPr>
          <w:p>
            <w:pPr>
              <w:spacing w:after="0"/>
              <w:rPr>
                <w:sz w:val="16"/>
                <w:szCs w:val="16"/>
                <w:color w:val="auto"/>
              </w:rPr>
            </w:pPr>
          </w:p>
        </w:tc>
        <w:tc>
          <w:tcPr>
            <w:tcW w:w="1400" w:type="dxa"/>
            <w:vAlign w:val="bottom"/>
            <w:gridSpan w:val="2"/>
          </w:tcPr>
          <w:p>
            <w:pPr>
              <w:jc w:val="right"/>
              <w:ind w:right="9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Special charges</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40"/>
              <w:spacing w:after="0"/>
              <w:rPr>
                <w:sz w:val="20"/>
                <w:szCs w:val="20"/>
                <w:color w:val="auto"/>
              </w:rPr>
            </w:pPr>
            <w:r>
              <w:rPr>
                <w:rFonts w:ascii="Arial" w:cs="Arial" w:eastAsia="Arial" w:hAnsi="Arial"/>
                <w:sz w:val="14"/>
                <w:szCs w:val="14"/>
                <w:color w:val="auto"/>
              </w:rPr>
              <w:t>Add-back: Impairment of investment</w:t>
            </w:r>
          </w:p>
        </w:tc>
        <w:tc>
          <w:tcPr>
            <w:tcW w:w="80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effects</w:t>
            </w: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76.9</w:t>
            </w: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190"/>
        </w:trPr>
        <w:tc>
          <w:tcPr>
            <w:tcW w:w="4500" w:type="dxa"/>
            <w:vAlign w:val="bottom"/>
          </w:tcPr>
          <w:p>
            <w:pPr>
              <w:ind w:left="20"/>
              <w:spacing w:after="0"/>
              <w:rPr>
                <w:sz w:val="20"/>
                <w:szCs w:val="20"/>
                <w:color w:val="auto"/>
              </w:rPr>
            </w:pPr>
            <w:r>
              <w:rPr>
                <w:rFonts w:ascii="Arial" w:cs="Arial" w:eastAsia="Arial" w:hAnsi="Arial"/>
                <w:sz w:val="14"/>
                <w:szCs w:val="14"/>
                <w:color w:val="auto"/>
              </w:rPr>
              <w:t>Adjusted diluted earnings per share</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9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(0.10)</w:t>
            </w: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Acquisition-related items include profit in inventory and professional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November 30, 2020 decreased 5.1% compared with the prior-year period. From a sales channel perspective, sales in the retail channel increased 3%, reflecting strength in home center opportunities. Sales through the independent sales network decreased 3% compared with the prior year due to lower volume, decreasing prices on certain products, and a changing mix of products sold due primarily to the impact of the COVID-19 pandemic. Sales in the direct sales network decreased 10%, reflecting weakness in large industrial projects, while sales in the corporate accounts channel declined 28% due primarily to lower retrofit activity in large big-box retailers. Changes in foreign currency rates did not have a meaningful impact on first quarter net sales.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quarter of fiscal 2021 decreased $23.4 million, or 6.6%, to $332.4 million compared with $355.8 million in the prior-year period, and gross profit margin decreased 60 basis points to 42.0% from 42.6%. The declines in gross profit and margin were due primarily to lower volume and price as well as an unfavorable change in product mix, partially offset by lower product input costs from cost reduction efforts. Adjusted gross profit for fiscal 2021 decreased $24.5 million, or 6.9%, to $332.4 compared with $356.9 for the prior year. Adjusted gross profit margin decreased 80 basis points to 42.0% compared to 42.8% in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November 30, 2020 were $ 246.0 million compared with $265.3 million in the prior-year period, a decrease of $19.3 million, or 7.3%. The decrease in SD&amp;A expenses was due primarily to decreased employee costs, lower freight and commissions associated with decreased sales volumes, and lower travel as well as sales and marketing expenses due in part to the COVID-19 pandemic. In particular, share-based payment expense decreased due to the discontinuation of certain retirement provisions in the equity incentive program that resulted in the acceleration of share-based payment expense for fiscal 2020 grants. SD&amp;A expenses for the first quarter of fiscal 2021 were 31.1% of net sales compared with 31.8% for the prior-year period. Adjusted SD&amp;A expenses for the three months ended November 30, 2020 were $228.2 million (28.8% of net sales) compared with $237.9 million (28.5% of net sales) in the prior-year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$ 0.7 million during the first quarter of fiscal 2021 compared with $6.9 million recorded during the first quarter of fiscal 2020.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first quarter of fiscal 2021 was $85.7 million (10.8% of net sales) compared with $ 83.6 million (10.0% of net sales) for the prior-year period, an increase of $2.1 million, or 2.5%. The increase in operating profit was due to lower SD&amp;A expenses and special charges, partially offset by lower gross profit. Adjusted operating profit decreased $ 14.8 million, or 12.4%, to $104.2 million for the first quarter of fiscal 2021 compared with $119.0 million for the first quarter of fiscal 2020. Adjusted operating profit margin decreased to 13.2% for the first quarter of fiscal 2021 compared with 14.3% for the year-ago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expense, net, was $ 4.9 million and $8.3 million for the three months ended November 30, 2020 and 2019, respectively. The decrease in interest expense was due primarily to the interest savings associated with refinancing the previously outstanding 6% senior unsecured notes with funds under the Term Loan Facility, which were subject to lower short-term borrowing rates.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net miscellaneous expense of $ 1.6 million and $1.4 million for the three months ended November 30, 2020 and 2019, respectively. During the first quarter of fiscal 2021, we recorded an impairment charge of $4.0 million for an unconsolidated equity investment, which was partially offset by net foreign currency transaction gains.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income tax rate was 24.7% and 22.9% for the three months ended November 30, 2020 and 2019, respectively. The increase in the current fiscal tax rate was due primarily to the recognition in fiscal 2021 of unfavorable discrete items related to the deductibility of certain compensation. We currently estimate that our blended consolidated effective income tax rate, before any discrete items, will be approximately 23% for fiscal 2021, assuming the rates in our taxing jurisdictions remain generally consistent throughout the year.</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first quarter of fiscal 2021 increased $2.6 million, or 4.6%, to $59.6 million from $ 57.0 million reported for the prior-year period. The increase in net income resulted primarily from an increased operating profit and lower interest expense, partially offset by a higher income tax expense compared to the prior-year period. Diluted earnings per share for the three months ended November 30, 2020 increased $ 0.13, or 9.0%, to $1.57 compared with diluted earnings per share of $1.44 for the prior-year period. This increase reflects higher net income as well as lower outstanding diluted shares. Adjusted net income for the first quarter of fiscal 2021 was $76.9 million, compared with $84.2 million in the prior-year period, a decrease of $7.3 million, or 8.7%. Adjusted diluted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earnings per share for the three months ended November 30, 2020 decreased $0.10, or 4.7%, to $2.03 compared with $2.13 for the prior-year period.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execution of our strategy will provide attractive opportunities for profitable growth over the long term. Although we are aggressively managing our response to the current COVID-19 pandemic, its impact on our full year fiscal 2021 results and beyond is uncertain. We believe that the most significant elements of uncertainty are the intensity and duration of the impact on construction, renovation, and consumer spending as well as the ability of our sales channels, supply chain, manufacturing, and distribution to continue to operate with minimal disruption for the remainder of fiscal 2021 and beyond, all of which could negatively impact our financial position, results of operations, cash flows, and outlook.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estimated liabilities;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as well as volatility and uncertainty in general economic conditions; (c) our ability to execute and realize benefits from initiatives related to streamlining our operations and integrating recent acquisitions, realize synergies from acquisitions, capitalize on growth opportunities, and introduce new lighting and building management solutions; (d) our planned reductions in our real estate footprint; (e) our estimate of our fiscal 2021 effective income tax rate, results of operations, and cash flows; (f) our estimate of future amortization expense; (g) our ability to achieve our long-term financial goals and measures and outperform the markets we serve; (h) our expectations about the resolution of patent litigation, securities class action, and/or other legal matters; and (i) our expectations of the impact of the current COVID-19 pandemic.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Our long-term debt as of August 31, 2020 consisted primarily of variable-rate obligations, whereas at November 30, 2020, our variable-rate debt was solely comprised of the $4.0 million industrial revenue bond. We had no borrowings outstanding under the Revolving Credit Facility or the Term Loan Facility as of November 30, 2020. A 10% increase in market interest rates during November 30, 2020, would have resulted in a de minimis amount of additional annual after-tax interest expense. A fluctuation in interest rates would not affect interest expense or cash flows related to the Company’s fixed-rate debt, which includes $500.0 million of senior unsecured notes. A 10% increase in market interest rates at November 30, 2020 would have decreased the estimated fair value of the senior unsecured notes by approximately $9.5 million. Except for the change in our long-term debt from primarily variable to fixed-rate obligations and the broad effects of the COVID-19 pandemic as a result of its negative impact on the global economy and major financial markets, there have been no other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of our Form 10-K.</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2020.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2020.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On October 9, 2019 and November 6, 2019, LSG dropped from the International Trade Commission action its claims regarding four additional patents. For the remaining three patents, LSG’s infringement allegations relate to certain of our LED luminaires. On April 7, 2020 and October 1, 2020, the International Trade Commission made final determinations that LSG was not entitled to any relief. In the District of Delaware action, LSG separately sought unspecified monetary damages, costs, and attorneys’ fees. During fiscal 2021, LSG and the Company have reached an agreement to resolve their patent disputes pending before the International Trade Commission, United States District Court for the District of Delaware, and the Patent Trial and Appeal Board. According to the terms of the settlement, the various pending actions will be dismissed with prejudice, each party will bear its own fees and costs, and the Company will pay no compensation for the rights granted under the settlement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has granted the Company permission to file an interlocutory appeal of the District Court’s class certification order.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9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describes any legal proceedings that became reportable during the quarter ended November 30, 2020, and updates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is incorporated into this Item 1 by reference.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October 22, 2020, 2.2 million shares were available for repurchase under this authorization. On October 23, 2020, the Board authorized the repurchase of an additional 3.8 million shares of our common stock, bringing our total authorization back to six million shares at that time.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fiscal 2021, we repurchased 2.6 million shares under these authorizations. As of November 30, 2020, the maximum number of shares that may yet be repurchased under the share repurchase program authorized by the Board equaled 5.1 million shares. The following table reflects activity related to equity securities we repurchased during the quarter ended November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3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Purchases of Equity Securities</w:t>
            </w: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9/1/2020 through 9/30/2020</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705,141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102.76</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705,141</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3,157,607</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10/1/2020 through 10/31/2020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1,092,245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96.81</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1,092,245</w:t>
            </w:r>
          </w:p>
        </w:tc>
        <w:tc>
          <w:tcPr>
            <w:tcW w:w="1940" w:type="dxa"/>
            <w:vAlign w:val="bottom"/>
          </w:tcPr>
          <w:p>
            <w:pPr>
              <w:jc w:val="right"/>
              <w:spacing w:after="0"/>
              <w:rPr>
                <w:sz w:val="20"/>
                <w:szCs w:val="20"/>
                <w:color w:val="auto"/>
              </w:rPr>
            </w:pPr>
            <w:r>
              <w:rPr>
                <w:rFonts w:ascii="Arial" w:cs="Arial" w:eastAsia="Arial" w:hAnsi="Arial"/>
                <w:sz w:val="16"/>
                <w:szCs w:val="16"/>
                <w:color w:val="auto"/>
              </w:rPr>
              <w:t>5,855,000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11/1/2020 through 11/30/2020</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762,145</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102.22</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762,145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5,092,855</w:t>
            </w:r>
          </w:p>
        </w:tc>
        <w:tc>
          <w:tcPr>
            <w:tcW w:w="0" w:type="dxa"/>
            <w:vAlign w:val="bottom"/>
          </w:tcPr>
          <w:p>
            <w:pPr>
              <w:spacing w:after="0"/>
              <w:rPr>
                <w:sz w:val="1"/>
                <w:szCs w:val="1"/>
                <w:color w:val="auto"/>
              </w:rPr>
            </w:pP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2,559,531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100.06</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2,559,531</w:t>
            </w:r>
          </w:p>
        </w:tc>
        <w:tc>
          <w:tcPr>
            <w:tcW w:w="1940" w:type="dxa"/>
            <w:vAlign w:val="bottom"/>
          </w:tcPr>
          <w:p>
            <w:pPr>
              <w:jc w:val="right"/>
              <w:spacing w:after="0"/>
              <w:rPr>
                <w:sz w:val="20"/>
                <w:szCs w:val="20"/>
                <w:color w:val="auto"/>
              </w:rPr>
            </w:pPr>
            <w:r>
              <w:rPr>
                <w:rFonts w:ascii="Arial" w:cs="Arial" w:eastAsia="Arial" w:hAnsi="Arial"/>
                <w:sz w:val="16"/>
                <w:szCs w:val="16"/>
                <w:color w:val="auto"/>
              </w:rPr>
              <w:t>5,092,855</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January 6, 2021, the Board of Directors (the “Board”) declared a quarterly dividend of $0.13 per share. The dividend is payable on February 1, 2021 to stockholders of record on January 20,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Annual Stockholders Meeting</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our annual meeting of stockholders held on January 6, 2021 in Atlanta, Georgia, the stockholders considered and voted on the following proposals: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xml:space="preserve"> - Votes regarding the persons elected to serve as Directors of the Company were as follows:</w:t>
      </w:r>
    </w:p>
    <w:p>
      <w:pPr>
        <w:spacing w:after="0" w:line="379" w:lineRule="exact"/>
        <w:rPr>
          <w:sz w:val="20"/>
          <w:szCs w:val="20"/>
          <w:color w:val="auto"/>
        </w:rPr>
      </w:pPr>
    </w:p>
    <w:tbl>
      <w:tblPr>
        <w:tblLayout w:type="fixed"/>
        <w:tblInd w:w="1000" w:type="dxa"/>
        <w:tblCellMar>
          <w:top w:w="0" w:type="dxa"/>
          <w:left w:w="0" w:type="dxa"/>
          <w:bottom w:w="0" w:type="dxa"/>
          <w:right w:w="0" w:type="dxa"/>
        </w:tblCellMar>
      </w:tblPr>
      <w:tr>
        <w:trPr>
          <w:trHeight w:val="239"/>
        </w:trPr>
        <w:tc>
          <w:tcPr>
            <w:tcW w:w="254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For</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Votes Against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Votes Abstained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3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Neil M. Ashe</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30,983,864</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449,447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2,058,369</w:t>
            </w:r>
          </w:p>
        </w:tc>
      </w:tr>
      <w:tr>
        <w:trPr>
          <w:trHeight w:val="256"/>
        </w:trPr>
        <w:tc>
          <w:tcPr>
            <w:tcW w:w="2540" w:type="dxa"/>
            <w:vAlign w:val="bottom"/>
          </w:tcPr>
          <w:p>
            <w:pPr>
              <w:ind w:left="20"/>
              <w:spacing w:after="0"/>
              <w:rPr>
                <w:sz w:val="20"/>
                <w:szCs w:val="20"/>
                <w:color w:val="auto"/>
              </w:rPr>
            </w:pPr>
            <w:r>
              <w:rPr>
                <w:rFonts w:ascii="Arial" w:cs="Arial" w:eastAsia="Arial" w:hAnsi="Arial"/>
                <w:sz w:val="18"/>
                <w:szCs w:val="18"/>
                <w:color w:val="auto"/>
              </w:rPr>
              <w:t>W. Patrick Battle</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28,244,578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3,193,220</w:t>
            </w:r>
          </w:p>
        </w:tc>
        <w:tc>
          <w:tcPr>
            <w:tcW w:w="1640" w:type="dxa"/>
            <w:vAlign w:val="bottom"/>
          </w:tcPr>
          <w:p>
            <w:pPr>
              <w:jc w:val="right"/>
              <w:spacing w:after="0"/>
              <w:rPr>
                <w:sz w:val="20"/>
                <w:szCs w:val="20"/>
                <w:color w:val="auto"/>
              </w:rPr>
            </w:pPr>
            <w:r>
              <w:rPr>
                <w:rFonts w:ascii="Arial" w:cs="Arial" w:eastAsia="Arial" w:hAnsi="Arial"/>
                <w:sz w:val="18"/>
                <w:szCs w:val="18"/>
                <w:color w:val="auto"/>
              </w:rPr>
              <w:t>21,681</w:t>
            </w:r>
          </w:p>
        </w:tc>
        <w:tc>
          <w:tcPr>
            <w:tcW w:w="1680" w:type="dxa"/>
            <w:vAlign w:val="bottom"/>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C. Browning</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25,183,940</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6,253,802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G. Douglas Dillard, Jr.</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28,612,344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2,825,429</w:t>
            </w:r>
          </w:p>
        </w:tc>
        <w:tc>
          <w:tcPr>
            <w:tcW w:w="1640" w:type="dxa"/>
            <w:vAlign w:val="bottom"/>
          </w:tcPr>
          <w:p>
            <w:pPr>
              <w:jc w:val="right"/>
              <w:spacing w:after="0"/>
              <w:rPr>
                <w:sz w:val="20"/>
                <w:szCs w:val="20"/>
                <w:color w:val="auto"/>
              </w:rPr>
            </w:pPr>
            <w:r>
              <w:rPr>
                <w:rFonts w:ascii="Arial" w:cs="Arial" w:eastAsia="Arial" w:hAnsi="Arial"/>
                <w:sz w:val="18"/>
                <w:szCs w:val="18"/>
                <w:color w:val="auto"/>
              </w:rPr>
              <w:t>21,706</w:t>
            </w:r>
          </w:p>
        </w:tc>
        <w:tc>
          <w:tcPr>
            <w:tcW w:w="1680" w:type="dxa"/>
            <w:vAlign w:val="bottom"/>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H. Hance, Jr.</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30,529,766</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903,398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Maya Leibman</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30,854,234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584,268</w:t>
            </w:r>
          </w:p>
        </w:tc>
        <w:tc>
          <w:tcPr>
            <w:tcW w:w="1640" w:type="dxa"/>
            <w:vAlign w:val="bottom"/>
          </w:tcPr>
          <w:p>
            <w:pPr>
              <w:jc w:val="right"/>
              <w:spacing w:after="0"/>
              <w:rPr>
                <w:sz w:val="20"/>
                <w:szCs w:val="20"/>
                <w:color w:val="auto"/>
              </w:rPr>
            </w:pPr>
            <w:r>
              <w:rPr>
                <w:rFonts w:ascii="Arial" w:cs="Arial" w:eastAsia="Arial" w:hAnsi="Arial"/>
                <w:sz w:val="18"/>
                <w:szCs w:val="18"/>
                <w:color w:val="auto"/>
              </w:rPr>
              <w:t>20,977</w:t>
            </w:r>
          </w:p>
        </w:tc>
        <w:tc>
          <w:tcPr>
            <w:tcW w:w="1680" w:type="dxa"/>
            <w:vAlign w:val="bottom"/>
          </w:tcPr>
          <w:p>
            <w:pPr>
              <w:jc w:val="right"/>
              <w:spacing w:after="0"/>
              <w:rPr>
                <w:sz w:val="20"/>
                <w:szCs w:val="20"/>
                <w:color w:val="auto"/>
              </w:rPr>
            </w:pPr>
            <w:r>
              <w:rPr>
                <w:rFonts w:ascii="Arial" w:cs="Arial" w:eastAsia="Arial" w:hAnsi="Arial"/>
                <w:sz w:val="18"/>
                <w:szCs w:val="18"/>
                <w:color w:val="auto"/>
              </w:rPr>
              <w:t>2,058,369</w:t>
            </w:r>
          </w:p>
        </w:tc>
      </w:tr>
      <w:tr>
        <w:trPr>
          <w:trHeight w:val="256"/>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Laura G. O'Shaughnessy</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31,006,072</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431,962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Dominic J. Pileggi</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30,009,311</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1,428,489</w:t>
            </w:r>
          </w:p>
        </w:tc>
        <w:tc>
          <w:tcPr>
            <w:tcW w:w="1640" w:type="dxa"/>
            <w:vAlign w:val="bottom"/>
          </w:tcPr>
          <w:p>
            <w:pPr>
              <w:jc w:val="right"/>
              <w:spacing w:after="0"/>
              <w:rPr>
                <w:sz w:val="20"/>
                <w:szCs w:val="20"/>
                <w:color w:val="auto"/>
              </w:rPr>
            </w:pPr>
            <w:r>
              <w:rPr>
                <w:rFonts w:ascii="Arial" w:cs="Arial" w:eastAsia="Arial" w:hAnsi="Arial"/>
                <w:sz w:val="18"/>
                <w:szCs w:val="18"/>
                <w:color w:val="auto"/>
              </w:rPr>
              <w:t>21,679</w:t>
            </w:r>
          </w:p>
        </w:tc>
        <w:tc>
          <w:tcPr>
            <w:tcW w:w="1680" w:type="dxa"/>
            <w:vAlign w:val="bottom"/>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 M. Robinson</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26,864,795</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1,989,800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2,604,884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2,058,369</w:t>
            </w:r>
          </w:p>
        </w:tc>
      </w:tr>
      <w:tr>
        <w:trPr>
          <w:trHeight w:val="257"/>
        </w:trPr>
        <w:tc>
          <w:tcPr>
            <w:tcW w:w="2540" w:type="dxa"/>
            <w:vAlign w:val="bottom"/>
          </w:tcPr>
          <w:p>
            <w:pPr>
              <w:ind w:left="20"/>
              <w:spacing w:after="0"/>
              <w:rPr>
                <w:sz w:val="20"/>
                <w:szCs w:val="20"/>
                <w:color w:val="auto"/>
              </w:rPr>
            </w:pPr>
            <w:r>
              <w:rPr>
                <w:rFonts w:ascii="Arial" w:cs="Arial" w:eastAsia="Arial" w:hAnsi="Arial"/>
                <w:sz w:val="18"/>
                <w:szCs w:val="18"/>
                <w:color w:val="auto"/>
              </w:rPr>
              <w:t>Mary A. Winston</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25,223,285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6,216,500</w:t>
            </w:r>
          </w:p>
        </w:tc>
        <w:tc>
          <w:tcPr>
            <w:tcW w:w="1640" w:type="dxa"/>
            <w:vAlign w:val="bottom"/>
          </w:tcPr>
          <w:p>
            <w:pPr>
              <w:jc w:val="right"/>
              <w:spacing w:after="0"/>
              <w:rPr>
                <w:sz w:val="20"/>
                <w:szCs w:val="20"/>
                <w:color w:val="auto"/>
              </w:rPr>
            </w:pPr>
            <w:r>
              <w:rPr>
                <w:rFonts w:ascii="Arial" w:cs="Arial" w:eastAsia="Arial" w:hAnsi="Arial"/>
                <w:sz w:val="18"/>
                <w:szCs w:val="18"/>
                <w:color w:val="auto"/>
              </w:rPr>
              <w:t>19,694</w:t>
            </w:r>
          </w:p>
        </w:tc>
        <w:tc>
          <w:tcPr>
            <w:tcW w:w="1680" w:type="dxa"/>
            <w:vAlign w:val="bottom"/>
          </w:tcPr>
          <w:p>
            <w:pPr>
              <w:jc w:val="right"/>
              <w:spacing w:after="0"/>
              <w:rPr>
                <w:sz w:val="20"/>
                <w:szCs w:val="20"/>
                <w:color w:val="auto"/>
              </w:rPr>
            </w:pPr>
            <w:r>
              <w:rPr>
                <w:rFonts w:ascii="Arial" w:cs="Arial" w:eastAsia="Arial" w:hAnsi="Arial"/>
                <w:sz w:val="18"/>
                <w:szCs w:val="18"/>
                <w:color w:val="auto"/>
              </w:rPr>
              <w:t>2,058,369</w:t>
            </w:r>
          </w:p>
        </w:tc>
      </w:tr>
    </w:tbl>
    <w:p>
      <w:pPr>
        <w:spacing w:after="0" w:line="3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xml:space="preserve"> - Votes cast regarding the ratification of the appointment of Ernst &amp; Young LLP as the Company's independent registered public accounting firm for fiscal 2021 were as follows:</w:t>
      </w:r>
    </w:p>
    <w:p>
      <w:pPr>
        <w:spacing w:after="0" w:line="302"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19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Votes For</w:t>
            </w:r>
          </w:p>
        </w:tc>
        <w:tc>
          <w:tcPr>
            <w:tcW w:w="1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Votes Against</w:t>
            </w: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Votes</w:t>
            </w:r>
          </w:p>
        </w:tc>
        <w:tc>
          <w:tcPr>
            <w:tcW w:w="1500" w:type="dxa"/>
            <w:vAlign w:val="bottom"/>
          </w:tcPr>
          <w:p>
            <w:pPr>
              <w:ind w:left="320"/>
              <w:spacing w:after="0"/>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Abstained</w:t>
            </w: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32,987,960</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517,311</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12,577</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u w:val="single" w:color="auto"/>
          <w:color w:val="auto"/>
        </w:rPr>
        <w:t>PROPOSAL 3a</w:t>
      </w:r>
      <w:r>
        <w:rPr>
          <w:rFonts w:ascii="Arial" w:cs="Arial" w:eastAsia="Arial" w:hAnsi="Arial"/>
          <w:sz w:val="18"/>
          <w:szCs w:val="18"/>
          <w:color w:val="auto"/>
        </w:rPr>
        <w:t xml:space="preserve"> - The results of the vote regarding the approval of an amendment to the Restated Certificate of Incorporation to eliminate supermajority voting provisions to amend the Restated Certificate of Incorporation and the Amended and Restated Bylaws were as follows:</w:t>
      </w:r>
    </w:p>
    <w:p>
      <w:pPr>
        <w:spacing w:after="0" w:line="302"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2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Votes For</w:t>
            </w:r>
          </w:p>
        </w:tc>
        <w:tc>
          <w:tcPr>
            <w:tcW w:w="1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Votes Against</w:t>
            </w: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Votes</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Abstained</w:t>
            </w: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31,335,580</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107,384</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16,515</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2,058,369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u w:val="single" w:color="auto"/>
          <w:color w:val="auto"/>
        </w:rPr>
        <w:t>PROPOSAL 3b</w:t>
      </w:r>
      <w:r>
        <w:rPr>
          <w:rFonts w:ascii="Arial" w:cs="Arial" w:eastAsia="Arial" w:hAnsi="Arial"/>
          <w:sz w:val="18"/>
          <w:szCs w:val="18"/>
          <w:color w:val="auto"/>
        </w:rPr>
        <w:t xml:space="preserve"> - The results of the vote regarding the approval of an amendment to the Restated Certificate of Incorporation to eliminate supermajority voting provisions to remove directors were as follows:</w:t>
      </w:r>
    </w:p>
    <w:p>
      <w:pPr>
        <w:spacing w:after="0" w:line="302"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2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Votes For</w:t>
            </w:r>
          </w:p>
        </w:tc>
        <w:tc>
          <w:tcPr>
            <w:tcW w:w="1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Votes Against</w:t>
            </w: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Votes</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Abstained</w:t>
            </w: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237"/>
        </w:trPr>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31,334,617</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107,639</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17,223</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2,058,369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xml:space="preserve"> - The results of the vote regarding the approval of an amendment to the Restated Certificate of Incorporation to grant stockholders the ability to call special meetings of stockholders were as follows:</w:t>
      </w:r>
    </w:p>
    <w:p>
      <w:pPr>
        <w:spacing w:after="0" w:line="302"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2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Votes For</w:t>
            </w:r>
          </w:p>
        </w:tc>
        <w:tc>
          <w:tcPr>
            <w:tcW w:w="17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Votes Against</w:t>
            </w: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Votes</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Abstained</w:t>
            </w: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31,380,941</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56,270</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22,268</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2,058,369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5</w:t>
      </w:r>
      <w:r>
        <w:rPr>
          <w:rFonts w:ascii="Arial" w:cs="Arial" w:eastAsia="Arial" w:hAnsi="Arial"/>
          <w:sz w:val="18"/>
          <w:szCs w:val="18"/>
          <w:color w:val="auto"/>
        </w:rPr>
        <w:t xml:space="preserve"> - The results of the advisory vote on the compensation of the named executive officers of the Company were as follows:</w:t>
      </w:r>
    </w:p>
    <w:p>
      <w:pPr>
        <w:spacing w:after="0" w:line="329" w:lineRule="exact"/>
        <w:rPr>
          <w:sz w:val="20"/>
          <w:szCs w:val="20"/>
          <w:color w:val="auto"/>
        </w:rPr>
      </w:pPr>
    </w:p>
    <w:tbl>
      <w:tblPr>
        <w:tblLayout w:type="fixed"/>
        <w:tblInd w:w="2240" w:type="dxa"/>
        <w:tblCellMar>
          <w:top w:w="0" w:type="dxa"/>
          <w:left w:w="0" w:type="dxa"/>
          <w:bottom w:w="0" w:type="dxa"/>
          <w:right w:w="0" w:type="dxa"/>
        </w:tblCellMar>
      </w:tblPr>
      <w:tr>
        <w:trPr>
          <w:trHeight w:val="207"/>
        </w:trPr>
        <w:tc>
          <w:tcPr>
            <w:tcW w:w="2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Votes For</w:t>
            </w: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Votes Against</w:t>
            </w:r>
          </w:p>
        </w:tc>
        <w:tc>
          <w:tcPr>
            <w:tcW w:w="1840" w:type="dxa"/>
            <w:vAlign w:val="bottom"/>
          </w:tcPr>
          <w:p>
            <w:pPr>
              <w:jc w:val="right"/>
              <w:ind w:right="610"/>
              <w:spacing w:after="0"/>
              <w:rPr>
                <w:sz w:val="20"/>
                <w:szCs w:val="20"/>
                <w:color w:val="auto"/>
              </w:rPr>
            </w:pPr>
            <w:r>
              <w:rPr>
                <w:rFonts w:ascii="Arial" w:cs="Arial" w:eastAsia="Arial" w:hAnsi="Arial"/>
                <w:sz w:val="18"/>
                <w:szCs w:val="18"/>
                <w:b w:val="1"/>
                <w:bCs w:val="1"/>
                <w:color w:val="auto"/>
              </w:rPr>
              <w:t>Votes</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Abstained</w:t>
            </w: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Votes</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10,313,396</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21,120,179</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25,904</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2,058,369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foregoing votes, the Company's stockholders: (i) elected ten directors nominated by the Board of Directors and listed above for a one-year term; (ii) approved the ratification of the appointment of Ernst &amp; Young LLP as the Company's independent registered public accounting firm for fiscal 2021; (iii) approved the amendment to the</w:t>
      </w:r>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Restated Certificate of Incorporation to eliminate supermajority voting provisions to amend the Restated Certificate of Incorporation and the Amended and Restated Bylaws; (iv) approved the amendment to the Restated Certificate of Incorporation to eliminate supermajority voting provisions to remove directors; (v) approved the amendments to the Amended and Restated Certificate of Incorporation; and (vi) did not approve, on an advisory basis, the Company's named executive officer compensation.</w:t>
      </w:r>
    </w:p>
    <w:p>
      <w:pPr>
        <w:spacing w:after="0" w:line="3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26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3">
        <w:r>
          <w:rPr>
            <w:rFonts w:ascii="Arial" w:cs="Arial" w:eastAsia="Arial" w:hAnsi="Arial"/>
            <w:sz w:val="18"/>
            <w:szCs w:val="18"/>
            <w:u w:val="single" w:color="auto"/>
            <w:color w:val="0000FF"/>
          </w:rPr>
          <w:t>Index to Exhibits</w:t>
        </w:r>
      </w:hyperlink>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23"/>
          </w:tcPr>
          <w:p>
            <w:pPr>
              <w:jc w:val="right"/>
              <w:ind w:right="320"/>
              <w:spacing w:after="0"/>
              <w:rPr>
                <w:sz w:val="20"/>
                <w:szCs w:val="20"/>
                <w:color w:val="auto"/>
              </w:rPr>
            </w:pPr>
            <w:r>
              <w:rPr>
                <w:rFonts w:ascii="Arial" w:cs="Arial" w:eastAsia="Arial" w:hAnsi="Arial"/>
                <w:sz w:val="16"/>
                <w:szCs w:val="16"/>
                <w:b w:val="1"/>
                <w:bCs w:val="1"/>
                <w:color w:val="auto"/>
              </w:rPr>
              <w:t>INDEX TO EXHIBITS</w:t>
            </w: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0"/>
                <w:szCs w:val="20"/>
                <w:color w:val="auto"/>
              </w:rPr>
            </w:pPr>
            <w:r>
              <w:rPr>
                <w:rFonts w:ascii="Arial" w:cs="Arial" w:eastAsia="Arial" w:hAnsi="Arial"/>
                <w:sz w:val="16"/>
                <w:szCs w:val="16"/>
                <w:color w:val="auto"/>
              </w:rPr>
              <w:t>EXHIBIT 3</w:t>
            </w:r>
          </w:p>
        </w:tc>
        <w:tc>
          <w:tcPr>
            <w:tcW w:w="1020" w:type="dxa"/>
            <w:vAlign w:val="bottom"/>
          </w:tcPr>
          <w:p>
            <w:pPr>
              <w:ind w:left="420"/>
              <w:spacing w:after="0"/>
              <w:rPr>
                <w:sz w:val="20"/>
                <w:szCs w:val="20"/>
                <w:color w:val="auto"/>
              </w:rPr>
            </w:pPr>
            <w:r>
              <w:rPr>
                <w:rFonts w:ascii="Arial" w:cs="Arial" w:eastAsia="Arial" w:hAnsi="Arial"/>
                <w:sz w:val="16"/>
                <w:szCs w:val="16"/>
                <w:color w:val="auto"/>
              </w:rPr>
              <w:t>(a)</w:t>
            </w:r>
          </w:p>
        </w:tc>
        <w:tc>
          <w:tcPr>
            <w:tcW w:w="4360" w:type="dxa"/>
            <w:vAlign w:val="bottom"/>
            <w:gridSpan w:val="32"/>
          </w:tcPr>
          <w:p>
            <w:pPr>
              <w:spacing w:after="0"/>
              <w:rPr>
                <w:rFonts w:ascii="Arial" w:cs="Arial" w:eastAsia="Arial" w:hAnsi="Arial"/>
                <w:sz w:val="16"/>
                <w:szCs w:val="16"/>
                <w:color w:val="0000FF"/>
              </w:rPr>
            </w:pPr>
            <w:hyperlink r:id="rId63">
              <w:r>
                <w:rPr>
                  <w:rFonts w:ascii="Arial" w:cs="Arial" w:eastAsia="Arial" w:hAnsi="Arial"/>
                  <w:sz w:val="16"/>
                  <w:szCs w:val="16"/>
                  <w:color w:val="0000FF"/>
                </w:rPr>
                <w:t>Restated Certificate of Incorporation of Acuity Brands, Inc.</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(b)</w:t>
            </w:r>
          </w:p>
        </w:tc>
        <w:tc>
          <w:tcPr>
            <w:tcW w:w="4360" w:type="dxa"/>
            <w:vAlign w:val="bottom"/>
            <w:gridSpan w:val="32"/>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of Restated Certification of</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Incorporation of Acuity Brands, Inc. (formerly Acuity</w:t>
              </w:r>
            </w:hyperlink>
          </w:p>
        </w:tc>
        <w:tc>
          <w:tcPr>
            <w:tcW w:w="560" w:type="dxa"/>
            <w:vAlign w:val="bottom"/>
            <w:gridSpan w:val="18"/>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Brands</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Holdings, Inc.), dated as of September 26, 2007.</w:t>
              </w:r>
            </w:hyperlink>
          </w:p>
        </w:tc>
        <w:tc>
          <w:tcPr>
            <w:tcW w:w="7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(c)</w:t>
            </w:r>
          </w:p>
        </w:tc>
        <w:tc>
          <w:tcPr>
            <w:tcW w:w="4360" w:type="dxa"/>
            <w:vAlign w:val="bottom"/>
            <w:gridSpan w:val="32"/>
          </w:tcPr>
          <w:p>
            <w:pPr>
              <w:spacing w:after="0"/>
              <w:rPr>
                <w:rFonts w:ascii="Arial" w:cs="Arial" w:eastAsia="Arial" w:hAnsi="Arial"/>
                <w:sz w:val="16"/>
                <w:szCs w:val="16"/>
                <w:color w:val="0000FF"/>
              </w:rPr>
            </w:pPr>
            <w:hyperlink r:id="rId65">
              <w:r>
                <w:rPr>
                  <w:rFonts w:ascii="Arial" w:cs="Arial" w:eastAsia="Arial" w:hAnsi="Arial"/>
                  <w:sz w:val="16"/>
                  <w:szCs w:val="16"/>
                  <w:color w:val="0000FF"/>
                </w:rPr>
                <w:t>Certificate of Amendment to the Restated Certificate of</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8"/>
              </w:rPr>
            </w:pPr>
            <w:hyperlink r:id="rId65">
              <w:r>
                <w:rPr>
                  <w:rFonts w:ascii="Arial" w:cs="Arial" w:eastAsia="Arial" w:hAnsi="Arial"/>
                  <w:sz w:val="16"/>
                  <w:szCs w:val="16"/>
                  <w:color w:val="0000FF"/>
                  <w:w w:val="98"/>
                </w:rPr>
                <w:t>Incorporation of Acuity Brands, Inc., dated as of January</w:t>
              </w:r>
            </w:hyperlink>
          </w:p>
        </w:tc>
        <w:tc>
          <w:tcPr>
            <w:tcW w:w="300" w:type="dxa"/>
            <w:vAlign w:val="bottom"/>
            <w:tcBorders>
              <w:bottom w:val="single" w:sz="8" w:color="0000FF"/>
            </w:tcBorders>
            <w:gridSpan w:val="9"/>
          </w:tcPr>
          <w:p>
            <w:pPr>
              <w:jc w:val="right"/>
              <w:ind w:right="20"/>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6,</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Borders>
              <w:bottom w:val="single" w:sz="8" w:color="0000FF"/>
            </w:tcBorders>
            <w:gridSpan w:val="2"/>
          </w:tcPr>
          <w:p>
            <w:pPr>
              <w:spacing w:after="0" w:line="142"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(d)</w:t>
            </w:r>
          </w:p>
        </w:tc>
        <w:tc>
          <w:tcPr>
            <w:tcW w:w="4360" w:type="dxa"/>
            <w:vAlign w:val="bottom"/>
            <w:gridSpan w:val="32"/>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Certificate of Amendment to the Restated Certificate of</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8"/>
              </w:rPr>
            </w:pPr>
            <w:hyperlink w:anchor="page37">
              <w:r>
                <w:rPr>
                  <w:rFonts w:ascii="Arial" w:cs="Arial" w:eastAsia="Arial" w:hAnsi="Arial"/>
                  <w:sz w:val="16"/>
                  <w:szCs w:val="16"/>
                  <w:color w:val="0000FF"/>
                  <w:w w:val="98"/>
                </w:rPr>
                <w:t>Incorporation of Acuity Brands, Inc., dated as of January</w:t>
              </w:r>
            </w:hyperlink>
          </w:p>
        </w:tc>
        <w:tc>
          <w:tcPr>
            <w:tcW w:w="320" w:type="dxa"/>
            <w:vAlign w:val="bottom"/>
            <w:tcBorders>
              <w:bottom w:val="single" w:sz="8" w:color="0000FF"/>
            </w:tcBorders>
            <w:gridSpan w:val="10"/>
          </w:tcPr>
          <w:p>
            <w:pPr>
              <w:jc w:val="right"/>
              <w:ind w:right="40"/>
              <w:spacing w:after="0" w:line="142" w:lineRule="exact"/>
              <w:rPr>
                <w:rFonts w:ascii="Arial" w:cs="Arial" w:eastAsia="Arial" w:hAnsi="Arial"/>
                <w:sz w:val="16"/>
                <w:szCs w:val="16"/>
                <w:color w:val="0000FF"/>
              </w:rPr>
            </w:pPr>
            <w:hyperlink w:anchor="page37">
              <w:r>
                <w:rPr>
                  <w:rFonts w:ascii="Arial" w:cs="Arial" w:eastAsia="Arial" w:hAnsi="Arial"/>
                  <w:sz w:val="16"/>
                  <w:szCs w:val="16"/>
                  <w:color w:val="0000FF"/>
                </w:rPr>
                <w:t>7,</w:t>
              </w:r>
            </w:hyperlink>
          </w:p>
        </w:tc>
        <w:tc>
          <w:tcPr>
            <w:tcW w:w="40" w:type="dxa"/>
            <w:vAlign w:val="bottom"/>
            <w:gridSpan w:val="2"/>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Borders>
              <w:bottom w:val="single" w:sz="8" w:color="0000FF"/>
            </w:tcBorders>
            <w:gridSpan w:val="2"/>
          </w:tcPr>
          <w:p>
            <w:pPr>
              <w:spacing w:after="0" w:line="142" w:lineRule="exact"/>
              <w:rPr>
                <w:rFonts w:ascii="Arial" w:cs="Arial" w:eastAsia="Arial" w:hAnsi="Arial"/>
                <w:sz w:val="16"/>
                <w:szCs w:val="16"/>
                <w:color w:val="0000FF"/>
                <w:w w:val="99"/>
              </w:rPr>
            </w:pPr>
            <w:hyperlink w:anchor="page37">
              <w:r>
                <w:rPr>
                  <w:rFonts w:ascii="Arial" w:cs="Arial" w:eastAsia="Arial" w:hAnsi="Arial"/>
                  <w:sz w:val="16"/>
                  <w:szCs w:val="16"/>
                  <w:color w:val="0000FF"/>
                  <w:w w:val="99"/>
                </w:rPr>
                <w:t>2021.</w:t>
              </w:r>
            </w:hyperlink>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(e)</w:t>
            </w:r>
          </w:p>
        </w:tc>
        <w:tc>
          <w:tcPr>
            <w:tcW w:w="4360" w:type="dxa"/>
            <w:vAlign w:val="bottom"/>
            <w:tcBorders>
              <w:bottom w:val="single" w:sz="8" w:color="0000FF"/>
            </w:tcBorders>
            <w:gridSpan w:val="32"/>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Amended and Restated Bylaws of Acuity Brands, Inc., dated</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as of January 7, 2021.</w:t>
              </w:r>
            </w:hyperlink>
          </w:p>
        </w:tc>
        <w:tc>
          <w:tcPr>
            <w:tcW w:w="2740" w:type="dxa"/>
            <w:vAlign w:val="bottom"/>
            <w:gridSpan w:val="2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20"/>
                <w:szCs w:val="20"/>
                <w:color w:val="auto"/>
              </w:rPr>
            </w:pPr>
            <w:r>
              <w:rPr>
                <w:rFonts w:ascii="Arial" w:cs="Arial" w:eastAsia="Arial" w:hAnsi="Arial"/>
                <w:sz w:val="16"/>
                <w:szCs w:val="16"/>
                <w:color w:val="auto"/>
              </w:rPr>
              <w:t>EXHIBIT 4</w:t>
            </w:r>
          </w:p>
        </w:tc>
        <w:tc>
          <w:tcPr>
            <w:tcW w:w="1020" w:type="dxa"/>
            <w:vAlign w:val="bottom"/>
          </w:tcPr>
          <w:p>
            <w:pPr>
              <w:ind w:left="420"/>
              <w:spacing w:after="0"/>
              <w:rPr>
                <w:sz w:val="20"/>
                <w:szCs w:val="20"/>
                <w:color w:val="auto"/>
              </w:rPr>
            </w:pPr>
            <w:r>
              <w:rPr>
                <w:rFonts w:ascii="Arial" w:cs="Arial" w:eastAsia="Arial" w:hAnsi="Arial"/>
                <w:sz w:val="16"/>
                <w:szCs w:val="16"/>
                <w:color w:val="auto"/>
              </w:rPr>
              <w:t>(a)</w:t>
            </w:r>
          </w:p>
        </w:tc>
        <w:tc>
          <w:tcPr>
            <w:tcW w:w="4360" w:type="dxa"/>
            <w:vAlign w:val="bottom"/>
            <w:gridSpan w:val="32"/>
          </w:tcPr>
          <w:p>
            <w:pPr>
              <w:spacing w:after="0"/>
              <w:rPr>
                <w:rFonts w:ascii="Arial" w:cs="Arial" w:eastAsia="Arial" w:hAnsi="Arial"/>
                <w:sz w:val="16"/>
                <w:szCs w:val="16"/>
                <w:color w:val="0000FF"/>
              </w:rPr>
            </w:pPr>
            <w:hyperlink r:id="rId66">
              <w:r>
                <w:rPr>
                  <w:rFonts w:ascii="Arial" w:cs="Arial" w:eastAsia="Arial" w:hAnsi="Arial"/>
                  <w:sz w:val="16"/>
                  <w:szCs w:val="16"/>
                  <w:color w:val="0000FF"/>
                </w:rPr>
                <w:t>Indenture, dated as of November 10, 2020, between Acuity</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Brands Lighting, Inc. and U.S. Bank National Association,</w:t>
              </w:r>
            </w:hyperlink>
          </w:p>
        </w:tc>
        <w:tc>
          <w:tcPr>
            <w:tcW w:w="40" w:type="dxa"/>
            <w:vAlign w:val="bottom"/>
            <w:gridSpan w:val="2"/>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as trustee.</w:t>
              </w:r>
            </w:hyperlink>
          </w:p>
        </w:tc>
        <w:tc>
          <w:tcPr>
            <w:tcW w:w="33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(b)</w:t>
            </w:r>
          </w:p>
        </w:tc>
        <w:tc>
          <w:tcPr>
            <w:tcW w:w="4360" w:type="dxa"/>
            <w:vAlign w:val="bottom"/>
            <w:gridSpan w:val="32"/>
          </w:tcPr>
          <w:p>
            <w:pPr>
              <w:spacing w:after="0"/>
              <w:rPr>
                <w:rFonts w:ascii="Arial" w:cs="Arial" w:eastAsia="Arial" w:hAnsi="Arial"/>
                <w:sz w:val="16"/>
                <w:szCs w:val="16"/>
                <w:color w:val="0000FF"/>
              </w:rPr>
            </w:pPr>
            <w:hyperlink r:id="rId67">
              <w:r>
                <w:rPr>
                  <w:rFonts w:ascii="Arial" w:cs="Arial" w:eastAsia="Arial" w:hAnsi="Arial"/>
                  <w:sz w:val="16"/>
                  <w:szCs w:val="16"/>
                  <w:color w:val="0000FF"/>
                </w:rPr>
                <w:t>First Supplemental Indenture, dated as of November 10,</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9"/>
              </w:rPr>
            </w:pPr>
            <w:hyperlink r:id="rId67">
              <w:r>
                <w:rPr>
                  <w:rFonts w:ascii="Arial" w:cs="Arial" w:eastAsia="Arial" w:hAnsi="Arial"/>
                  <w:sz w:val="16"/>
                  <w:szCs w:val="16"/>
                  <w:color w:val="0000FF"/>
                  <w:w w:val="99"/>
                </w:rPr>
                <w:t>2020, among Acuity Brands Lighting, Inc., Acuity Brands,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00" w:type="dxa"/>
            <w:vAlign w:val="bottom"/>
            <w:gridSpan w:val="19"/>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Inc. and ABL IP Holding, LLC, and U.S. Bank National</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Association, as trustee.</w:t>
              </w:r>
            </w:hyperlink>
          </w:p>
        </w:tc>
        <w:tc>
          <w:tcPr>
            <w:tcW w:w="18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(c)</w:t>
            </w:r>
          </w:p>
        </w:tc>
        <w:tc>
          <w:tcPr>
            <w:tcW w:w="4360" w:type="dxa"/>
            <w:vAlign w:val="bottom"/>
            <w:gridSpan w:val="32"/>
          </w:tcPr>
          <w:p>
            <w:pPr>
              <w:spacing w:after="0"/>
              <w:rPr>
                <w:rFonts w:ascii="Arial" w:cs="Arial" w:eastAsia="Arial" w:hAnsi="Arial"/>
                <w:sz w:val="16"/>
                <w:szCs w:val="16"/>
                <w:color w:val="0000FF"/>
              </w:rPr>
            </w:pPr>
            <w:hyperlink r:id="rId68">
              <w:r>
                <w:rPr>
                  <w:rFonts w:ascii="Arial" w:cs="Arial" w:eastAsia="Arial" w:hAnsi="Arial"/>
                  <w:sz w:val="16"/>
                  <w:szCs w:val="16"/>
                  <w:color w:val="0000FF"/>
                </w:rPr>
                <w:t>Officer’s Certificate, dated as of November 10, 2020,</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pursuant to Sections 3.01 and 3.03 of the Indenture,</w:t>
              </w:r>
            </w:hyperlink>
          </w:p>
        </w:tc>
        <w:tc>
          <w:tcPr>
            <w:tcW w:w="580" w:type="dxa"/>
            <w:vAlign w:val="bottom"/>
            <w:gridSpan w:val="19"/>
          </w:tcPr>
          <w:p>
            <w:pPr>
              <w:jc w:val="right"/>
              <w:ind w:right="160"/>
              <w:spacing w:after="0" w:line="142" w:lineRule="exact"/>
              <w:rPr>
                <w:rFonts w:ascii="Arial" w:cs="Arial" w:eastAsia="Arial" w:hAnsi="Arial"/>
                <w:sz w:val="16"/>
                <w:szCs w:val="16"/>
                <w:color w:val="0000FF"/>
                <w:w w:val="99"/>
              </w:rPr>
            </w:pPr>
            <w:hyperlink r:id="rId68">
              <w:r>
                <w:rPr>
                  <w:rFonts w:ascii="Arial" w:cs="Arial" w:eastAsia="Arial" w:hAnsi="Arial"/>
                  <w:sz w:val="16"/>
                  <w:szCs w:val="16"/>
                  <w:color w:val="0000FF"/>
                  <w:w w:val="99"/>
                </w:rPr>
                <w:t>dated</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November 10, 2020, setting forth the terms of the 2.150%</w:t>
              </w:r>
            </w:hyperlink>
          </w:p>
        </w:tc>
        <w:tc>
          <w:tcPr>
            <w:tcW w:w="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40" w:type="dxa"/>
            <w:vAlign w:val="bottom"/>
            <w:tcBorders>
              <w:bottom w:val="single" w:sz="8" w:color="0000FF"/>
            </w:tcBorders>
            <w:gridSpan w:val="31"/>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 xml:space="preserve">Senior Notes due 2030. </w:t>
              </w:r>
            </w:hyperlink>
            <w:hyperlink r:id="rId69">
              <w:r>
                <w:rPr>
                  <w:rFonts w:ascii="Arial" w:cs="Arial" w:eastAsia="Arial" w:hAnsi="Arial"/>
                  <w:sz w:val="16"/>
                  <w:szCs w:val="16"/>
                  <w:color w:val="0000FF"/>
                </w:rPr>
                <w:t>the 2.150% Senior Notes due 2030.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(d)</w:t>
            </w:r>
          </w:p>
        </w:tc>
        <w:tc>
          <w:tcPr>
            <w:tcW w:w="4360" w:type="dxa"/>
            <w:vAlign w:val="bottom"/>
            <w:gridSpan w:val="32"/>
          </w:tcPr>
          <w:p>
            <w:pPr>
              <w:spacing w:after="0"/>
              <w:rPr>
                <w:rFonts w:ascii="Arial" w:cs="Arial" w:eastAsia="Arial" w:hAnsi="Arial"/>
                <w:sz w:val="16"/>
                <w:szCs w:val="16"/>
                <w:color w:val="0000FF"/>
              </w:rPr>
            </w:pPr>
            <w:hyperlink r:id="rId68">
              <w:r>
                <w:rPr>
                  <w:rFonts w:ascii="Arial" w:cs="Arial" w:eastAsia="Arial" w:hAnsi="Arial"/>
                  <w:sz w:val="16"/>
                  <w:szCs w:val="16"/>
                  <w:color w:val="0000FF"/>
                </w:rPr>
                <w:t>Form of 2.150% Senior Notes due 2030 (included in Exhibit</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8">
              <w:r>
                <w:rPr>
                  <w:rFonts w:ascii="Arial" w:cs="Arial" w:eastAsia="Arial" w:hAnsi="Arial"/>
                  <w:sz w:val="16"/>
                  <w:szCs w:val="16"/>
                  <w:color w:val="0000FF"/>
                  <w:w w:val="99"/>
                </w:rPr>
                <w:t>4.</w:t>
              </w:r>
              <w:r>
                <w:rPr>
                  <w:rFonts w:ascii="Arial" w:cs="Arial" w:eastAsia="Arial" w:hAnsi="Arial"/>
                  <w:sz w:val="16"/>
                  <w:szCs w:val="16"/>
                  <w:u w:val="single" w:color="auto"/>
                  <w:color w:val="0000FF"/>
                  <w:w w:val="99"/>
                </w:rPr>
                <w:t>3)</w:t>
              </w:r>
              <w:r>
                <w:rPr>
                  <w:rFonts w:ascii="Arial" w:cs="Arial" w:eastAsia="Arial" w:hAnsi="Arial"/>
                  <w:sz w:val="16"/>
                  <w:szCs w:val="16"/>
                  <w:color w:val="0000FF"/>
                  <w:w w:val="99"/>
                </w:rPr>
                <w:t>.</w:t>
              </w:r>
            </w:hyperlink>
          </w:p>
        </w:tc>
        <w:tc>
          <w:tcPr>
            <w:tcW w:w="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0"/>
                <w:szCs w:val="20"/>
                <w:color w:val="auto"/>
              </w:rPr>
            </w:pPr>
            <w:r>
              <w:rPr>
                <w:rFonts w:ascii="Arial" w:cs="Arial" w:eastAsia="Arial" w:hAnsi="Arial"/>
                <w:sz w:val="16"/>
                <w:szCs w:val="16"/>
                <w:color w:val="auto"/>
              </w:rPr>
              <w:t>EXHIBIT 10</w:t>
            </w:r>
          </w:p>
        </w:tc>
        <w:tc>
          <w:tcPr>
            <w:tcW w:w="1020" w:type="dxa"/>
            <w:vAlign w:val="bottom"/>
          </w:tcPr>
          <w:p>
            <w:pPr>
              <w:ind w:left="420"/>
              <w:spacing w:after="0"/>
              <w:rPr>
                <w:sz w:val="20"/>
                <w:szCs w:val="20"/>
                <w:color w:val="auto"/>
              </w:rPr>
            </w:pPr>
            <w:r>
              <w:rPr>
                <w:rFonts w:ascii="Arial" w:cs="Arial" w:eastAsia="Arial" w:hAnsi="Arial"/>
                <w:sz w:val="16"/>
                <w:szCs w:val="16"/>
                <w:color w:val="auto"/>
              </w:rPr>
              <w:t>(a)</w:t>
            </w:r>
          </w:p>
        </w:tc>
        <w:tc>
          <w:tcPr>
            <w:tcW w:w="4360" w:type="dxa"/>
            <w:vAlign w:val="bottom"/>
            <w:gridSpan w:val="32"/>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Amendment No. 1 to Acuity Brands, Inc. 2002 Supplemental</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w:anchor="page62">
              <w:r>
                <w:rPr>
                  <w:rFonts w:ascii="Arial" w:cs="Arial" w:eastAsia="Arial" w:hAnsi="Arial"/>
                  <w:sz w:val="16"/>
                  <w:szCs w:val="16"/>
                  <w:color w:val="0000FF"/>
                </w:rPr>
                <w:t>Executive Retirement Plan.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(b)</w:t>
            </w:r>
          </w:p>
        </w:tc>
        <w:tc>
          <w:tcPr>
            <w:tcW w:w="4360" w:type="dxa"/>
            <w:vAlign w:val="bottom"/>
            <w:gridSpan w:val="3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Amendment No. 3 to Acuity Brands Lighting, Inc. Severance</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w:anchor="page63">
              <w:r>
                <w:rPr>
                  <w:rFonts w:ascii="Arial" w:cs="Arial" w:eastAsia="Arial" w:hAnsi="Arial"/>
                  <w:sz w:val="16"/>
                  <w:szCs w:val="16"/>
                  <w:color w:val="0000FF"/>
                </w:rPr>
                <w:t>Agreement between Acuity Brands Lighting, Inc. and Karen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w:anchor="page63">
              <w:r>
                <w:rPr>
                  <w:rFonts w:ascii="Arial" w:cs="Arial" w:eastAsia="Arial" w:hAnsi="Arial"/>
                  <w:sz w:val="16"/>
                  <w:szCs w:val="16"/>
                  <w:color w:val="0000FF"/>
                </w:rPr>
                <w:t>J. Holcom.</w:t>
              </w:r>
            </w:hyperlink>
          </w:p>
        </w:tc>
        <w:tc>
          <w:tcPr>
            <w:tcW w:w="3520" w:type="dxa"/>
            <w:vAlign w:val="bottom"/>
            <w:tcBorders>
              <w:top w:val="single" w:sz="8" w:color="0000FF"/>
            </w:tcBorders>
            <w:gridSpan w:val="24"/>
          </w:tcPr>
          <w:p>
            <w:pPr>
              <w:spacing w:after="0"/>
              <w:rPr>
                <w:sz w:val="12"/>
                <w:szCs w:val="12"/>
                <w:color w:val="auto"/>
              </w:rPr>
            </w:pPr>
          </w:p>
        </w:tc>
        <w:tc>
          <w:tcPr>
            <w:tcW w:w="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(c)</w:t>
            </w:r>
          </w:p>
        </w:tc>
        <w:tc>
          <w:tcPr>
            <w:tcW w:w="4360" w:type="dxa"/>
            <w:vAlign w:val="bottom"/>
            <w:gridSpan w:val="32"/>
            <w:vMerge w:val="restart"/>
          </w:tcPr>
          <w:p>
            <w:pPr>
              <w:spacing w:after="0"/>
              <w:rPr>
                <w:rFonts w:ascii="Arial" w:cs="Arial" w:eastAsia="Arial" w:hAnsi="Arial"/>
                <w:sz w:val="16"/>
                <w:szCs w:val="16"/>
                <w:color w:val="0000FF"/>
              </w:rPr>
            </w:pPr>
            <w:hyperlink w:anchor="page64">
              <w:r>
                <w:rPr>
                  <w:rFonts w:ascii="Arial" w:cs="Arial" w:eastAsia="Arial" w:hAnsi="Arial"/>
                  <w:sz w:val="16"/>
                  <w:szCs w:val="16"/>
                  <w:u w:val="single" w:color="auto"/>
                  <w:color w:val="0000FF"/>
                </w:rPr>
                <w:t>Acuity Brands, Inc.</w:t>
              </w:r>
              <w:r>
                <w:rPr>
                  <w:rFonts w:ascii="Arial" w:cs="Arial" w:eastAsia="Arial" w:hAnsi="Arial"/>
                  <w:sz w:val="16"/>
                  <w:szCs w:val="16"/>
                  <w:color w:val="0000FF"/>
                </w:rPr>
                <w:t xml:space="preserve"> Amended and Restated 2012 Omnibus</w:t>
              </w:r>
            </w:hyperlink>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360" w:type="dxa"/>
            <w:vAlign w:val="bottom"/>
            <w:gridSpan w:val="3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gridSpan w:val="5"/>
          </w:tcPr>
          <w:p>
            <w:pPr>
              <w:spacing w:after="0" w:line="144" w:lineRule="exact"/>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Stock Incentive</w:t>
              </w:r>
            </w:hyperlink>
          </w:p>
        </w:tc>
        <w:tc>
          <w:tcPr>
            <w:tcW w:w="2880" w:type="dxa"/>
            <w:vAlign w:val="bottom"/>
            <w:tcBorders>
              <w:top w:val="single" w:sz="8" w:color="0000FF"/>
            </w:tcBorders>
            <w:gridSpan w:val="20"/>
          </w:tcPr>
          <w:p>
            <w:pPr>
              <w:jc w:val="right"/>
              <w:ind w:right="180"/>
              <w:spacing w:after="0" w:line="144" w:lineRule="exact"/>
              <w:rPr>
                <w:rFonts w:ascii="Arial" w:cs="Arial" w:eastAsia="Arial" w:hAnsi="Arial"/>
                <w:sz w:val="16"/>
                <w:szCs w:val="16"/>
                <w:u w:val="single" w:color="auto"/>
                <w:color w:val="0000FF"/>
                <w:w w:val="93"/>
              </w:rPr>
            </w:pPr>
            <w:hyperlink w:anchor="page64">
              <w:r>
                <w:rPr>
                  <w:rFonts w:ascii="Arial" w:cs="Arial" w:eastAsia="Arial" w:hAnsi="Arial"/>
                  <w:sz w:val="16"/>
                  <w:szCs w:val="16"/>
                  <w:u w:val="single" w:color="auto"/>
                  <w:color w:val="0000FF"/>
                  <w:w w:val="93"/>
                </w:rPr>
                <w:t>Compensation Plan Global Performance</w:t>
              </w:r>
            </w:hyperlink>
          </w:p>
        </w:tc>
        <w:tc>
          <w:tcPr>
            <w:tcW w:w="6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360" w:type="dxa"/>
            <w:vAlign w:val="bottom"/>
            <w:gridSpan w:val="32"/>
          </w:tcPr>
          <w:p>
            <w:pPr>
              <w:spacing w:after="0" w:line="160" w:lineRule="exact"/>
              <w:rPr>
                <w:rFonts w:ascii="Arial" w:cs="Arial" w:eastAsia="Arial" w:hAnsi="Arial"/>
                <w:sz w:val="16"/>
                <w:szCs w:val="16"/>
                <w:color w:val="0000FF"/>
              </w:rPr>
            </w:pPr>
            <w:hyperlink w:anchor="page64">
              <w:r>
                <w:rPr>
                  <w:rFonts w:ascii="Arial" w:cs="Arial" w:eastAsia="Arial" w:hAnsi="Arial"/>
                  <w:sz w:val="16"/>
                  <w:szCs w:val="16"/>
                  <w:color w:val="0000FF"/>
                </w:rPr>
                <w:t>Unit Notification and Award Agreement.</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vMerge w:val="restart"/>
          </w:tcPr>
          <w:p>
            <w:pPr>
              <w:ind w:left="420"/>
              <w:spacing w:after="0"/>
              <w:rPr>
                <w:sz w:val="20"/>
                <w:szCs w:val="20"/>
                <w:color w:val="auto"/>
              </w:rPr>
            </w:pPr>
            <w:r>
              <w:rPr>
                <w:rFonts w:ascii="Arial" w:cs="Arial" w:eastAsia="Arial" w:hAnsi="Arial"/>
                <w:sz w:val="16"/>
                <w:szCs w:val="16"/>
                <w:color w:val="auto"/>
              </w:rPr>
              <w:t>(d)</w:t>
            </w: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360" w:type="dxa"/>
            <w:vAlign w:val="bottom"/>
            <w:gridSpan w:val="32"/>
            <w:vMerge w:val="restart"/>
          </w:tcPr>
          <w:p>
            <w:pPr>
              <w:spacing w:after="0"/>
              <w:rPr>
                <w:rFonts w:ascii="Arial" w:cs="Arial" w:eastAsia="Arial" w:hAnsi="Arial"/>
                <w:sz w:val="16"/>
                <w:szCs w:val="16"/>
                <w:color w:val="0000FF"/>
              </w:rPr>
            </w:pPr>
            <w:hyperlink w:anchor="page108">
              <w:r>
                <w:rPr>
                  <w:rFonts w:ascii="Arial" w:cs="Arial" w:eastAsia="Arial" w:hAnsi="Arial"/>
                  <w:sz w:val="16"/>
                  <w:szCs w:val="16"/>
                  <w:u w:val="single" w:color="auto"/>
                  <w:color w:val="0000FF"/>
                </w:rPr>
                <w:t>Acuity Brands, Inc.</w:t>
              </w:r>
              <w:r>
                <w:rPr>
                  <w:rFonts w:ascii="Arial" w:cs="Arial" w:eastAsia="Arial" w:hAnsi="Arial"/>
                  <w:sz w:val="16"/>
                  <w:szCs w:val="16"/>
                  <w:color w:val="0000FF"/>
                </w:rPr>
                <w:t xml:space="preserve"> Amended and Restated 2012 Omnibus</w:t>
              </w:r>
            </w:hyperlink>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360" w:type="dxa"/>
            <w:vAlign w:val="bottom"/>
            <w:gridSpan w:val="3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w:anchor="page108">
              <w:r>
                <w:rPr>
                  <w:rFonts w:ascii="Arial" w:cs="Arial" w:eastAsia="Arial" w:hAnsi="Arial"/>
                  <w:sz w:val="16"/>
                  <w:szCs w:val="16"/>
                  <w:color w:val="0000FF"/>
                </w:rPr>
                <w:t>Stock Incentive</w:t>
              </w:r>
            </w:hyperlink>
          </w:p>
        </w:tc>
        <w:tc>
          <w:tcPr>
            <w:tcW w:w="2880" w:type="dxa"/>
            <w:vAlign w:val="bottom"/>
            <w:tcBorders>
              <w:top w:val="single" w:sz="8" w:color="0000FF"/>
              <w:bottom w:val="single" w:sz="8" w:color="0000FF"/>
            </w:tcBorders>
            <w:gridSpan w:val="20"/>
          </w:tcPr>
          <w:p>
            <w:pPr>
              <w:jc w:val="right"/>
              <w:ind w:right="40"/>
              <w:spacing w:after="0" w:line="142" w:lineRule="exact"/>
              <w:rPr>
                <w:rFonts w:ascii="Arial" w:cs="Arial" w:eastAsia="Arial" w:hAnsi="Arial"/>
                <w:sz w:val="16"/>
                <w:szCs w:val="16"/>
                <w:color w:val="0000FF"/>
                <w:w w:val="90"/>
              </w:rPr>
            </w:pPr>
            <w:hyperlink w:anchor="page108">
              <w:r>
                <w:rPr>
                  <w:rFonts w:ascii="Arial" w:cs="Arial" w:eastAsia="Arial" w:hAnsi="Arial"/>
                  <w:sz w:val="16"/>
                  <w:szCs w:val="16"/>
                  <w:color w:val="0000FF"/>
                  <w:w w:val="90"/>
                </w:rPr>
                <w:t>Compensation Plan Global Restricted Stock</w:t>
              </w:r>
            </w:hyperlink>
          </w:p>
        </w:tc>
        <w:tc>
          <w:tcPr>
            <w:tcW w:w="60" w:type="dxa"/>
            <w:vAlign w:val="bottom"/>
            <w:tcBorders>
              <w:bottom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300" w:type="dxa"/>
            <w:vAlign w:val="bottom"/>
            <w:gridSpan w:val="29"/>
          </w:tcPr>
          <w:p>
            <w:pPr>
              <w:spacing w:after="0" w:line="142" w:lineRule="exact"/>
              <w:rPr>
                <w:rFonts w:ascii="Arial" w:cs="Arial" w:eastAsia="Arial" w:hAnsi="Arial"/>
                <w:sz w:val="16"/>
                <w:szCs w:val="16"/>
                <w:color w:val="0000FF"/>
              </w:rPr>
            </w:pPr>
            <w:hyperlink w:anchor="page108">
              <w:r>
                <w:rPr>
                  <w:rFonts w:ascii="Arial" w:cs="Arial" w:eastAsia="Arial" w:hAnsi="Arial"/>
                  <w:sz w:val="16"/>
                  <w:szCs w:val="16"/>
                  <w:color w:val="0000FF"/>
                </w:rPr>
                <w:t>Unit Notification and Award Agreement.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20"/>
                <w:szCs w:val="20"/>
                <w:color w:val="auto"/>
              </w:rPr>
            </w:pPr>
            <w:r>
              <w:rPr>
                <w:rFonts w:ascii="Arial" w:cs="Arial" w:eastAsia="Arial" w:hAnsi="Arial"/>
                <w:sz w:val="16"/>
                <w:szCs w:val="16"/>
                <w:color w:val="auto"/>
              </w:rPr>
              <w:t>EXHIBIT 22</w:t>
            </w:r>
          </w:p>
        </w:tc>
        <w:tc>
          <w:tcPr>
            <w:tcW w:w="1020" w:type="dxa"/>
            <w:vAlign w:val="bottom"/>
          </w:tcPr>
          <w:p>
            <w:pPr>
              <w:spacing w:after="0"/>
              <w:rPr>
                <w:sz w:val="17"/>
                <w:szCs w:val="17"/>
                <w:color w:val="auto"/>
              </w:rPr>
            </w:pPr>
          </w:p>
        </w:tc>
        <w:tc>
          <w:tcPr>
            <w:tcW w:w="4360" w:type="dxa"/>
            <w:vAlign w:val="bottom"/>
            <w:gridSpan w:val="32"/>
          </w:tcPr>
          <w:p>
            <w:pPr>
              <w:spacing w:after="0"/>
              <w:rPr>
                <w:rFonts w:ascii="Arial" w:cs="Arial" w:eastAsia="Arial" w:hAnsi="Arial"/>
                <w:sz w:val="16"/>
                <w:szCs w:val="16"/>
                <w:color w:val="0000FF"/>
              </w:rPr>
            </w:pPr>
            <w:hyperlink r:id="rId70">
              <w:r>
                <w:rPr>
                  <w:rFonts w:ascii="Arial" w:cs="Arial" w:eastAsia="Arial" w:hAnsi="Arial"/>
                  <w:sz w:val="16"/>
                  <w:szCs w:val="16"/>
                  <w:color w:val="0000FF"/>
                </w:rPr>
                <w:t>List of Guarantors and Subsidiary Issuers of Guaranteed</w:t>
              </w:r>
            </w:hyperlink>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Securities.</w:t>
              </w:r>
            </w:hyperlink>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40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0"/>
                <w:szCs w:val="20"/>
                <w:color w:val="auto"/>
              </w:rPr>
            </w:pPr>
            <w:r>
              <w:rPr>
                <w:rFonts w:ascii="Arial" w:cs="Arial" w:eastAsia="Arial" w:hAnsi="Arial"/>
                <w:sz w:val="16"/>
                <w:szCs w:val="16"/>
                <w:color w:val="auto"/>
              </w:rPr>
              <w:t>EXHIBIT 31</w:t>
            </w:r>
          </w:p>
        </w:tc>
        <w:tc>
          <w:tcPr>
            <w:tcW w:w="1020" w:type="dxa"/>
            <w:vAlign w:val="bottom"/>
          </w:tcPr>
          <w:p>
            <w:pPr>
              <w:ind w:left="420"/>
              <w:spacing w:after="0"/>
              <w:rPr>
                <w:sz w:val="20"/>
                <w:szCs w:val="20"/>
                <w:color w:val="auto"/>
              </w:rPr>
            </w:pPr>
            <w:r>
              <w:rPr>
                <w:rFonts w:ascii="Arial" w:cs="Arial" w:eastAsia="Arial" w:hAnsi="Arial"/>
                <w:sz w:val="16"/>
                <w:szCs w:val="16"/>
                <w:color w:val="auto"/>
              </w:rPr>
              <w:t>(a)</w:t>
            </w:r>
          </w:p>
        </w:tc>
        <w:tc>
          <w:tcPr>
            <w:tcW w:w="4360" w:type="dxa"/>
            <w:vAlign w:val="bottom"/>
            <w:gridSpan w:val="32"/>
          </w:tcPr>
          <w:p>
            <w:pPr>
              <w:spacing w:after="0"/>
              <w:rPr>
                <w:rFonts w:ascii="Arial" w:cs="Arial" w:eastAsia="Arial" w:hAnsi="Arial"/>
                <w:sz w:val="16"/>
                <w:szCs w:val="16"/>
                <w:color w:val="0000FF"/>
              </w:rPr>
            </w:pPr>
            <w:hyperlink w:anchor="page148">
              <w:r>
                <w:rPr>
                  <w:rFonts w:ascii="Arial" w:cs="Arial" w:eastAsia="Arial" w:hAnsi="Arial"/>
                  <w:sz w:val="16"/>
                  <w:szCs w:val="16"/>
                  <w:color w:val="0000FF"/>
                </w:rPr>
                <w:t>Certification of the Chief Executive Officer of the Company</w:t>
              </w:r>
            </w:hyperlink>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0" w:type="dxa"/>
            <w:vAlign w:val="bottom"/>
            <w:tcBorders>
              <w:top w:val="single" w:sz="8" w:color="0000FF"/>
            </w:tcBorders>
            <w:gridSpan w:val="23"/>
          </w:tcPr>
          <w:p>
            <w:pPr>
              <w:spacing w:after="0"/>
              <w:rPr>
                <w:rFonts w:ascii="Arial" w:cs="Arial" w:eastAsia="Arial" w:hAnsi="Arial"/>
                <w:sz w:val="16"/>
                <w:szCs w:val="16"/>
                <w:u w:val="single" w:color="auto"/>
                <w:color w:val="0000FF"/>
                <w:w w:val="98"/>
              </w:rPr>
            </w:pPr>
            <w:hyperlink w:anchor="page148">
              <w:r>
                <w:rPr>
                  <w:rFonts w:ascii="Arial" w:cs="Arial" w:eastAsia="Arial" w:hAnsi="Arial"/>
                  <w:sz w:val="16"/>
                  <w:szCs w:val="16"/>
                  <w:u w:val="single" w:color="auto"/>
                  <w:color w:val="0000FF"/>
                  <w:w w:val="98"/>
                </w:rPr>
                <w:t>pursuant to Section 302 of the Sarbanes-Oxley Act of 2002.</w:t>
              </w:r>
            </w:hyperlink>
          </w:p>
        </w:tc>
        <w:tc>
          <w:tcPr>
            <w:tcW w:w="1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020" w:type="dxa"/>
            <w:vAlign w:val="bottom"/>
          </w:tcPr>
          <w:p>
            <w:pPr>
              <w:ind w:left="420"/>
              <w:spacing w:after="0" w:line="170" w:lineRule="exact"/>
              <w:rPr>
                <w:sz w:val="20"/>
                <w:szCs w:val="20"/>
                <w:color w:val="auto"/>
              </w:rPr>
            </w:pPr>
            <w:r>
              <w:rPr>
                <w:rFonts w:ascii="Arial" w:cs="Arial" w:eastAsia="Arial" w:hAnsi="Arial"/>
                <w:sz w:val="16"/>
                <w:szCs w:val="16"/>
                <w:color w:val="auto"/>
              </w:rPr>
              <w:t>(b)</w:t>
            </w:r>
          </w:p>
        </w:tc>
        <w:tc>
          <w:tcPr>
            <w:tcW w:w="4160" w:type="dxa"/>
            <w:vAlign w:val="bottom"/>
            <w:tcBorders>
              <w:bottom w:val="single" w:sz="8" w:color="0000FF"/>
            </w:tcBorders>
            <w:gridSpan w:val="21"/>
          </w:tcPr>
          <w:p>
            <w:pPr>
              <w:spacing w:after="0" w:line="170" w:lineRule="exact"/>
              <w:rPr>
                <w:rFonts w:ascii="Arial" w:cs="Arial" w:eastAsia="Arial" w:hAnsi="Arial"/>
                <w:sz w:val="16"/>
                <w:szCs w:val="16"/>
                <w:color w:val="0000FF"/>
              </w:rPr>
            </w:pPr>
            <w:hyperlink w:anchor="page149">
              <w:r>
                <w:rPr>
                  <w:rFonts w:ascii="Arial" w:cs="Arial" w:eastAsia="Arial" w:hAnsi="Arial"/>
                  <w:sz w:val="16"/>
                  <w:szCs w:val="16"/>
                  <w:color w:val="0000FF"/>
                </w:rPr>
                <w:t>Certification of the Chief Financial Officer of the Company</w:t>
              </w:r>
            </w:hyperlink>
          </w:p>
        </w:tc>
        <w:tc>
          <w:tcPr>
            <w:tcW w:w="2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60" w:type="dxa"/>
            <w:vAlign w:val="bottom"/>
            <w:gridSpan w:val="32"/>
          </w:tcPr>
          <w:p>
            <w:pPr>
              <w:spacing w:after="0"/>
              <w:rPr>
                <w:rFonts w:ascii="Arial" w:cs="Arial" w:eastAsia="Arial" w:hAnsi="Arial"/>
                <w:sz w:val="16"/>
                <w:szCs w:val="16"/>
                <w:u w:val="single" w:color="auto"/>
                <w:color w:val="0000FF"/>
              </w:rPr>
            </w:pPr>
            <w:hyperlink w:anchor="page149">
              <w:r>
                <w:rPr>
                  <w:rFonts w:ascii="Arial" w:cs="Arial" w:eastAsia="Arial" w:hAnsi="Arial"/>
                  <w:sz w:val="16"/>
                  <w:szCs w:val="16"/>
                  <w:u w:val="single" w:color="auto"/>
                  <w:color w:val="0000FF"/>
                </w:rPr>
                <w:t>pursuant to Section 302 of the Sarbanes-Oxley Act of 2002.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4.1 of registrant's Form 8-K as filed with the Commission on November 10, 2020,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4.2 of registrant's Form 8-K as filed with the Commission on November 10, 2020, which is incorporated herein by reference.</w:t>
      </w:r>
    </w:p>
    <w:p>
      <w:pPr>
        <w:spacing w:after="0" w:line="185"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4.3 of registrant's Form 8-K as filed with the Commission on November 10, 2020, which is incorporated herein by reference.</w:t>
      </w:r>
    </w:p>
    <w:p>
      <w:pPr>
        <w:spacing w:after="0" w:line="185"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4.4 of registrant's Form 8-K as filed with the Commission on November 10, 2020,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318" w:lineRule="exact"/>
        <w:rPr>
          <w:sz w:val="20"/>
          <w:szCs w:val="20"/>
          <w:color w:val="auto"/>
        </w:rPr>
      </w:pPr>
    </w:p>
    <w:p>
      <w:pPr>
        <w:ind w:right="80"/>
        <w:spacing w:after="0" w:line="225" w:lineRule="auto"/>
        <w:rPr>
          <w:sz w:val="20"/>
          <w:szCs w:val="20"/>
          <w:color w:val="auto"/>
        </w:rPr>
      </w:pPr>
      <w:r>
        <w:rPr>
          <w:rFonts w:ascii="Arial" w:cs="Arial" w:eastAsia="Arial" w:hAnsi="Arial"/>
          <w:sz w:val="16"/>
          <w:szCs w:val="16"/>
          <w:color w:val="auto"/>
        </w:rPr>
        <w:t>Reference is made to Exhibit 22 of registrant's Form 10-K as filed with the Commission on October 23, 2020,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00" w:space="400"/>
            <w:col w:w="4080"/>
          </w:cols>
          <w:pgMar w:left="320" w:top="260" w:right="3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5"/>
          </w:tcPr>
          <w:p>
            <w:pPr>
              <w:spacing w:after="0"/>
              <w:rPr>
                <w:rFonts w:ascii="Arial" w:cs="Arial" w:eastAsia="Arial" w:hAnsi="Arial"/>
                <w:sz w:val="16"/>
                <w:szCs w:val="16"/>
                <w:color w:val="0000FF"/>
              </w:rPr>
            </w:pPr>
            <w:hyperlink w:anchor="page150">
              <w:r>
                <w:rPr>
                  <w:rFonts w:ascii="Arial" w:cs="Arial" w:eastAsia="Arial" w:hAnsi="Arial"/>
                  <w:sz w:val="16"/>
                  <w:szCs w:val="16"/>
                  <w:color w:val="0000FF"/>
                </w:rPr>
                <w:t>Certification of the Chief Executive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w:anchor="page150">
              <w:r>
                <w:rPr>
                  <w:rFonts w:ascii="Arial" w:cs="Arial" w:eastAsia="Arial" w:hAnsi="Arial"/>
                  <w:sz w:val="16"/>
                  <w:szCs w:val="16"/>
                  <w:color w:val="0000FF"/>
                </w:rPr>
                <w:t>pursuant to 18 U.S.C. Section 1350, as adopted pursuant</w:t>
              </w:r>
            </w:hyperlink>
          </w:p>
        </w:tc>
        <w:tc>
          <w:tcPr>
            <w:tcW w:w="140" w:type="dxa"/>
            <w:vAlign w:val="bottom"/>
            <w:gridSpan w:val="2"/>
          </w:tcPr>
          <w:p>
            <w:pPr>
              <w:jc w:val="right"/>
              <w:ind w:right="40"/>
              <w:spacing w:after="0" w:line="142" w:lineRule="exact"/>
              <w:rPr>
                <w:rFonts w:ascii="Arial" w:cs="Arial" w:eastAsia="Arial" w:hAnsi="Arial"/>
                <w:sz w:val="13"/>
                <w:szCs w:val="13"/>
                <w:color w:val="0000FF"/>
                <w:w w:val="73"/>
              </w:rPr>
            </w:pPr>
            <w:hyperlink w:anchor="page150">
              <w:r>
                <w:rPr>
                  <w:rFonts w:ascii="Arial" w:cs="Arial" w:eastAsia="Arial" w:hAnsi="Arial"/>
                  <w:sz w:val="13"/>
                  <w:szCs w:val="13"/>
                  <w:color w:val="0000FF"/>
                  <w:w w:val="73"/>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150">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5"/>
          </w:tcPr>
          <w:p>
            <w:pPr>
              <w:spacing w:after="0"/>
              <w:rPr>
                <w:rFonts w:ascii="Arial" w:cs="Arial" w:eastAsia="Arial" w:hAnsi="Arial"/>
                <w:sz w:val="16"/>
                <w:szCs w:val="16"/>
                <w:color w:val="0000FF"/>
              </w:rPr>
            </w:pPr>
            <w:hyperlink w:anchor="page151">
              <w:r>
                <w:rPr>
                  <w:rFonts w:ascii="Arial" w:cs="Arial" w:eastAsia="Arial" w:hAnsi="Arial"/>
                  <w:sz w:val="16"/>
                  <w:szCs w:val="16"/>
                  <w:color w:val="0000FF"/>
                </w:rPr>
                <w:t>Certification of the Chief Financial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w:anchor="page151">
              <w:r>
                <w:rPr>
                  <w:rFonts w:ascii="Arial" w:cs="Arial" w:eastAsia="Arial" w:hAnsi="Arial"/>
                  <w:sz w:val="16"/>
                  <w:szCs w:val="16"/>
                  <w:color w:val="0000FF"/>
                </w:rPr>
                <w:t>pursuant to 18 U.S.C. Section 1350, as adopted pursuant</w:t>
              </w:r>
            </w:hyperlink>
          </w:p>
        </w:tc>
        <w:tc>
          <w:tcPr>
            <w:tcW w:w="200" w:type="dxa"/>
            <w:vAlign w:val="bottom"/>
            <w:gridSpan w:val="3"/>
          </w:tcPr>
          <w:p>
            <w:pPr>
              <w:jc w:val="right"/>
              <w:ind w:right="40"/>
              <w:spacing w:after="0" w:line="142" w:lineRule="exact"/>
              <w:rPr>
                <w:rFonts w:ascii="Arial" w:cs="Arial" w:eastAsia="Arial" w:hAnsi="Arial"/>
                <w:sz w:val="16"/>
                <w:szCs w:val="16"/>
                <w:color w:val="0000FF"/>
              </w:rPr>
            </w:pPr>
            <w:hyperlink w:anchor="page151">
              <w:r>
                <w:rPr>
                  <w:rFonts w:ascii="Arial" w:cs="Arial" w:eastAsia="Arial" w:hAnsi="Arial"/>
                  <w:sz w:val="16"/>
                  <w:szCs w:val="16"/>
                  <w:color w:val="0000FF"/>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151">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3"/>
        </w:trPr>
        <w:tc>
          <w:tcPr>
            <w:tcW w:w="1340" w:type="dxa"/>
            <w:vAlign w:val="bottom"/>
          </w:tcPr>
          <w:p>
            <w:pPr>
              <w:spacing w:after="0"/>
              <w:rPr>
                <w:sz w:val="15"/>
                <w:szCs w:val="15"/>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.PRE</w:t>
            </w:r>
          </w:p>
        </w:tc>
        <w:tc>
          <w:tcPr>
            <w:tcW w:w="43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5"/>
          </w:tcPr>
          <w:p>
            <w:pPr>
              <w:spacing w:after="0"/>
              <w:rPr>
                <w:sz w:val="20"/>
                <w:szCs w:val="20"/>
                <w:color w:val="auto"/>
              </w:rPr>
            </w:pPr>
            <w:r>
              <w:rPr>
                <w:rFonts w:ascii="Arial" w:cs="Arial" w:eastAsia="Arial" w:hAnsi="Arial"/>
                <w:sz w:val="16"/>
                <w:szCs w:val="16"/>
                <w:color w:val="auto"/>
              </w:rPr>
              <w:t>Document.</w:t>
            </w:r>
          </w:p>
        </w:tc>
      </w:tr>
      <w:tr>
        <w:trPr>
          <w:trHeight w:val="183"/>
        </w:trPr>
        <w:tc>
          <w:tcPr>
            <w:tcW w:w="1340" w:type="dxa"/>
            <w:vAlign w:val="bottom"/>
          </w:tcPr>
          <w:p>
            <w:pPr>
              <w:spacing w:after="0"/>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5"/>
                <w:szCs w:val="15"/>
                <w:color w:val="auto"/>
              </w:rPr>
            </w:pPr>
          </w:p>
        </w:tc>
        <w:tc>
          <w:tcPr>
            <w:tcW w:w="434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5"/>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380"/>
        <w:spacing w:after="0" w:line="225"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72" w:lineRule="exact"/>
        <w:rPr>
          <w:sz w:val="20"/>
          <w:szCs w:val="20"/>
          <w:color w:val="auto"/>
        </w:rPr>
      </w:pPr>
    </w:p>
    <w:p>
      <w:pPr>
        <w:sectPr>
          <w:pgSz w:w="11900" w:h="16838" w:orient="portrait"/>
          <w:cols w:equalWidth="0" w:num="2">
            <w:col w:w="6700" w:space="400"/>
            <w:col w:w="3780"/>
          </w:cols>
          <w:pgMar w:left="320" w:top="26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260" w:right="6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ACUITY BRANDS, INC.</w:t>
      </w:r>
    </w:p>
    <w:p>
      <w:pPr>
        <w:spacing w:after="0" w:line="147"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January 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78"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January 7,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260"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CERTIFICATE OF AMENDMENT</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TO THE</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ACUITY BRANDS, INC.</w:t>
      </w:r>
    </w:p>
    <w:p>
      <w:pPr>
        <w:spacing w:after="0" w:line="200" w:lineRule="exact"/>
        <w:rPr>
          <w:sz w:val="20"/>
          <w:szCs w:val="20"/>
          <w:color w:val="auto"/>
        </w:rPr>
      </w:pP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Acuity Brands, Inc. (the “Corporation”), a corporation organized and existing under the General Corporation Law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(the “DGCL”), does hereby certify as follows:</w:t>
      </w:r>
    </w:p>
    <w:p>
      <w:pPr>
        <w:spacing w:after="0" w:line="117" w:lineRule="exact"/>
        <w:rPr>
          <w:sz w:val="20"/>
          <w:szCs w:val="20"/>
          <w:color w:val="auto"/>
        </w:rPr>
      </w:pPr>
    </w:p>
    <w:p>
      <w:pPr>
        <w:jc w:val="both"/>
        <w:ind w:left="500" w:hanging="330"/>
        <w:spacing w:after="0" w:line="253" w:lineRule="auto"/>
        <w:tabs>
          <w:tab w:leader="none" w:pos="4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Certificate of Amendment (the “Certificate of Amendment”) amends the provisions of the Corporation’s Restated Certificate of Incorporation filed with the Secretary of State of the State of Delaware on September 26, 2007, as amended by a Certificate of Amendment filed with the Secretary of State of the State of Delaware on September 26, 2007 and as further amended by a Certificate of Amendment filed with the Secretary of State of the State of Delaware on January 6, 2017 (as so amended, the “Certificate of Incorporation”).</w:t>
      </w:r>
    </w:p>
    <w:p>
      <w:pPr>
        <w:spacing w:after="0" w:line="97"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was duly adopted in accordance with the provisions of Section 242 of the DGCL.</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second paragraph of Article V of the Certificate of Incorporation is hereby amended and restated in its entirety as follows:</w:t>
      </w:r>
    </w:p>
    <w:p>
      <w:pPr>
        <w:spacing w:after="0" w:line="117"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color w:val="auto"/>
        </w:rPr>
        <w:t>Special meetings of stockholders of the Corporation may be called at any time by, but only by, the board of directors of the Corporation, or as otherwise provided in the by-laws of the Corporation, to be held at such date, time and place either within or without the State of Delaware as may be stated in the notice of the meeting.</w:t>
      </w:r>
    </w:p>
    <w:p>
      <w:pPr>
        <w:spacing w:after="0" w:line="94"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The third paragraph of Article V of the Certificate of Incorporation is hereby amended and restated in its entirety as follows:</w:t>
      </w:r>
    </w:p>
    <w:p>
      <w:pPr>
        <w:spacing w:after="0" w:line="117"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color w:val="auto"/>
        </w:rPr>
        <w:t>The board of directors of the Corporation is authorized to adopt, amend or repeal by-laws of the Corporation. No adoption, amendment or repeal of a by-law by action of stockholders shall be effective unless approved by the affirmative vote of the holders of not less than a majority of the voting power of all outstanding shares of Common Stock of the Corporation and all other outstanding shares of stock of the Corporation entitled to vote on such matter, with such outstanding shares of Common Stock and other stock considered for this purpose as a single class. Any vote of stockholders required by this Article V shall be in addition to any other vote of stockholders that may be required by law, this Certificate of Incorporation, the by-laws of the Corporation, any agreement with a national securities exchange or otherwise.</w:t>
      </w:r>
    </w:p>
    <w:p>
      <w:pPr>
        <w:spacing w:after="0" w:line="99"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color w:val="auto"/>
        </w:rPr>
        <w:t>5.</w:t>
        <w:tab/>
        <w:t>Article VII of the Certificate of Incorporation is hereby amended and restated in its entirety as follows:</w:t>
      </w:r>
    </w:p>
    <w:p>
      <w:pPr>
        <w:spacing w:after="0" w:line="117"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The number of directors of the Corporation shall be fixed only by resolutions of the board of directors of the Corporation from time to time. Subject to any provisions relating to directors elected by the holders of any series of Preferred Stock provided for or fixed pursuant to the provisions of Article IV hereof (the “Preferred Stock Directors”), all directors shall be elected for a one-year term expiring at the next annual meeting after their election. Subject to any provisions relating to Preferred Stock Directors, directors shall remain in office until the election and qualification of their respective successors in office or until their earlier death, resignation or removal.</w:t>
      </w:r>
    </w:p>
    <w:p>
      <w:pPr>
        <w:spacing w:after="0" w:line="97"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Vacancies and newly created directorships resulting from any increase in the authorized number of directors or from any other cause (other than vacancies and newly created directorships which the holders of any class or classes of stock or series thereof are expressly entitled by this Certificate of Incorporation to fill) shall be filled by, and only by, a majority of the directors then in office, although less than a quorum, or by the sole director (and not by stockholders). Any director elected in accordance with</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first sentence of this paragraph to (i) fill a newly created directorship resulting from any increase in the authorized number of directors or</w:t>
      </w:r>
    </w:p>
    <w:p>
      <w:pPr>
        <w:spacing w:after="0" w:line="9" w:lineRule="exact"/>
        <w:rPr>
          <w:sz w:val="20"/>
          <w:szCs w:val="20"/>
          <w:color w:val="auto"/>
        </w:rPr>
      </w:pPr>
    </w:p>
    <w:p>
      <w:pPr>
        <w:jc w:val="both"/>
        <w:ind w:firstLine="8"/>
        <w:spacing w:after="0" w:line="256"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fill a vacancy on the board of directors of the Corporation resulting from the death, resignation or removal of any director shall hold office for a term expiring at the next annual meeting of stockholders and shall remain in office until his or her successor shall be elected and qualified or until such director’s death, resignation or removal, whichever first occurs.</w:t>
      </w:r>
    </w:p>
    <w:p>
      <w:pPr>
        <w:spacing w:after="0" w:line="94"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color w:val="auto"/>
        </w:rPr>
        <w:t>Notwithstanding the foregoing, in the event that the holders of any class or series of Preferred Stock of the Corporation shall be entitled, voting separately as a class, to elect any directors of the Corporation, then the number of directors that may be elected by such holders voting separately as a class shall be in addition to the number fixed pursuant to a resolution of the board of directors of the Corporation. Except as otherwise provided in the terms of such class or series, (i) the terms of the directors elected by such holders voting separately as a class shall expire at the annual meeting of stockholders next succeeding their election without regard to the classification of other directors and (ii) any director or directors elected by such holders voting separately as a class may be removed, without cause, by the holders of a majority of the voting power of all outstanding shares of stock of the Corporation entitled to vote separately as a class in an election of such directors.</w:t>
      </w:r>
    </w:p>
    <w:p>
      <w:pPr>
        <w:spacing w:after="0" w:line="97"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Article XI of the Certificate of Incorporation is hereby amended and restated in its entirety as follows:</w:t>
      </w:r>
    </w:p>
    <w:p>
      <w:pPr>
        <w:spacing w:after="0" w:line="117"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color w:val="auto"/>
        </w:rPr>
        <w:t>No provision of Article V, Article VII, Article VIII or Article X or of this Article XI shall be amended, modified or repealed, and no provision inconsistent with any such provision shall become part of this Certificate of Incorporation, unless such matter is approved by the affirmative vote of the holders of not less than a majority of the voting power of all outstanding shares of Common Stock of the Corporation and all other outstanding shares of stock of the Corporation entitled to vote on such matter, with such outstanding shares of Common Stock and other stock considered for this purpose as a single class. Any vote of stockholders required by this Article XI shall be in addition to any other vote of the stockholders that may be required by law, this Certificate of Incorporation, the by-laws of the Corporation, any agreement with a national securities exchange or otherwise.</w:t>
      </w:r>
    </w:p>
    <w:p>
      <w:pPr>
        <w:spacing w:after="0" w:line="200" w:lineRule="exact"/>
        <w:rPr>
          <w:sz w:val="20"/>
          <w:szCs w:val="20"/>
          <w:color w:val="auto"/>
        </w:rPr>
      </w:pPr>
    </w:p>
    <w:p>
      <w:pPr>
        <w:spacing w:after="0" w:line="22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this 7</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2021.</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ACUITY BRANDS,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Barry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633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Barry R. Goldman</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Senior Vice President and General Counsel</w:t>
      </w:r>
    </w:p>
    <w:p>
      <w:pPr>
        <w:sectPr>
          <w:pgSz w:w="11900" w:h="16838" w:orient="portrait"/>
          <w:cols w:equalWidth="0" w:num="1">
            <w:col w:w="11240"/>
          </w:cols>
          <w:pgMar w:left="320" w:top="11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ACUITY BRANDS, INC.</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AMENDED AND RESTATED BY-LAWS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Amended and Restated as of January 7, 2021</w:t>
      </w:r>
    </w:p>
    <w:p>
      <w:pPr>
        <w:spacing w:after="0" w:line="19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ARTICLE I. -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 Proposals and Nominations.</w:t>
      </w:r>
    </w:p>
    <w:p>
      <w:pPr>
        <w:spacing w:after="0" w:line="171" w:lineRule="exact"/>
        <w:rPr>
          <w:sz w:val="20"/>
          <w:szCs w:val="20"/>
          <w:color w:val="auto"/>
        </w:rPr>
      </w:pPr>
    </w:p>
    <w:p>
      <w:pPr>
        <w:jc w:val="both"/>
        <w:ind w:firstLine="899"/>
        <w:spacing w:after="0" w:line="256" w:lineRule="auto"/>
        <w:tabs>
          <w:tab w:leader="none" w:pos="1286"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annual meeting of the stockholders, for (i) the election of directors to succeed those whose terms expire and (ii) the transaction of such other business, each as shall properly come before the meeting pursuant to the provisions of this Section 1, shall be held at such place, on such date, and at such time as the Board of Directors shall each year fix.</w:t>
      </w:r>
    </w:p>
    <w:p>
      <w:pPr>
        <w:spacing w:after="0" w:line="147"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Business at Annual Meetings of Stockholders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980" w:firstLine="324"/>
        <w:spacing w:after="0" w:line="250" w:lineRule="auto"/>
        <w:tabs>
          <w:tab w:leader="none" w:pos="1950" w:val="left"/>
        </w:tabs>
        <w:numPr>
          <w:ilvl w:val="2"/>
          <w:numId w:val="7"/>
        </w:numPr>
        <w:rPr>
          <w:rFonts w:ascii="Arial" w:cs="Arial" w:eastAsia="Arial" w:hAnsi="Arial"/>
          <w:sz w:val="18"/>
          <w:szCs w:val="18"/>
          <w:color w:val="auto"/>
        </w:rPr>
      </w:pPr>
      <w:r>
        <w:rPr>
          <w:rFonts w:ascii="Arial" w:cs="Arial" w:eastAsia="Arial" w:hAnsi="Arial"/>
          <w:sz w:val="18"/>
          <w:szCs w:val="18"/>
          <w:color w:val="auto"/>
        </w:rPr>
        <w:t>Only such business (other than nominations of persons for election to the Board of Directors, which must be made in compliance with and are governed exclusively by Section 1(c) and Section 9 of this Article I) shall be conducted at an annual meeting of the stockholders as shall have been brought before the meeting (A) specified in the notice of meeting (or any supplement thereto) given by or at the direction of the Board of Directors, (B) by or at the direction of the Board of Directors, or</w:t>
      </w:r>
    </w:p>
    <w:p>
      <w:pPr>
        <w:spacing w:after="0" w:line="1" w:lineRule="exact"/>
        <w:rPr>
          <w:rFonts w:ascii="Arial" w:cs="Arial" w:eastAsia="Arial" w:hAnsi="Arial"/>
          <w:sz w:val="18"/>
          <w:szCs w:val="18"/>
          <w:color w:val="auto"/>
        </w:rPr>
      </w:pPr>
    </w:p>
    <w:p>
      <w:pPr>
        <w:jc w:val="both"/>
        <w:ind w:left="980"/>
        <w:spacing w:after="0" w:line="253" w:lineRule="auto"/>
        <w:rPr>
          <w:rFonts w:ascii="Arial" w:cs="Arial" w:eastAsia="Arial" w:hAnsi="Arial"/>
          <w:sz w:val="18"/>
          <w:szCs w:val="18"/>
          <w:color w:val="auto"/>
        </w:rPr>
      </w:pPr>
      <w:r>
        <w:rPr>
          <w:rFonts w:ascii="Arial" w:cs="Arial" w:eastAsia="Arial" w:hAnsi="Arial"/>
          <w:sz w:val="18"/>
          <w:szCs w:val="18"/>
          <w:color w:val="auto"/>
        </w:rPr>
        <w:t>(C) by any stockholder of the Corporation who (1) was a stockholder of record at the time of giving of notice provided for in this Section 1(b) and at the time of the meeting, (2) is entitled to vote at the meeting and (3) complies with the notice procedures set forth in this Section 1(b). For the avoidance of doubt, the foregoing clause (C) shall be the exclusive means for a stockholder to propose such business (other than business included in the Corporation’s proxy materials pursuant to Rule 14a-8 under the Securities Exchange Act of 1934, as amended) before an annual meeting of stockholders.</w:t>
      </w:r>
    </w:p>
    <w:p>
      <w:pPr>
        <w:spacing w:after="0" w:line="151" w:lineRule="exact"/>
        <w:rPr>
          <w:rFonts w:ascii="Arial" w:cs="Arial" w:eastAsia="Arial" w:hAnsi="Arial"/>
          <w:sz w:val="18"/>
          <w:szCs w:val="18"/>
          <w:color w:val="auto"/>
        </w:rPr>
      </w:pPr>
    </w:p>
    <w:p>
      <w:pPr>
        <w:jc w:val="both"/>
        <w:ind w:left="980" w:firstLine="324"/>
        <w:spacing w:after="0" w:line="251" w:lineRule="auto"/>
        <w:tabs>
          <w:tab w:leader="none" w:pos="1949" w:val="left"/>
        </w:tabs>
        <w:numPr>
          <w:ilvl w:val="2"/>
          <w:numId w:val="7"/>
        </w:numPr>
        <w:rPr>
          <w:rFonts w:ascii="Arial" w:cs="Arial" w:eastAsia="Arial" w:hAnsi="Arial"/>
          <w:sz w:val="18"/>
          <w:szCs w:val="18"/>
          <w:color w:val="auto"/>
        </w:rPr>
      </w:pPr>
      <w:r>
        <w:rPr>
          <w:rFonts w:ascii="Arial" w:cs="Arial" w:eastAsia="Arial" w:hAnsi="Arial"/>
          <w:sz w:val="18"/>
          <w:szCs w:val="18"/>
          <w:color w:val="auto"/>
        </w:rPr>
        <w:t>For business (other than nominations of persons for election to the Board of Directors, which must be made in compliance with and are governed exclusively by Section 1(c) and Section 9 of this Article I) to be properly brought before an annual meeting by a stockholder, the stockholder must have given timely notice thereof in proper written form as described in Section 1(b)(iii) of this Article I to the Secretary of the Corporation and such business must otherwise be appropriate for stockholder action under the Delaware General Corporation Law. To be timely, a stockholder’s notice for such business must be delivered to the Secretary of the Corporation at the principal executive offices of the Corporation in proper written form not less than ninety (90) days and not more than one hundred twenty (120) days prior to the first anniversary of the preceding year’s annual meeting of stockholders; provided, however, that if and only if the annual meeting is not scheduled to be held within a period that commences thirty (30) days before such anniversary date and ends thirty (30) days after such anniversary date, such stockholder’s notice must be delivered by the later of (A) the tenth day following the day of the Public Announcement (as defined in Section 1(1) of this Article I) of the date of the annual meeting or (B) the date which is ninety (90) days prior to the date of the annual meeting. In no event shall any adjournment, deferral or postponement of an annual meeting or the announcement thereof commence a new time period for the giving of a stockholder’s notice as described above.</w:t>
      </w:r>
    </w:p>
    <w:p>
      <w:pPr>
        <w:spacing w:after="0" w:line="155" w:lineRule="exact"/>
        <w:rPr>
          <w:rFonts w:ascii="Arial" w:cs="Arial" w:eastAsia="Arial" w:hAnsi="Arial"/>
          <w:sz w:val="18"/>
          <w:szCs w:val="18"/>
          <w:color w:val="auto"/>
        </w:rPr>
      </w:pPr>
    </w:p>
    <w:p>
      <w:pPr>
        <w:jc w:val="both"/>
        <w:ind w:left="980" w:firstLine="324"/>
        <w:spacing w:after="0" w:line="253" w:lineRule="auto"/>
        <w:tabs>
          <w:tab w:leader="none" w:pos="1949"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of the Corporation shall set forth as to each matter of business the stockholder proposes to bring before a meeting (A) a brief description of the business desired to be brought before the meeting (including the specific text of any resolutions or actions proposed for consideration and if such business includes a proposal to amend the Corporation’s certificate of incorporation or these By-Laws, the specific language of the proposed amendment) and the reasons for conducting such business at the meeting, (B) the name and address of the</w:t>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1"/>
        <w:spacing w:after="0" w:line="251" w:lineRule="auto"/>
        <w:rPr>
          <w:sz w:val="20"/>
          <w:szCs w:val="20"/>
          <w:color w:val="auto"/>
        </w:rPr>
      </w:pPr>
      <w:r>
        <w:rPr>
          <w:rFonts w:ascii="Arial" w:cs="Arial" w:eastAsia="Arial" w:hAnsi="Arial"/>
          <w:sz w:val="18"/>
          <w:szCs w:val="18"/>
          <w:color w:val="auto"/>
        </w:rPr>
        <w:t>stockholder proposing such business, as they appear on the Corporation’s books, the residence name and address (if different from the Corporation’s books) of such proposing stockholder, and the name and address of any Stockholder Associated Person (as defined in Section l(f) of this Article I) covered by clauses (C), (D) and (F) below, (C) the class and number of shares of stock of the Corporation which are directly or indirectly held of record or beneficially owned by such stockholder or by any Stockholder Associated Person with respect to the Corporation’s securities, a description of any Derivative Positions (as defined in Section l(f) of this Article I) directly or indirectly held or beneficially held by the stockholder or any Stockholder Associated Person, and whether and the extent to which a Hedging Transaction (as defined in Section 1(f) of this Article I) has been entered into by or on behalf of such stockholder or any Stockholder Associated Person, (D) a description of all arrangements or understandings between such stockholder or any Stockholder Associated Person and any other person or entity (including their names) in connection with the proposal of such business by such stockholder and any material interest of such stockholder, any Stockholder Associated Person or such other person or entity in such business, (E) a representation that such stockholder intends to appear in person or by proxy at the meeting to bring such business before the meeting and (F) a representation as to whether such stockholder or any Stockholder Associated Person intends to deliver a proxy statement or form of proxy to holders of at least the percentage of the Corporation’s outstanding shares required to approve the proposal or otherwise to solicit proxies from stockholders in support of the proposal. In addition, any stockholder who submits a notice pursuant to this Section 1(b) is required to update and supplement the information disclosed in such notice, if necessary, in accordance with Section 1(d) of this Article I.</w:t>
      </w:r>
    </w:p>
    <w:p>
      <w:pPr>
        <w:spacing w:after="0" w:line="154" w:lineRule="exact"/>
        <w:rPr>
          <w:sz w:val="20"/>
          <w:szCs w:val="20"/>
          <w:color w:val="auto"/>
        </w:rPr>
      </w:pPr>
    </w:p>
    <w:p>
      <w:pPr>
        <w:jc w:val="both"/>
        <w:ind w:left="81" w:firstLine="324"/>
        <w:spacing w:after="0" w:line="252" w:lineRule="auto"/>
        <w:tabs>
          <w:tab w:leader="none" w:pos="104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(other than nominations of persons for election to the Board of Directors, which must be made in compliance with and are governed exclusively by Section 1(c) and Section 9 of this Article I) shall be conducted at an annual meeting except in accordance with the procedures set forth in this Section 1(b). At an annual meeting, the chairman of the meeting shall determine, if the facts warrant, that business was not properly brought before the meeting and in accordance with the provisions prescribed by these By-Laws, and if the chairman should so determine, the chairman shall so declare to the meeting, and any such business not properly brought before the meeting shall not be transacted.</w:t>
      </w:r>
    </w:p>
    <w:p>
      <w:pPr>
        <w:spacing w:after="0" w:line="152" w:lineRule="exact"/>
        <w:rPr>
          <w:rFonts w:ascii="Arial" w:cs="Arial" w:eastAsia="Arial" w:hAnsi="Arial"/>
          <w:sz w:val="18"/>
          <w:szCs w:val="18"/>
          <w:color w:val="auto"/>
        </w:rPr>
      </w:pPr>
    </w:p>
    <w:p>
      <w:pPr>
        <w:ind w:left="401" w:hanging="401"/>
        <w:spacing w:after="0"/>
        <w:tabs>
          <w:tab w:leader="none" w:pos="40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Nominations at Annual Meetings of Stockholders.</w:t>
      </w:r>
    </w:p>
    <w:p>
      <w:pPr>
        <w:spacing w:after="0" w:line="171" w:lineRule="exact"/>
        <w:rPr>
          <w:rFonts w:ascii="Arial" w:cs="Arial" w:eastAsia="Arial" w:hAnsi="Arial"/>
          <w:sz w:val="18"/>
          <w:szCs w:val="18"/>
          <w:color w:val="auto"/>
        </w:rPr>
      </w:pPr>
    </w:p>
    <w:p>
      <w:pPr>
        <w:ind w:left="81" w:firstLine="324"/>
        <w:spacing w:after="0" w:line="261" w:lineRule="auto"/>
        <w:tabs>
          <w:tab w:leader="none" w:pos="1051" w:val="left"/>
        </w:tabs>
        <w:numPr>
          <w:ilvl w:val="1"/>
          <w:numId w:val="9"/>
        </w:numPr>
        <w:rPr>
          <w:rFonts w:ascii="Arial" w:cs="Arial" w:eastAsia="Arial" w:hAnsi="Arial"/>
          <w:sz w:val="18"/>
          <w:szCs w:val="18"/>
          <w:color w:val="auto"/>
        </w:rPr>
      </w:pPr>
      <w:r>
        <w:rPr>
          <w:rFonts w:ascii="Arial" w:cs="Arial" w:eastAsia="Arial" w:hAnsi="Arial"/>
          <w:sz w:val="18"/>
          <w:szCs w:val="18"/>
          <w:color w:val="auto"/>
        </w:rPr>
        <w:t>Only persons who are nominated in accordance and compliance with the procedures set forth in this Section 1(c) or Section 9 of this Article I shall be eligible for election to the Board of Directors at an annual meeting of stockholders.</w:t>
      </w:r>
    </w:p>
    <w:p>
      <w:pPr>
        <w:spacing w:after="0" w:line="143" w:lineRule="exact"/>
        <w:rPr>
          <w:rFonts w:ascii="Arial" w:cs="Arial" w:eastAsia="Arial" w:hAnsi="Arial"/>
          <w:sz w:val="18"/>
          <w:szCs w:val="18"/>
          <w:color w:val="auto"/>
        </w:rPr>
      </w:pPr>
    </w:p>
    <w:p>
      <w:pPr>
        <w:jc w:val="both"/>
        <w:ind w:left="81" w:firstLine="324"/>
        <w:spacing w:after="0" w:line="251" w:lineRule="auto"/>
        <w:tabs>
          <w:tab w:leader="none" w:pos="105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may be made at an annual meeting of stockholders only (A) by or at the direction of the Board of Directors, (B) by any stockholder of the Corporation who (1) was a stockholder of record at the time of giving of notice provided for in this Section 1(c)(ii) and at the time of the meeting, (2) is entitled to vote at the meeting and (3) complies with the notice procedures set forth in this Section 1(c)(ii), or (C) by any stockholder of the Corporation pursuant to Section 9 of Article I of these Bylaws. Clause (B) of this Section 1(c)(ii) shall be the exclusive means for a stockholder to make nominations of persons for election to the Board of Directors (other than nominations included in the Corporation’s proxy materials pursuant to Section 9 of this Article I) at an annual meeting of stockholders. Any nominations by stockholders at an annual meeting of stockholders shall be made pursuant to timely notice in proper written form as described in Section 1(c)(iii) of this Article I to the Secretary of the Corporation. To be timely, a stockholder’s notice for the nomination of persons for election to the Board of Directors pursuant to this Section 1(c) must be delivered to the Secretary of the Corporation at the principal executive offices of the Corporation in proper written form not less than ninety (90)</w:t>
      </w:r>
    </w:p>
    <w:p>
      <w:pPr>
        <w:sectPr>
          <w:pgSz w:w="11900" w:h="16838" w:orient="portrait"/>
          <w:cols w:equalWidth="0" w:num="1">
            <w:col w:w="10341"/>
          </w:cols>
          <w:pgMar w:left="1219"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days and not more than one hundred twenty (120) days prior to the first anniversary of the preceding year’s annual meeting of stockholders; provided, however, that if and only if the annual meeting is not scheduled to be held within a period that commences thirty (30) days before such anniversary date and ends thirty (30) days after such anniversary date, such stockholder’s notice must be delivered by the later of (C) the tenth day following the day of the Public Announcement of the date of the annual meeting or (D) the date which is ninety (90) days prior to the date of the annual meeting. In no event shall any adjournment, deferral or postponement of an annual meeting or the announcement thereof commence a new time period for the giving of a stockholder’s notice as described above.</w:t>
      </w:r>
    </w:p>
    <w:p>
      <w:pPr>
        <w:spacing w:after="0" w:line="153" w:lineRule="exact"/>
        <w:rPr>
          <w:sz w:val="20"/>
          <w:szCs w:val="20"/>
          <w:color w:val="auto"/>
        </w:rPr>
      </w:pPr>
    </w:p>
    <w:p>
      <w:pPr>
        <w:jc w:val="both"/>
        <w:ind w:firstLine="324"/>
        <w:spacing w:after="0" w:line="250" w:lineRule="auto"/>
        <w:tabs>
          <w:tab w:leader="none" w:pos="9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for nomination of persons for election to the Board of Directors shall set forth (A) as to each person whom the stockholder proposes to nominate for election or re-election as a director of the Corporation, (1) the name, age, business address and residence address of the person, (2) the principal occupation or employment of the person, (3) the class or series and number of shares of capital stock of the Corporation which are directly or indirectly owned beneficially or of record by the person, (4) the date such shares were acquired and the investment intent of such acquisition and (5) any other information relating to the person that would be required to be disclosed in a proxy statement or other filings required to be made in connection with solicitations of proxies for a contested election of directors (even if an election contest or proxy solicitation is not involved), or is otherwise required, pursuant to Section 14 of the Securities Exchange Act of 1934, as amended, and the rules and regulations promulgated thereunder (including such person’s written consent to being named in the proxy statement as a nominee, if applicable, and to serving if elected); and (B) as to the stockholder giving the notice (1) the name and address of such stockholder, as they appear on the Corporation’s books, the residence name and address (if different from the Corporation’s books) of such proposing stockholder, and the name and address of any Stockholder Associated Person covered by clauses (2), (3), (5) and (6) below, (2) the class and number of shares of stock of the Corporation which are directly or indirectly held of record or beneficially owned by such stockholder or by any Stockholder Associated Person with respect to the Corporation’s securities, a description of any Derivative Positions directly or indirectly held or beneficially held by the stockholder or any Stockholder Associated Person, and whether and the extent to which a Hedging Transaction has been entered into by or on behalf of such stockholder or any Stockholder Associated Person, (3) a description of all arrangements or understandings (including financial transactions and direct or indirect compensation) between such stockholder or any Stockholder Associated Person and each proposed nominee and any other person or entity (including their names) pursuant to which the nomination(s) are to be made by such stockholder, (4) a representation that such stockholder intends to appear in person or by proxy at the meeting to nominate the persons named in its notice, (5) any other information relating to such stockholder or any Stockholder Associated Person that would be required to be disclosed in a proxy statement or other filings required to be made in connection with solicitations of proxies for a contested election of directors (even if an election contest or proxy solicitation is not involved), or otherwise required, pursuant to Section 14 of the Securities Exchange Act of 1934, as amended, and the rules and regulations promulgated thereunder, and (6) a representation as to whether such stockholder or any Stockholder Associated Person intends to deliver a proxy statement or form of proxy to the holders of a sufficient number of the Corporation’s outstanding shares to elect such nominee or otherwise to solicit proxies from stockholders in support of the nomination. In addition, any stockholder who submits a notice pursuant to this Section 1(c) is required to update and supplement the information disclosed in such notice, if necessary, in accordance with Section 1(d) of this Article I. At an annual meeting, the chairman of the meeting shall determine, if the facts warrant, that a nomination was not made in accordance with the procedures prescribed by these By-Laws, and if the chairman should so determine, the chairman shall so declare to the meeting, and the defective nomination shall be disregarded.</w:t>
      </w:r>
    </w:p>
    <w:p>
      <w:pPr>
        <w:sectPr>
          <w:pgSz w:w="11900" w:h="16838" w:orient="portrait"/>
          <w:cols w:equalWidth="0" w:num="1">
            <w:col w:w="10260"/>
          </w:cols>
          <w:pgMar w:left="130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80" w:firstLine="324"/>
        <w:spacing w:after="0" w:line="252" w:lineRule="auto"/>
        <w:tabs>
          <w:tab w:leader="none" w:pos="19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in the third sentence of Section 1(c)(ii) of this Article I to the contrary, if the number of directors to be elected to the Board of Directors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Section 1(c)(ii) of this Article I shall also be considered timely, but only with respect to nominees for any new positions created by such increase, if it shall be delivered to the Secretary of the Corporation at the principal executive offices of the Corporation not later than the close of business on the tenth day following the day on which such Public Announcement is first made by the Corporation.</w:t>
      </w:r>
    </w:p>
    <w:p>
      <w:pPr>
        <w:spacing w:after="0" w:line="152" w:lineRule="exact"/>
        <w:rPr>
          <w:rFonts w:ascii="Arial" w:cs="Arial" w:eastAsia="Arial" w:hAnsi="Arial"/>
          <w:sz w:val="18"/>
          <w:szCs w:val="18"/>
          <w:color w:val="auto"/>
        </w:rPr>
      </w:pPr>
    </w:p>
    <w:p>
      <w:pPr>
        <w:jc w:val="both"/>
        <w:ind w:firstLine="899"/>
        <w:spacing w:after="0" w:line="251" w:lineRule="auto"/>
        <w:tabs>
          <w:tab w:leader="none" w:pos="1286"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Update and Supplement of Stockholder’s Notice.</w:t>
      </w:r>
      <w:r>
        <w:rPr>
          <w:rFonts w:ascii="Arial" w:cs="Arial" w:eastAsia="Arial" w:hAnsi="Arial"/>
          <w:sz w:val="18"/>
          <w:szCs w:val="18"/>
          <w:color w:val="auto"/>
        </w:rPr>
        <w:t xml:space="preserve"> Any stockholder who submits a notice of proposal for business or nomination for election pursuant to this Section 1 is required to update and supplement the information disclosed in such notice, if necessary, so that the information provided or required to be provided in such notice shall be true and correct as of the record date for the meeting of stockholders and as of the date that is twelve (12) days prior to such meeting of the stockholders or any adjournment or postponement thereof, and such update and supplement shall be delivered to the Secretary of the Corporation at the principal executive offices of the Corporation not later than seven (7) days after the record date for the meeting of stockholders (in the case of the update and supplement required to be made as of the record date), and not later than ten (10) days prior to the date for the meeting of stockholders or any adjournment or postponement thereof (in the case of the update and supplement required to be made as of twelve (12) days prior to the meeting of stockholders or any adjournment or postponement thereof).</w:t>
      </w:r>
    </w:p>
    <w:p>
      <w:pPr>
        <w:spacing w:after="0" w:line="157" w:lineRule="exact"/>
        <w:rPr>
          <w:rFonts w:ascii="Arial" w:cs="Arial" w:eastAsia="Arial" w:hAnsi="Arial"/>
          <w:sz w:val="18"/>
          <w:szCs w:val="18"/>
          <w:u w:val="single" w:color="auto"/>
          <w:color w:val="auto"/>
        </w:rPr>
      </w:pPr>
    </w:p>
    <w:p>
      <w:pPr>
        <w:jc w:val="both"/>
        <w:ind w:firstLine="899"/>
        <w:spacing w:after="0" w:line="252" w:lineRule="auto"/>
        <w:tabs>
          <w:tab w:leader="none" w:pos="1286"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Requirements of Exchange Act</w:t>
      </w:r>
      <w:r>
        <w:rPr>
          <w:rFonts w:ascii="Arial" w:cs="Arial" w:eastAsia="Arial" w:hAnsi="Arial"/>
          <w:sz w:val="18"/>
          <w:szCs w:val="18"/>
          <w:color w:val="auto"/>
        </w:rPr>
        <w:t>. In addition to the foregoing provisions of this Section 1, a stockholder shall also comply with all applicable requirements of the Securities Exchange Act of 1934, as amended, and the rules and regulations thereunder with respect to the matters set forth in these By-Laws; provided, however, that any references in these By-Laws to the Securities Exchange Act of 1934, as amended, or the rules and regulations promulgated thereunder are not intended to and shall not limit the requirements of these By-Laws applicable to proposals as to any other business to be considered pursuant to these By-Laws regardless of the stockholder’s intent to utilize Rule 14a-8 promulgated under the Securities Exchange Act of 1934, as amended. Nothing in this Section 1 shall be deemed to affect any rights of stockholders to request inclusion of proposals in the Corporation’s proxy statement pursuant to Rule 14a-8 promulgated under the Securities Exchange Act of 1934, as amended.</w:t>
      </w:r>
    </w:p>
    <w:p>
      <w:pPr>
        <w:spacing w:after="0" w:line="151" w:lineRule="exact"/>
        <w:rPr>
          <w:rFonts w:ascii="Arial" w:cs="Arial" w:eastAsia="Arial" w:hAnsi="Arial"/>
          <w:sz w:val="18"/>
          <w:szCs w:val="18"/>
          <w:u w:val="single" w:color="auto"/>
          <w:color w:val="auto"/>
        </w:rPr>
      </w:pPr>
    </w:p>
    <w:p>
      <w:pPr>
        <w:ind w:left="1300" w:hanging="401"/>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By-Laws, the term:</w:t>
      </w:r>
    </w:p>
    <w:p>
      <w:pPr>
        <w:spacing w:after="0" w:line="171" w:lineRule="exact"/>
        <w:rPr>
          <w:rFonts w:ascii="Arial" w:cs="Arial" w:eastAsia="Arial" w:hAnsi="Arial"/>
          <w:sz w:val="18"/>
          <w:szCs w:val="18"/>
          <w:color w:val="auto"/>
        </w:rPr>
      </w:pPr>
    </w:p>
    <w:p>
      <w:pPr>
        <w:jc w:val="both"/>
        <w:ind w:left="980" w:firstLine="324"/>
        <w:spacing w:after="0" w:line="252" w:lineRule="auto"/>
        <w:tabs>
          <w:tab w:leader="none" w:pos="19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“Derivative Positions” means, with respect to a stockholder or any Stockholder Associated Person, any derivative positions including, without limitation,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performance-related fees to which such stockholder or any Stockholder Associated Person is entitled based, directly or indirectly, on any increase or decrease in the value of shares of capital stock of the Corporation;</w:t>
      </w:r>
    </w:p>
    <w:p>
      <w:pPr>
        <w:spacing w:after="0" w:line="151" w:lineRule="exact"/>
        <w:rPr>
          <w:rFonts w:ascii="Arial" w:cs="Arial" w:eastAsia="Arial" w:hAnsi="Arial"/>
          <w:sz w:val="18"/>
          <w:szCs w:val="18"/>
          <w:color w:val="auto"/>
        </w:rPr>
      </w:pPr>
    </w:p>
    <w:p>
      <w:pPr>
        <w:jc w:val="both"/>
        <w:ind w:left="980" w:firstLine="324"/>
        <w:spacing w:after="0" w:line="254" w:lineRule="auto"/>
        <w:tabs>
          <w:tab w:leader="none" w:pos="19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“Hedging Transaction” means, with respect to a stockholder or any Stockholder Associated Person, any hedging or other transaction (such as borrowed or loaned shares) or series of transactions, or any other agreement, arrangement or understanding, the effect or intent of which is to increase or decrease the voting power of such stockholder or any Stockholder Associated Person with respect to the Corporation’s securities;</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80" w:firstLine="324"/>
        <w:spacing w:after="0" w:line="254" w:lineRule="auto"/>
        <w:tabs>
          <w:tab w:leader="none" w:pos="19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Announcement” means disclosure in a press release reported by the Dow Jones News Service, Associated Press, Business Wire, PR Newswire or comparable news service or in a document publicly filed by the Corporation with the Securities and Exchange Commission pursuant to Sections 13, 14 or 15(d) of the Securities Exchange Act of 1934, as amended; and</w:t>
      </w:r>
    </w:p>
    <w:p>
      <w:pPr>
        <w:spacing w:after="0" w:line="149" w:lineRule="exact"/>
        <w:rPr>
          <w:rFonts w:ascii="Arial" w:cs="Arial" w:eastAsia="Arial" w:hAnsi="Arial"/>
          <w:sz w:val="18"/>
          <w:szCs w:val="18"/>
          <w:color w:val="auto"/>
        </w:rPr>
      </w:pPr>
    </w:p>
    <w:p>
      <w:pPr>
        <w:jc w:val="both"/>
        <w:ind w:left="980" w:firstLine="324"/>
        <w:spacing w:after="0" w:line="254" w:lineRule="auto"/>
        <w:tabs>
          <w:tab w:leader="none" w:pos="19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 Associated Person” of any stockholder means (A) any person controlling, directly or indirectly, or acting in concert with, such stockholder, (B) any beneficial owner of shares of stock of the Corporation owned of record or beneficially by such stockholder or (C) any person directly or indirectly controlling, controlled by or under common control with such Stockholder Associated Person.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 Special Meetings of Stockholders.</w:t>
      </w:r>
    </w:p>
    <w:p>
      <w:pPr>
        <w:spacing w:after="0" w:line="171" w:lineRule="exact"/>
        <w:rPr>
          <w:sz w:val="20"/>
          <w:szCs w:val="20"/>
          <w:color w:val="auto"/>
        </w:rPr>
      </w:pPr>
    </w:p>
    <w:p>
      <w:pPr>
        <w:jc w:val="both"/>
        <w:ind w:firstLine="899"/>
        <w:spacing w:after="0" w:line="251" w:lineRule="auto"/>
        <w:tabs>
          <w:tab w:leader="none" w:pos="12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meetings of the stockholders may be called at any time by the Board of Directors acting pursuant to a resolution adopted by a majority of the Whole Board or by the stockholders of the Corporation following receipt by the Secretary of the Corporation of a written request for a special meeting (a “Special Meeting Request”) from record holders owning at least twenty percent (20%) of the Corporation’s outstanding common stock (the “Requisite Holders”) if such Special Meeting Request complies with the requirements set forth in this Section 2. The Board of Directors shall determine whether all such requirements have been satisfied, and such determination shall be binding on the Corporation and its stockholders. If a Special Meeting Request complies with this Section 2, the Board of Directors shall determine the place, date and time of a special meeting requested in such Special Meeting Request and promptly call the special meeting requested in such Special Meeting Request; provided, however, that the Board of Directors may (in lieu of calling the special meeting requested in such Special Meeting Request) present an identical or substantially similar item (a “Similar Item”, and the election of directors shall be deemed a “Similar Item” with respect to all items of business involving the election or removal of directors) for stockholder approval at any other meeting of stockholders that is held not less than one hundred twenty (120) days after the Secretary receives such Special Meeting Request. For purposes of these By-Laws, the term “Whole Board” shall mean the total number of authorized directors whether or not there exist any vacancies in previously authorized directorships. The Board of Directors may postpone or reschedule any previously scheduled special meeting called by the Board of Directors.</w:t>
      </w:r>
    </w:p>
    <w:p>
      <w:pPr>
        <w:spacing w:after="0" w:line="155" w:lineRule="exact"/>
        <w:rPr>
          <w:rFonts w:ascii="Arial" w:cs="Arial" w:eastAsia="Arial" w:hAnsi="Arial"/>
          <w:sz w:val="18"/>
          <w:szCs w:val="18"/>
          <w:color w:val="auto"/>
        </w:rPr>
      </w:pPr>
    </w:p>
    <w:p>
      <w:pPr>
        <w:jc w:val="both"/>
        <w:ind w:firstLine="899"/>
        <w:spacing w:after="0" w:line="251" w:lineRule="auto"/>
        <w:tabs>
          <w:tab w:leader="none" w:pos="12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properly brought before the meeting pursuant to the Board of Directors’ notice of meeting. To be properly brought before a special meeting, proposals of business must be (1) specified in the Corporation’s notice of meeting (or any supplement thereto) given by or at the direction of the Board of Directors or (2) otherwise properly requested to be brought before the special meeting by the Requisite Holders in accordance with these By-Laws; provided, however, that with regard to this clause (2), the Board of Directors may submit its own proposal(s) for consideration at such special meeting pursuant to the notice of meeting. For the calling of a special meeting to propose business to be properly requested by the Requisite Holders, each of the Requisite Holders must (A) be a stockholder of record at the time of giving of notice of such special meeting by or at the direction of the Board of Directors and at the time of the special meeting, (B) be entitled to vote at such special meeting and (C) comply with the procedures set forth in these By-Laws.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Board of Directors’ notice of meeting only (i) by or at the direction of the Board of Directors or (ii) provided that the Board of Directors has determined that directors are to be elected at such special meeting, by any stockholder of the Corporation who (A) was a stockholder of record at the time of giving of notice provided for in this Section 2(b) and at the time of the special meeting, (B) is entitled to vote at the meeting and (C) complies with the procedures set forth in these By-Laws and the Certificate of Incorporation as to such nomination. For the avoidance of doubt, the preceding two sentences shall be the exclusive means for a stockholder to propose nominations of persons for election to the Board of Directors at a special meeting of stockholders or to</w:t>
      </w:r>
    </w:p>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bring other business proposals before a special meeting of stockholders (other than matters properly brought under Rule 14a-8 under the Exchange Act and included in the Corporation’s notice of meeting). Only persons who are nominated in accordance and compliance with the procedures set forth in this Section 2 shall be eligible for election to the Board of Directors at a special meeting of stockholders.</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event the Corporation calls a special meeting of stockholders for the purpose of electing one or more persons to the Board of Directors, any stockholder may nominate a person or persons (as the case may be) for election to such position(s) as specified in the Corporation’s notice of meeting, provided that the stockholder gives timely notice thereof in proper written form as described in this Section 2 to the Secretary of the Corporation. To be timely pursuant to the immediately preceding sentence, a stockholder’s notice for the nomination of persons for election to the Board of Directors must be delivered to the Secretary of the Corporation at the principal executive offices of the Corporation not earlier than the 120th day prior to such special meeting and not later than the close of business on the later of the 90th day prior to such special meeting or the tenth day following the day on which a Public Announcement is made of the date of the special meeting and of the nominees proposed by the Board of Directors to be elected at such meeting. In no event shall any adjournment, deferral or postponement of a special meeting or the announcement thereof commence a new time period for the giving of a stockholder’s notice as described above. To be in proper written form, such stockholder’s notice shall set forth all of the information required by, and otherwise be in compliance with, Section 1(c)(iii) of this Article I. In addition, any stockholder who submits a notice pursuant to this Section 2(b) is required to update and supplement the information disclosed in such notice, if necessary, in accordance with Section 2(c) of this Article I. At a special meeting, the chairman of the meeting shall determine, if the facts warrant, that a proposal or nomination was not made in accordance with the procedures prescribed by these By-Laws, and if the chairman should so determine, the chairman shall so declare to the meeting, and the defective proposal or nomination shall be disregarded. Notwithstanding any provision of these By-Laws, in the case of a special meeting requested by stockholders pursuant to a Special Meeting Request, no stockholder may nominate a person for election to the Board of Directors or propose any other business to be considered at the meeting, except pursuant to such Special Meeting Request.</w:t>
      </w:r>
    </w:p>
    <w:p>
      <w:pPr>
        <w:spacing w:after="0" w:line="154" w:lineRule="exact"/>
        <w:rPr>
          <w:sz w:val="20"/>
          <w:szCs w:val="20"/>
          <w:color w:val="auto"/>
        </w:rPr>
      </w:pPr>
    </w:p>
    <w:p>
      <w:pPr>
        <w:jc w:val="both"/>
        <w:ind w:firstLine="899"/>
        <w:spacing w:after="0" w:line="251"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Without qualification or limitation, for the calling of a special meeting to propose business to be properly requested by the Requisite Holders pursuant to this Section 2, the Requisite Holders must have given timely delivery of the Special Meeting Request, which Special Meeting Request must comply with the requirements of Section 1(b)(iii) of this Article I, and timely updates and supplements thereof, in writing to the Secretary of the Corporation, and such business must otherwise be a proper matter for stockholder action under applicable law. A Special Meeting Request must be delivered to the Secretary of the Corporation at the principal executive offices of the Corporation and shall only be valid if it is signed and dated by each of the Requisite Holders. Notwithstanding anything to the contrary contained in these By-Laws, a Special Meeting Request shall not be valid if (1) the Special Meeting Request relates to an item of business that is not a proper subject for stockholder action under applicable law, (2) a Similar Item was presented at any meeting of stockholders held within one hundred twenty (120) days prior to receipt by the Corporation of such Special Meeting Request, (3) a Similar Item is included in the Corporation’s notice as an item of business to be brought before a stockholder meeting that has been called but not yet held, or (4) the Special Meeting Request is received by the Corporation during the period commencing ninety (90) days prior to the first anniversary of the preceding year’s annual meeting and ending on the date of that year’s annual meeting of stockholders. In no event shall any adjournment, deferral or postponement of a special meeting, or the Public Announcement thereof, commence a new time period (or extend any time period) for the giving of a Special Meeting Request as described in this Section 2.</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Requisite Holders may revoke a Special Meeting Request by written revocation delivered to the Corporation at any time prior to the special meeting; provided, however, that the Board of Directors shall have the discretion to determine whether or not to proceed with the special meeting.</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Notwithstanding the foregoing provisions of this Section 2, if none of the Requisite Holders (or a representative thereof) appears to present the proposal(s) submitted by the Requisite Holders for consideration at the special meeting or if the Requisite Holders giving the Special Meeting Request no</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longer represent at least twenty percent (20%) of the Corporation’s outstanding common stock or if any of the Requisite Holders fails to timely provide any information required to be provided to update a Special Meeting Request, the Corporation need not present such proposal(s) for a vote at such meeting, notwithstanding that proxies in respect of such vote may have been received by the Corporation.</w:t>
      </w:r>
    </w:p>
    <w:p>
      <w:pPr>
        <w:spacing w:after="0" w:line="148" w:lineRule="exact"/>
        <w:rPr>
          <w:sz w:val="20"/>
          <w:szCs w:val="20"/>
          <w:color w:val="auto"/>
        </w:rPr>
      </w:pPr>
    </w:p>
    <w:p>
      <w:pPr>
        <w:jc w:val="both"/>
        <w:ind w:firstLine="899"/>
        <w:spacing w:after="0" w:line="250" w:lineRule="auto"/>
        <w:tabs>
          <w:tab w:leader="none" w:pos="12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stockholder who submits a notice or a Special Meeting Request pursuant to this Section 2 is required to update and supplement the information disclosed in such notice or Special Meeting Request, if necessary, so that the information provided or required to be provided therein shall be true and correct as of the record date for the special meeting of stockholders and as of the date that is twelve</w:t>
      </w:r>
    </w:p>
    <w:p>
      <w:pPr>
        <w:spacing w:after="0" w:line="1" w:lineRule="exact"/>
        <w:rPr>
          <w:rFonts w:ascii="Arial" w:cs="Arial" w:eastAsia="Arial" w:hAnsi="Arial"/>
          <w:sz w:val="18"/>
          <w:szCs w:val="18"/>
          <w:color w:val="auto"/>
        </w:rPr>
      </w:pPr>
    </w:p>
    <w:p>
      <w:pPr>
        <w:jc w:val="both"/>
        <w:ind w:firstLine="8"/>
        <w:spacing w:after="0" w:line="252"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prior to such special meeting of the stockholders or any adjournment or postponement thereof, and such update and supplement shall be delivered to the Secretary of the Corporation at the principal executive offices of the Corporation not later than seven (7) days after the record date for the special meeting of stockholders (in the case of the update and supplement required to be made as of the record date), and not later than ten (10) days prior to the date for the special meeting of stockholders or any adjournment or postponement thereof (in the case of the update and supplement required to be made as of twelve (12) days prior to the special meeting of stockholders or any adjournment or postponement thereof).</w:t>
      </w:r>
    </w:p>
    <w:p>
      <w:pPr>
        <w:spacing w:after="0" w:line="153" w:lineRule="exact"/>
        <w:rPr>
          <w:rFonts w:ascii="Arial" w:cs="Arial" w:eastAsia="Arial" w:hAnsi="Arial"/>
          <w:sz w:val="18"/>
          <w:szCs w:val="18"/>
          <w:color w:val="auto"/>
        </w:rPr>
      </w:pPr>
    </w:p>
    <w:p>
      <w:pPr>
        <w:jc w:val="both"/>
        <w:ind w:firstLine="899"/>
        <w:spacing w:after="0" w:line="252" w:lineRule="auto"/>
        <w:tabs>
          <w:tab w:leader="none" w:pos="12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addition to the foregoing provisions of this Section 2, a stockholder shall also comply with all applicable requirements of the Securities Exchange Act of 1934, as amended, and the rules and regulations thereunder with respect to the matters set forth in these By-Laws; provided, however, that any references in these By-Laws to the Securities Exchange Act of 1934, as amended, or the rules and regulations promulgated thereunder are not intended to and shall not limit the requirements of these By-Laws applicable to nominations to be considered pursuant to these By-Laws regardless of the stockholder’s intent to utilize Rule 14a-8 promulgated under the Securities Exchange Act of 1934, as amended. Nothing in this Section 2 shall be deemed to affect any rights of stockholders to request inclusion of proposals in the Corporation’s proxy statement pursuant to Rule 14a-8 promulgated under the Securities Exchange Act of 1934, as amended.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of Meetings.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the date is different from the record date for determining stockholders entitled to notice of the meeting,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provided, however,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Quorum.</w:t>
      </w:r>
    </w:p>
    <w:p>
      <w:pPr>
        <w:spacing w:after="0" w:line="17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unless or except to the extent that the presence of a larger number may be required by law. Where a separate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quorum shall fail to attend any meeting, the chairman of the meeting may adjourn the meeting to another place, if any, date,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Organization.</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Such person as the Board of Directors may have designated or, in the absence of such a person, the Chairman of the Board or, in his or her absence,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Conduct of Business.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chairman of any meeting of stockholders shall determine the order of business and the procedure at the meeting, including such regulation of the manner of voting and the conduct of discussion as seem to him or her in order. The chairman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Proxies and Voting.</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Excepted as provided in Article II, Section 2 and in this paragraph, in uncontested director elections, each director shall be elected by the affirmative vote of the majority of the votes cast at an annual meeting of stockholders. The affirmative vote of the majority of the votes cast means that the number of shares cast “for” a director’s election exceeds the number of votes cast “against” that director. Incumbent directors who fail to receive a majority of the vote shall remain in office until such director’s successor is elected and qualified or until such director’s earlier resignation or removal. In a contested election, the directors shall be elected by a plurality of the votes cast. Except as otherwise required by law, all other matters shall be determined by a majority of the votes cast affirmatively or negatively.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Stock List.</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 period of at least 10 days prior to the meeting in the mariner provided by law.</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Proxy Access.</w:t>
      </w:r>
    </w:p>
    <w:p>
      <w:pPr>
        <w:spacing w:after="0" w:line="171" w:lineRule="exact"/>
        <w:rPr>
          <w:sz w:val="20"/>
          <w:szCs w:val="20"/>
          <w:color w:val="auto"/>
        </w:rPr>
      </w:pPr>
    </w:p>
    <w:p>
      <w:pPr>
        <w:jc w:val="both"/>
        <w:ind w:firstLine="899"/>
        <w:spacing w:after="0" w:line="251" w:lineRule="auto"/>
        <w:tabs>
          <w:tab w:leader="none" w:pos="12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Inclusion of Stockholder Nominee in Corporation’s Proxy Materials. Whenever the Board of Directors solicits proxies with respect to the election of directors at an annual meeting of stockholders, subject to the provisions of this Section 9 of Article I, the Corporation shall include in its proxy statement for such annual meeting, in addition to any persons nominated for election by or at the direction of the Board of Directors (or any duly authorized committee thereof), the name, together with the Required Information (as defined below), of any person nominated for election (the “Stockholder Nominee”) to the Board of Directors by a stockholder or group of no more than twenty (20) stockholders (counting as one stockholder, for this purpose, any two (2) or more funds under common management and sharing a common investment adviser) that satisfies the requirements of this Section 9 of Article I (the “Eligible Stockholder”) and that expressly elects at the time of providing the notice required by this Section 9 of Article I to have such nominee included in the Corporation’s proxy materials pursuant to this Section 9 of Article I. For purposes of this Section 9 of Article I, the “Required Information” that the Corporation will include in its proxy statement is (i) the information provided to the Secretary of the Corporation concerning the Stockholder Nominee and the Eligible Stockholder that the Corporation determines is required to be disclosed in the Corporation’s proxy statement pursuant to Section 14 of the Exchange Act and the rules and regulations promulgated thereunder, and (ii) if the Eligible Stockholder so elects, a Supporting Statement (as defined in Section 9(g) hereof). Subject to the provisions of this Section 9 of Article I, the name of any Stockholder Nominee included in the Corporation’s proxy statement for an annual meeting of stockholders shall also be set forth on the form of proxy distributed by the Corporation in connection with such annual meeting. For the avoidance of doubt, and any other provision of these Bylaws notwithstanding, the Corporation may in its sole discretion solicit against, and include in the proxy statement its own statements or other information relating to, any Eligible Stockholder or Stockholder Nominee. This Section 9 of Article I provides the exclusive method for a stockholder to include nominees for election to the Board of Directors in the Corporation’s proxy materials.</w:t>
      </w:r>
    </w:p>
    <w:p>
      <w:pPr>
        <w:spacing w:after="0" w:line="153" w:lineRule="exact"/>
        <w:rPr>
          <w:rFonts w:ascii="Arial" w:cs="Arial" w:eastAsia="Arial" w:hAnsi="Arial"/>
          <w:sz w:val="18"/>
          <w:szCs w:val="18"/>
          <w:color w:val="auto"/>
        </w:rPr>
      </w:pPr>
    </w:p>
    <w:p>
      <w:pPr>
        <w:jc w:val="both"/>
        <w:ind w:firstLine="899"/>
        <w:spacing w:after="0" w:line="251" w:lineRule="auto"/>
        <w:tabs>
          <w:tab w:leader="none" w:pos="12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 of Proxy Access Nomination.</w:t>
      </w:r>
      <w:r>
        <w:rPr>
          <w:rFonts w:ascii="Arial" w:cs="Arial" w:eastAsia="Arial" w:hAnsi="Arial"/>
          <w:sz w:val="18"/>
          <w:szCs w:val="18"/>
          <w:color w:val="auto"/>
        </w:rPr>
        <w:t xml:space="preserve"> In addition to any other applicable requirements, for a Stockholder Nominee to be eligible for inclusion in the Corporation’s proxy materials pursuant to this Section 9 of Article I, the Eligible Stockholder must give timely notice of such nomination (the “Notice of Proxy Access Nomination”) in proper written form to the Secretary of the Corporation. To be timely, the Notice of Proxy Access Nomination must be delivered to the Secretary at the principal executive offices of the Corporation in proper written form not less than 120 or more than 150 days prior to the first anniversary of the date on which the Corporation first mailed its proxy materials with respect to the preceding year’s annual meeting; provided, however, that, if and only if the annual meeting is not scheduled to be held within a period that commences thirty (30) days before such anniversary date and ends thirty (30) days after such anniversary date, or if no annual meeting was held in the preceding year, notice by the Eligible Stockholder must be so received not later than the close of business on the later of (i) the 135th day before such annual meeting or (ii) the 10th day following the day on which Public Announcement (as defined in Section 4(f) of Article I) of the date of such meeting is first made by the Corporation. In no event shall any adjournment, deferral or postponement of an annual meeting or the Public Announcement thereof commence a new time period for the giving of an Eligible Stockholder’s Notice of Proxy Access Nomination pursuant to this Section 9 of Article I.</w:t>
      </w:r>
    </w:p>
    <w:p>
      <w:pPr>
        <w:spacing w:after="0" w:line="156" w:lineRule="exact"/>
        <w:rPr>
          <w:rFonts w:ascii="Arial" w:cs="Arial" w:eastAsia="Arial" w:hAnsi="Arial"/>
          <w:sz w:val="18"/>
          <w:szCs w:val="18"/>
          <w:color w:val="auto"/>
        </w:rPr>
      </w:pPr>
    </w:p>
    <w:p>
      <w:pPr>
        <w:ind w:right="20" w:firstLine="899"/>
        <w:spacing w:after="0" w:line="261"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Permitted Number of Stockholder Nominees.</w:t>
      </w:r>
      <w:r>
        <w:rPr>
          <w:rFonts w:ascii="Arial" w:cs="Arial" w:eastAsia="Arial" w:hAnsi="Arial"/>
          <w:sz w:val="18"/>
          <w:szCs w:val="18"/>
          <w:color w:val="auto"/>
        </w:rPr>
        <w:t xml:space="preserve"> The maximum number of Stockholder Nominees nominated by all Eligible Stockholders that will be included in the Corporation’s proxy materials</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respect to an annual meeting of stockholders (the “Permitted Number”) shall be the greater of (i) two (2) or (ii) twenty percent (20%) of the number of directors in office as of the last day on which a Notice of Proxy Access Nomination may be delivered pursuant to and in accordance with this Section 9 of Article I (the “Final Proxy Access Nomination Date”) or, if such amount is not a whole number, the closest whole number below twenty percent (20%); provided, however, that if the Corporation has a classified Board of Directors, the Permitted Number is subject to reduction so that the Permitted Number for any annual meeting shall not exceed one-half of the number of directors to be elected at such annual meeting as noticed by the Corporation (rounded down to the nearest whole number); and provided further that the Permitted Number for any particular annual meeting shall be reduced but not below zero by:</w:t>
      </w:r>
    </w:p>
    <w:p>
      <w:pPr>
        <w:spacing w:after="0" w:line="153" w:lineRule="exact"/>
        <w:rPr>
          <w:sz w:val="20"/>
          <w:szCs w:val="20"/>
          <w:color w:val="auto"/>
        </w:rPr>
      </w:pPr>
    </w:p>
    <w:p>
      <w:pPr>
        <w:ind w:left="980" w:firstLine="324"/>
        <w:spacing w:after="0" w:line="261" w:lineRule="auto"/>
        <w:tabs>
          <w:tab w:leader="none" w:pos="19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individuals nominated by an Eligible Stockholder for inclusion in the Corporation’s proxy materials pursuant to this Section 9 of Article I whose nominations are subsequently withdrawn,</w:t>
      </w:r>
    </w:p>
    <w:p>
      <w:pPr>
        <w:spacing w:after="0" w:line="143" w:lineRule="exact"/>
        <w:rPr>
          <w:rFonts w:ascii="Arial" w:cs="Arial" w:eastAsia="Arial" w:hAnsi="Arial"/>
          <w:sz w:val="18"/>
          <w:szCs w:val="18"/>
          <w:color w:val="auto"/>
        </w:rPr>
      </w:pPr>
    </w:p>
    <w:p>
      <w:pPr>
        <w:ind w:left="980" w:firstLine="324"/>
        <w:spacing w:after="0" w:line="261" w:lineRule="auto"/>
        <w:tabs>
          <w:tab w:leader="none" w:pos="19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individuals nominated by an Eligible Stockholder for inclusion in the Corporation’s proxy materials pursuant to this Section 9 of Article I whom the Board of Directors decides to nominate for election to the Board of Directors,</w:t>
      </w:r>
    </w:p>
    <w:p>
      <w:pPr>
        <w:spacing w:after="0" w:line="143" w:lineRule="exact"/>
        <w:rPr>
          <w:rFonts w:ascii="Arial" w:cs="Arial" w:eastAsia="Arial" w:hAnsi="Arial"/>
          <w:sz w:val="18"/>
          <w:szCs w:val="18"/>
          <w:color w:val="auto"/>
        </w:rPr>
      </w:pPr>
    </w:p>
    <w:p>
      <w:pPr>
        <w:jc w:val="both"/>
        <w:ind w:left="980" w:firstLine="324"/>
        <w:spacing w:after="0" w:line="254" w:lineRule="auto"/>
        <w:tabs>
          <w:tab w:leader="none" w:pos="19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nominees recommended by the Board of Directors who will be included in the Corporation’s proxy materials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w:t>
      </w:r>
    </w:p>
    <w:p>
      <w:pPr>
        <w:spacing w:after="0" w:line="149" w:lineRule="exact"/>
        <w:rPr>
          <w:rFonts w:ascii="Arial" w:cs="Arial" w:eastAsia="Arial" w:hAnsi="Arial"/>
          <w:sz w:val="18"/>
          <w:szCs w:val="18"/>
          <w:color w:val="auto"/>
        </w:rPr>
      </w:pPr>
    </w:p>
    <w:p>
      <w:pPr>
        <w:jc w:val="both"/>
        <w:ind w:left="980" w:firstLine="324"/>
        <w:spacing w:after="0" w:line="256" w:lineRule="auto"/>
        <w:tabs>
          <w:tab w:leader="none" w:pos="19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directors serving on the Board of Directors as of the Final Proxy Access Nomination Date who were previously included in the Corporation’s proxy materials as Stockholder Nominees (including any individual counted as a Stockholder Nominee pursuant to the preceding clause (ii)) during the prior two annual meetings; and</w:t>
      </w:r>
    </w:p>
    <w:p>
      <w:pPr>
        <w:spacing w:after="0" w:line="147" w:lineRule="exact"/>
        <w:rPr>
          <w:rFonts w:ascii="Arial" w:cs="Arial" w:eastAsia="Arial" w:hAnsi="Arial"/>
          <w:sz w:val="18"/>
          <w:szCs w:val="18"/>
          <w:color w:val="auto"/>
        </w:rPr>
      </w:pPr>
    </w:p>
    <w:p>
      <w:pPr>
        <w:jc w:val="both"/>
        <w:ind w:left="980" w:firstLine="324"/>
        <w:spacing w:after="0" w:line="256" w:lineRule="auto"/>
        <w:tabs>
          <w:tab w:leader="none" w:pos="19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individuals for whom the Secretary of the Corporation shall have received one or more valid stockholder’s notices (whether or not subsequently withdrawn) relating to the nomination of such individuals for election to the Board of Directors pursuant to Section 1(c) of Article I.</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event that one or more vacancies occurs on the Board of Directors for any reason after the Final Proxy Access Nomination Date but on or before the date of the annual meeting and the Board of Directors resolves to reduce the number of directors on the Board of Directors in connection therewith, the Permitted Number shall be calculated based on the number of directors on the Board of Directors as so reduced. Any Eligible Stockholder submitting more than one Stockholder Nominee for inclusion in the Corporation’s proxy materials pursuant to this Section 9 of Article I shall rank such Stockholder Nominees based on the order in which the Eligible Stockholder desires such Stockholder Nominees to be selected for inclusion in the Corporation’s proxy materials in the event that the total number of Stockholder Nominees submitted by Eligible Stockholders pursuant to this Section 9 of Article I exceeds the Permitted Number. In the event that the number of Stockholder Nominees submitted by Eligible Stockholders pursuant to this Section 9 of Article I exceeds the Permitted Number, the highest ranking Stockholder Nominee who meets the requirements of this Section 9 of Article I from each Eligible Stockholder will be selected for inclusion in the Corporation’s proxy materials until the Permitted Number is reached, going in order of the amount (largest to smallest) of shares of common stock of the Corporation each Eligible Stockholder disclosed as owned in its Notice of Proxy Access Nomination (with any Stockholder Nominee who is the sole nominee of an Eligible Stockholder deemed to have its highest ranking). If the Permitted Number is not reached after the highest ranking Stockholder Nominee who meets the requirements of this Section 9 of Article I from each Eligible Stockholder has been selected, then the next highest ranking Stockholder Nominee who meets the requirements of this Section 9 of Article I from each Eligible Stockholder will be selected for inclusion in the Corporation’s proxy materials, and this process will</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continue as many times as necessary, following the same order each time, until the Permitted Number is reached.</w:t>
      </w:r>
    </w:p>
    <w:p>
      <w:pPr>
        <w:spacing w:after="0" w:line="171" w:lineRule="exact"/>
        <w:rPr>
          <w:sz w:val="20"/>
          <w:szCs w:val="20"/>
          <w:color w:val="auto"/>
        </w:rPr>
      </w:pPr>
    </w:p>
    <w:p>
      <w:pPr>
        <w:jc w:val="both"/>
        <w:ind w:firstLine="899"/>
        <w:spacing w:after="0" w:line="250" w:lineRule="auto"/>
        <w:tabs>
          <w:tab w:leader="none" w:pos="128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Eligible Stockholder Requirements</w:t>
      </w:r>
      <w:r>
        <w:rPr>
          <w:rFonts w:ascii="Arial" w:cs="Arial" w:eastAsia="Arial" w:hAnsi="Arial"/>
          <w:sz w:val="18"/>
          <w:szCs w:val="18"/>
          <w:color w:val="auto"/>
        </w:rPr>
        <w:t xml:space="preserve">. In order to make a nomination pursuant to this Section 9 of Article I, an Eligible Stockholder must have owned (as defined below) at least three percent (3%) of the Corporation’s outstanding common stock (the “Required Shares”) continuously for at least three (3) years (the “Minimum Holding Period”) as of both the date the Notice of Proxy Access Nomination is received by the Secretary of the Corporation in accordance with this Section 9 of Article I and the record date for the determination of stockholders entitled to vote at the annual meeting, and must continue to own the Required Shares through the date of the annual meeting. For purposes of this Section 9 of Article I, an Eligible Stockholder shall be deemed to “own” only those outstanding shares of common stock of the Corporation as to which the stockholder possesses both (i) the full voting and investment rights pertaining to the shares and (ii) the full economic interest in (including the opportunity for profit from and risk of loss on)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or</w:t>
      </w:r>
    </w:p>
    <w:p>
      <w:pPr>
        <w:spacing w:after="0" w:line="5" w:lineRule="exact"/>
        <w:rPr>
          <w:rFonts w:ascii="Arial" w:cs="Arial" w:eastAsia="Arial" w:hAnsi="Arial"/>
          <w:sz w:val="18"/>
          <w:szCs w:val="18"/>
          <w:color w:val="auto"/>
        </w:rPr>
      </w:pPr>
    </w:p>
    <w:p>
      <w:pPr>
        <w:jc w:val="both"/>
        <w:ind w:firstLine="8"/>
        <w:spacing w:after="0" w:line="251" w:lineRule="auto"/>
        <w:tabs>
          <w:tab w:leader="none" w:pos="2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hedging, offsetting or altering to any degree any gain or loss realized or realizable from maintaining the full economic ownership of such shares by such stockholder or affiliate, but not including any hedging across a broad multi-industry investment portfolio solely with respect to currency risk, interest-rate risk or, using a broad index-based hedge, equity risk.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provided that the stockholder has the power to recall such loaned shares and includes in its Notice of Proxy Access Nomination an agreement that it (A) will promptly recall such loaned shares upon being notified that any of its Stockholder Nominees will be included in the Corporation’s proxy materials and prior to the record date for the meeting and (B) will continue to hold such shares through the date of the annual meeting or (ii) the stockholder has delegated any voting power by means of a proxy, power of attorney or other instrument or arrangement that is revocable at any time by the stockholder. The terms “owned,” “owning” and other variations of the word “own” shall have correlative meanings. For purposes of this Section 9 of Article I, the term “affiliate” or “affiliates” shall have the meaning ascribed thereto under the General Rules and Regulations under the Exchange Act.</w:t>
      </w:r>
    </w:p>
    <w:p>
      <w:pPr>
        <w:spacing w:after="0" w:line="156" w:lineRule="exact"/>
        <w:rPr>
          <w:rFonts w:ascii="Arial" w:cs="Arial" w:eastAsia="Arial" w:hAnsi="Arial"/>
          <w:sz w:val="18"/>
          <w:szCs w:val="18"/>
          <w:color w:val="auto"/>
        </w:rPr>
      </w:pPr>
    </w:p>
    <w:p>
      <w:pPr>
        <w:ind w:firstLine="899"/>
        <w:spacing w:after="0" w:line="261" w:lineRule="auto"/>
        <w:tabs>
          <w:tab w:leader="none" w:pos="128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Proper Form of Proxy Access Nomination</w:t>
      </w:r>
      <w:r>
        <w:rPr>
          <w:rFonts w:ascii="Arial" w:cs="Arial" w:eastAsia="Arial" w:hAnsi="Arial"/>
          <w:sz w:val="18"/>
          <w:szCs w:val="18"/>
          <w:color w:val="auto"/>
        </w:rPr>
        <w:t>. To be in proper written form for purposes of this Section 9 of Article I, the Notice of Proxy Access Nomination must include or be accompanied by the following:</w:t>
      </w:r>
    </w:p>
    <w:p>
      <w:pPr>
        <w:spacing w:after="0" w:line="143" w:lineRule="exact"/>
        <w:rPr>
          <w:rFonts w:ascii="Arial" w:cs="Arial" w:eastAsia="Arial" w:hAnsi="Arial"/>
          <w:sz w:val="18"/>
          <w:szCs w:val="18"/>
          <w:color w:val="auto"/>
        </w:rPr>
      </w:pPr>
    </w:p>
    <w:p>
      <w:pPr>
        <w:ind w:left="980" w:firstLine="324"/>
        <w:spacing w:after="0" w:line="261" w:lineRule="auto"/>
        <w:tabs>
          <w:tab w:leader="none" w:pos="1950" w:val="left"/>
        </w:tabs>
        <w:numPr>
          <w:ilvl w:val="3"/>
          <w:numId w:val="21"/>
        </w:numPr>
        <w:rPr>
          <w:rFonts w:ascii="Arial" w:cs="Arial" w:eastAsia="Arial" w:hAnsi="Arial"/>
          <w:sz w:val="18"/>
          <w:szCs w:val="18"/>
          <w:color w:val="auto"/>
        </w:rPr>
      </w:pPr>
      <w:r>
        <w:rPr>
          <w:rFonts w:ascii="Arial" w:cs="Arial" w:eastAsia="Arial" w:hAnsi="Arial"/>
          <w:sz w:val="18"/>
          <w:szCs w:val="18"/>
          <w:color w:val="auto"/>
        </w:rPr>
        <w:t>a written statement by the Eligible Stockholder certifying as to the number of shares it owns and has owned (as defined in Section 9(d) hereof) continuously during the Minimum Holding Period;</w:t>
      </w:r>
    </w:p>
    <w:p>
      <w:pPr>
        <w:spacing w:after="0" w:line="143" w:lineRule="exact"/>
        <w:rPr>
          <w:rFonts w:ascii="Arial" w:cs="Arial" w:eastAsia="Arial" w:hAnsi="Arial"/>
          <w:sz w:val="18"/>
          <w:szCs w:val="18"/>
          <w:color w:val="auto"/>
        </w:rPr>
      </w:pPr>
    </w:p>
    <w:p>
      <w:pPr>
        <w:jc w:val="both"/>
        <w:ind w:left="980" w:firstLine="324"/>
        <w:spacing w:after="0" w:line="250" w:lineRule="auto"/>
        <w:tabs>
          <w:tab w:leader="none" w:pos="1949" w:val="left"/>
        </w:tabs>
        <w:numPr>
          <w:ilvl w:val="3"/>
          <w:numId w:val="21"/>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 of the Required Shares (and from each intermediary through which the Required Shares are or have been held during the Minimum Holding Period) verifying that, as of a date within seven</w:t>
      </w:r>
    </w:p>
    <w:p>
      <w:pPr>
        <w:jc w:val="both"/>
        <w:ind w:left="980"/>
        <w:spacing w:after="0" w:line="256" w:lineRule="auto"/>
        <w:tabs>
          <w:tab w:leader="none" w:pos="1269" w:val="left"/>
        </w:tabs>
        <w:numPr>
          <w:ilvl w:val="2"/>
          <w:numId w:val="21"/>
        </w:numPr>
        <w:rPr>
          <w:rFonts w:ascii="Arial" w:cs="Arial" w:eastAsia="Arial" w:hAnsi="Arial"/>
          <w:sz w:val="18"/>
          <w:szCs w:val="18"/>
          <w:color w:val="auto"/>
        </w:rPr>
      </w:pPr>
      <w:r>
        <w:rPr>
          <w:rFonts w:ascii="Arial" w:cs="Arial" w:eastAsia="Arial" w:hAnsi="Arial"/>
          <w:sz w:val="18"/>
          <w:szCs w:val="18"/>
          <w:color w:val="auto"/>
        </w:rPr>
        <w:t>days prior to the date the Notice of Proxy Access Nomination is received by the Secretary of the Corporation, the Eligible Stockholder owns, and has owned continuously for the Minimum Holding Period, the Required Shares, and the Eligible Stockholder’s agreement to provide to</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Secretary of the Corporation (A) within ten (10) days after the record date for the determination of stockholders entitled to vote at the annual meeting, one or more written statements from the record holder and such intermediaries verifying the Eligible Stockholder’s continuous ownership of the Required Shares through the record date and (B) immediate notice if the Eligible Stockholder ceases to own any of the Required Shares prior to the date of the annual meeting;</w:t>
      </w:r>
    </w:p>
    <w:p>
      <w:pPr>
        <w:spacing w:after="0" w:line="150" w:lineRule="exact"/>
        <w:rPr>
          <w:sz w:val="20"/>
          <w:szCs w:val="20"/>
          <w:color w:val="auto"/>
        </w:rPr>
      </w:pPr>
    </w:p>
    <w:p>
      <w:pPr>
        <w:ind w:right="20" w:firstLine="324"/>
        <w:spacing w:after="0" w:line="261" w:lineRule="auto"/>
        <w:tabs>
          <w:tab w:leader="none" w:pos="9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copy of the Schedule 14N that has been or is concurrently being filed with the United States Securities and Exchange Commission as required by Rule 14a-18 under the Exchange Act;</w:t>
      </w:r>
    </w:p>
    <w:p>
      <w:pPr>
        <w:spacing w:after="0" w:line="143" w:lineRule="exact"/>
        <w:rPr>
          <w:rFonts w:ascii="Arial" w:cs="Arial" w:eastAsia="Arial" w:hAnsi="Arial"/>
          <w:sz w:val="18"/>
          <w:szCs w:val="18"/>
          <w:color w:val="auto"/>
        </w:rPr>
      </w:pPr>
    </w:p>
    <w:p>
      <w:pPr>
        <w:jc w:val="both"/>
        <w:ind w:firstLine="324"/>
        <w:spacing w:after="0" w:line="256"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and consent that would be required to be set forth in a stockholder’s notice of a nomination pursuant to Section 1(c) of Article I of these Bylaws, together with the written consent of each Stockholder Nominee to being named in the proxy statement as a nominee and to serving as a director, if elected;</w:t>
      </w:r>
    </w:p>
    <w:p>
      <w:pPr>
        <w:spacing w:after="0" w:line="147" w:lineRule="exact"/>
        <w:rPr>
          <w:rFonts w:ascii="Arial" w:cs="Arial" w:eastAsia="Arial" w:hAnsi="Arial"/>
          <w:sz w:val="18"/>
          <w:szCs w:val="18"/>
          <w:color w:val="auto"/>
        </w:rPr>
      </w:pPr>
    </w:p>
    <w:p>
      <w:pPr>
        <w:jc w:val="both"/>
        <w:ind w:firstLine="324"/>
        <w:spacing w:after="0" w:line="251" w:lineRule="auto"/>
        <w:tabs>
          <w:tab w:leader="none" w:pos="9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Section 9 of Article I, (D) has not engaged and will not engage in, and has not and will not be a “participant” in another person’s, “solicitation” within the meaning of Rule 14a-1(l) under the Exchange Act in support of the election of any person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55" w:lineRule="exact"/>
        <w:rPr>
          <w:rFonts w:ascii="Arial" w:cs="Arial" w:eastAsia="Arial" w:hAnsi="Arial"/>
          <w:sz w:val="18"/>
          <w:szCs w:val="18"/>
          <w:color w:val="auto"/>
        </w:rPr>
      </w:pPr>
    </w:p>
    <w:p>
      <w:pPr>
        <w:jc w:val="both"/>
        <w:ind w:firstLine="324"/>
        <w:spacing w:after="0" w:line="251"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undertaking that the Eligible Stockholder agrees to (A) assume all liability resulting from any legal or regulatory violation arising out of the Eligible Stockholder’s communications with the stockholders of the Corporation or relating to the information that the Eligible Stockholder provided to the Corporation and indemnify and hold harmless the Corporation and each of its directors, officers and employees individually from and against any liability, loss or damages in connection with any threatened or pending action, suit or proceeding, whether legal, administrative or investigative, against the Corporation or any of its directors, officers or employees relating to any legal or regulatory violation arising out of the Eligible Stockholder’s communications with the stockholders of the Corporation or relating to the information that the Eligible Stockholder provided to the Corporation, or arising out of any activity by the Eligible Stockholder in connection with any such nomination and (B) file with the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56" w:lineRule="exact"/>
        <w:rPr>
          <w:rFonts w:ascii="Arial" w:cs="Arial" w:eastAsia="Arial" w:hAnsi="Arial"/>
          <w:sz w:val="18"/>
          <w:szCs w:val="18"/>
          <w:color w:val="auto"/>
        </w:rPr>
      </w:pPr>
    </w:p>
    <w:p>
      <w:pPr>
        <w:jc w:val="both"/>
        <w:ind w:firstLine="324"/>
        <w:spacing w:after="0" w:line="256"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together constituting an Eligible Stockholder, the designation by all group members of one member of the group that is authorized to receive communications, notices and inquiries from the Corporation and to</w:t>
      </w:r>
    </w:p>
    <w:p>
      <w:pPr>
        <w:sectPr>
          <w:pgSz w:w="11900" w:h="16838" w:orient="portrait"/>
          <w:cols w:equalWidth="0" w:num="1">
            <w:col w:w="10260"/>
          </w:cols>
          <w:pgMar w:left="130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 on behalf of all members of the group with respect to all matters relating to the nomination under this Section 9 of Article I (including withdrawal of the nomination);</w:t>
      </w:r>
    </w:p>
    <w:p>
      <w:pPr>
        <w:spacing w:after="0" w:line="144" w:lineRule="exact"/>
        <w:rPr>
          <w:sz w:val="20"/>
          <w:szCs w:val="20"/>
          <w:color w:val="auto"/>
        </w:rPr>
      </w:pPr>
    </w:p>
    <w:p>
      <w:pPr>
        <w:jc w:val="both"/>
        <w:ind w:firstLine="324"/>
        <w:spacing w:after="0" w:line="254" w:lineRule="auto"/>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together constituting an Eligible Stockholder in which two or more funds under common management and sharing a common investment adviser are counted as one stockholder for purposes of qualifying as an Eligible Stockholder, documentation reasonably satisfactory to the Corporation that demonstrates that the funds are under common management and share a common investment adviser;</w:t>
      </w:r>
    </w:p>
    <w:p>
      <w:pPr>
        <w:spacing w:after="0" w:line="149" w:lineRule="exact"/>
        <w:rPr>
          <w:rFonts w:ascii="Arial" w:cs="Arial" w:eastAsia="Arial" w:hAnsi="Arial"/>
          <w:sz w:val="18"/>
          <w:szCs w:val="18"/>
          <w:color w:val="auto"/>
        </w:rPr>
      </w:pPr>
    </w:p>
    <w:p>
      <w:pPr>
        <w:jc w:val="both"/>
        <w:ind w:firstLine="324"/>
        <w:spacing w:after="0" w:line="254"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as necessary to permit the Board of Directors to determine that the Stockholder Nominee is independent under the applicable listing standards, any applicable rules of the Securities and Exchange Commission, the Corporate Governance Guidelines of the Corporation and any publicly disclosed standards used by the Board of Directors (“Independence Standards”) to determine and disclose the independence of the Corporation’s directors;</w:t>
      </w:r>
    </w:p>
    <w:p>
      <w:pPr>
        <w:spacing w:after="0" w:line="149" w:lineRule="exact"/>
        <w:rPr>
          <w:rFonts w:ascii="Arial" w:cs="Arial" w:eastAsia="Arial" w:hAnsi="Arial"/>
          <w:sz w:val="18"/>
          <w:szCs w:val="18"/>
          <w:color w:val="auto"/>
        </w:rPr>
      </w:pPr>
    </w:p>
    <w:p>
      <w:pPr>
        <w:jc w:val="both"/>
        <w:ind w:firstLine="324"/>
        <w:spacing w:after="0" w:line="252" w:lineRule="auto"/>
        <w:tabs>
          <w:tab w:leader="none" w:pos="9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written representation and agreement, in the form provided by the Secretary of the Corporation, that the Stockholder Nominee will comply, in his or her individual capacity and on behalf of any person or entity on whose behalf the nomination is being made, if elected as a director, with the Corporation’s Corporate Governance Guidelines, corporate policies, corporate directives, and policies and guidelines regarding conflicts of interest, confidentiality, stock ownership and trading, any other codes of conduct, codes of ethics, policies and guidelines of the Corporation or any rules, regulations and listing standards, in each case as applicable to the Corporation’s directors;</w:t>
      </w:r>
    </w:p>
    <w:p>
      <w:pPr>
        <w:spacing w:after="0" w:line="153" w:lineRule="exact"/>
        <w:rPr>
          <w:rFonts w:ascii="Arial" w:cs="Arial" w:eastAsia="Arial" w:hAnsi="Arial"/>
          <w:sz w:val="18"/>
          <w:szCs w:val="18"/>
          <w:color w:val="auto"/>
        </w:rPr>
      </w:pPr>
    </w:p>
    <w:p>
      <w:pPr>
        <w:jc w:val="both"/>
        <w:ind w:firstLine="324"/>
        <w:spacing w:after="0" w:line="252"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written representation and agreement that the Stockholder Nominee is not and will not become a party to (1) any agreement, arrangement or understanding with, and has not given any commitment or assurance to, any person or entity as to how such person, if elected as a director of the Corporation, will act or vote on any issue or question, (2) any agreement, arrangement or understanding with any person or entity other than the Corporation with respect to any direct or indirect compensation, reimbursement or indemnification in connection with service or action as a director, in each case, unless the terms of such agreement, arrangement or understanding has been disclosed to the Corporation or (3) any voting commitment that could limit or interfere with such person’s ability to comply, if elected as a director of the Corporation, with such person’s fiduciary duties under applicable law;</w:t>
      </w:r>
    </w:p>
    <w:p>
      <w:pPr>
        <w:spacing w:after="0" w:line="151" w:lineRule="exact"/>
        <w:rPr>
          <w:rFonts w:ascii="Arial" w:cs="Arial" w:eastAsia="Arial" w:hAnsi="Arial"/>
          <w:sz w:val="18"/>
          <w:szCs w:val="18"/>
          <w:color w:val="auto"/>
        </w:rPr>
      </w:pPr>
    </w:p>
    <w:p>
      <w:pPr>
        <w:jc w:val="both"/>
        <w:ind w:firstLine="324"/>
        <w:spacing w:after="0" w:line="252"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w:t>
      </w:r>
    </w:p>
    <w:p>
      <w:pPr>
        <w:spacing w:after="0" w:line="152" w:lineRule="exact"/>
        <w:rPr>
          <w:rFonts w:ascii="Arial" w:cs="Arial" w:eastAsia="Arial" w:hAnsi="Arial"/>
          <w:sz w:val="18"/>
          <w:szCs w:val="18"/>
          <w:color w:val="auto"/>
        </w:rPr>
      </w:pPr>
    </w:p>
    <w:p>
      <w:pPr>
        <w:ind w:firstLine="324"/>
        <w:spacing w:after="0" w:line="261" w:lineRule="auto"/>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information as may be requested in a written questionnaire provided by the Secretary of the Corporation upon written request, with such completed questionnaire signed by the Stockholder Nominee; and</w:t>
      </w:r>
    </w:p>
    <w:p>
      <w:pPr>
        <w:spacing w:after="0" w:line="143" w:lineRule="exact"/>
        <w:rPr>
          <w:rFonts w:ascii="Arial" w:cs="Arial" w:eastAsia="Arial" w:hAnsi="Arial"/>
          <w:sz w:val="18"/>
          <w:szCs w:val="18"/>
          <w:color w:val="auto"/>
        </w:rPr>
      </w:pPr>
    </w:p>
    <w:p>
      <w:pPr>
        <w:ind w:firstLine="324"/>
        <w:spacing w:after="0" w:line="261" w:lineRule="auto"/>
        <w:tabs>
          <w:tab w:leader="none" w:pos="9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irrevocable letter of resignation signed by the Stockholder Nominee providing that such resignation shall become effective upon a determination by the Board of Directors</w:t>
      </w:r>
    </w:p>
    <w:p>
      <w:pPr>
        <w:sectPr>
          <w:pgSz w:w="11900" w:h="16838" w:orient="portrait"/>
          <w:cols w:equalWidth="0" w:num="1">
            <w:col w:w="10260"/>
          </w:cols>
          <w:pgMar w:left="130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80"/>
        <w:spacing w:after="0" w:line="253" w:lineRule="auto"/>
        <w:rPr>
          <w:sz w:val="20"/>
          <w:szCs w:val="20"/>
          <w:color w:val="auto"/>
        </w:rPr>
      </w:pPr>
      <w:r>
        <w:rPr>
          <w:rFonts w:ascii="Arial" w:cs="Arial" w:eastAsia="Arial" w:hAnsi="Arial"/>
          <w:sz w:val="18"/>
          <w:szCs w:val="18"/>
          <w:color w:val="auto"/>
        </w:rPr>
        <w:t>or any committee thereof that (1) the information provided to the Corporation with respect to such Stockholder Nominee pursuant to this Section 9(e) of Article I was untrue in any material respect or omitted to state a material fact necessary in order to make the statements made, in light of the circumstances under which they were made, not misleading, or (2) such Stockholder Nominee, or the Eligible Stockholder who nominated such Stockholder Nominee, failed to comply with any obligation owed to the Corporation or breached any representation made under or pursuant to these Bylaws.</w:t>
      </w:r>
    </w:p>
    <w:p>
      <w:pPr>
        <w:spacing w:after="0" w:line="151" w:lineRule="exact"/>
        <w:rPr>
          <w:sz w:val="20"/>
          <w:szCs w:val="20"/>
          <w:color w:val="auto"/>
        </w:rPr>
      </w:pPr>
    </w:p>
    <w:p>
      <w:pPr>
        <w:jc w:val="both"/>
        <w:ind w:firstLine="899"/>
        <w:spacing w:after="0" w:line="252" w:lineRule="auto"/>
        <w:tabs>
          <w:tab w:leader="none" w:pos="129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In addition to the information required pursuant to Section 9(e) of Article I or any other provision of these Bylaws, the Corporation may require (i) any proposed Stockholder Nominee to furnish any other information (x) that may reasonably be required by the Corporation to determine that the Stockholder Nominee would be independent under the Independence Standards, (y) that could be material to a reasonable stockholder’s understanding of the independence, or lack thereof, of such Stockholder Nominee or (z) that may reasonably be required by the Corporation to determine the eligibility of such Stockholder Nominee to serve as a director of the Corporation and (ii) the Eligible Stockholder to furnish any other information that may reasonably be required by the Corporation to verify the Eligible Stockholder’s continuous ownership of the Required Shares for the Minimum Holding Period.</w:t>
      </w:r>
    </w:p>
    <w:p>
      <w:pPr>
        <w:spacing w:after="0" w:line="152" w:lineRule="exact"/>
        <w:rPr>
          <w:rFonts w:ascii="Arial" w:cs="Arial" w:eastAsia="Arial" w:hAnsi="Arial"/>
          <w:sz w:val="18"/>
          <w:szCs w:val="18"/>
          <w:color w:val="auto"/>
        </w:rPr>
      </w:pPr>
    </w:p>
    <w:p>
      <w:pPr>
        <w:jc w:val="both"/>
        <w:ind w:firstLine="899"/>
        <w:spacing w:after="0" w:line="252" w:lineRule="auto"/>
        <w:tabs>
          <w:tab w:leader="none" w:pos="128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Supporting Statement</w:t>
      </w:r>
      <w:r>
        <w:rPr>
          <w:rFonts w:ascii="Arial" w:cs="Arial" w:eastAsia="Arial" w:hAnsi="Arial"/>
          <w:sz w:val="18"/>
          <w:szCs w:val="18"/>
          <w:color w:val="auto"/>
        </w:rPr>
        <w:t>. The Eligible Stockholder may, at its option, provide to the Secretary of the Corporation, at the time the Notice of Proxy Access Nomination is provided, a written statement, not to exceed five hundred (500) words, in support of the Stockholder Nominee(s)’ candidacy (a “Supporting Statement”) for inclusion in the Corporation’s proxy materials for the annual meeting. Only one Supporting Statement may be submitted by an Eligible Stockholder (including any group of stockholders together constituting an Eligible Stockholder) in support of its Stockholder Nominee(s). Notwithstanding anything to the contrary contained in this Section 9 of Article I, the Corporation may omit from its proxy materials any information or Supporting Statement (or portion thereof) that it, in good faith, believes is materially false or misleading, omits to state any material fact, or would violate any applicable law or regulation.</w:t>
      </w:r>
    </w:p>
    <w:p>
      <w:pPr>
        <w:spacing w:after="0" w:line="152" w:lineRule="exact"/>
        <w:rPr>
          <w:rFonts w:ascii="Arial" w:cs="Arial" w:eastAsia="Arial" w:hAnsi="Arial"/>
          <w:sz w:val="18"/>
          <w:szCs w:val="18"/>
          <w:color w:val="auto"/>
        </w:rPr>
      </w:pPr>
    </w:p>
    <w:p>
      <w:pPr>
        <w:jc w:val="both"/>
        <w:ind w:firstLine="899"/>
        <w:spacing w:after="0" w:line="251" w:lineRule="auto"/>
        <w:tabs>
          <w:tab w:leader="none" w:pos="128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Update and Supplement of Proxy Access Nomination</w:t>
      </w:r>
      <w:r>
        <w:rPr>
          <w:rFonts w:ascii="Arial" w:cs="Arial" w:eastAsia="Arial" w:hAnsi="Arial"/>
          <w:sz w:val="18"/>
          <w:szCs w:val="18"/>
          <w:color w:val="auto"/>
        </w:rPr>
        <w:t>. In the event any information or communications provided by an Eligible Stockholder or a Stockholder Nominee to the 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Secretary of the Corporation of any defect in such previously provided information and of the information that is required to correct any such defect. In addition, any person providing any information to the Corporation pursuant to this Section 9 of Article I shall further update and supplement such information, if necessary, so that all such information shall be true and correct as of the record date for the determination of stockholders entitled to vote at the annual meeting, and such update and supplement shall be delivered to or be mailed and received by the Secretary at the principal executive offices of the Corporation not later than ten (10) days after the record date for the determination of stockholders entitled to vote at the annual meeting.</w:t>
      </w:r>
    </w:p>
    <w:p>
      <w:pPr>
        <w:spacing w:after="0" w:line="157" w:lineRule="exact"/>
        <w:rPr>
          <w:rFonts w:ascii="Arial" w:cs="Arial" w:eastAsia="Arial" w:hAnsi="Arial"/>
          <w:sz w:val="18"/>
          <w:szCs w:val="18"/>
          <w:color w:val="auto"/>
        </w:rPr>
      </w:pPr>
    </w:p>
    <w:p>
      <w:pPr>
        <w:jc w:val="both"/>
        <w:ind w:left="980" w:firstLine="324"/>
        <w:spacing w:after="0" w:line="251" w:lineRule="auto"/>
        <w:tabs>
          <w:tab w:leader="none" w:pos="19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Exclusion. Notwithstanding anything to the contrary contained in this Section 9 of Article I, the Corporation shall not be required to include, pursuant to this Section 9 of Article I, a Stockholder Nominee in its proxy materials, or, if the proxy statement has already been filed, to allow the nomination of a Stockholder Nominee, notwithstanding that proxies in respect of such vote have been received by the Corporation: (i) if the Eligible Stockholder who has nominated such Stockholder Nominee has engaged in or is currently engaged in, or has been or is a “participant” in another person’s, “solicitation” within the meaning of Rule 14a-1(l) under the Exchange Act in support of the election of any person as a director at the annual meeting other than its Stockholder Nominee(s) or a nominee of the Board of Directors, (ii) who would not be an independent director under the Independence Standards, (iii) whose election as a member of the Board of Directors would cause the Corporation to be in violation of these Bylaws, the Certificate of Incorporation, the rules and listing standards of the</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principal United States securities exchanges upon which the common stock of the Corporation is listed or traded, or any applicable state or federal law, rule or regulation, (iv) who is or has been, within the three (3) years preceding the date on which the Notice of Proxy Access Nomination is delivered, an officer or director of a competitor, as defined in Section 8 of the Clayton Antitrust Act of 1914, (v) who is a named subject of a pending criminal proceeding (excluding traffic violations and other minor offenses) or has been convicted in such a criminal proceeding within the ten (10) years preceding the date on which the Notice of Proxy Access Nomination is delivered, (vi) who is subject to any order of the type specified in Rule 506(d) of Regulation D promulgated under the Securities Act of 1933, as amended, (vii) if such Stockholder Nominee or the applicable Eligible Stockholder shall have provided any information to the Corporation or its stockholders in respect of the nomination that was untrue in any material respect or that omitted to state a material fact necessary to make the statements made, in light of the circumstances in which they were made, not misleading, (viii) if such Stockholder Nominee or the applicable Eligible Stockholder otherwise breaches or fails to comply with any of the agreements or representations made by such Stockholder Nominee or Eligible Stockholder or fails to comply with its obligations under this Section 9 of Article I, or (ix) if the Eligible Stockholder ceases to be an Eligible Stockholder for any reason, including but not limited to not owning the Required Shares through the date of the annual meeting.</w:t>
      </w:r>
    </w:p>
    <w:p>
      <w:pPr>
        <w:spacing w:after="0" w:line="155" w:lineRule="exact"/>
        <w:rPr>
          <w:sz w:val="20"/>
          <w:szCs w:val="20"/>
          <w:color w:val="auto"/>
        </w:rPr>
      </w:pPr>
    </w:p>
    <w:p>
      <w:pPr>
        <w:jc w:val="both"/>
        <w:ind w:firstLine="324"/>
        <w:spacing w:after="0" w:line="251" w:lineRule="auto"/>
        <w:tabs>
          <w:tab w:leader="none" w:pos="9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Notwithstanding anything to the contrary set forth herein, if (i) a Stockholder Nominee or the applicable Eligible Stockholder breaches or fails to comply with any of its or their obligations, agreements or representations under this Section 9 of Article I or (ii) a Stockholder Nominee otherwise becomes ineligible for inclusion in the Corporation’s proxy materials pursuant to this Section 9 of Article I or dies or otherwise becomes ineligible or unavailable for election at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chairperson of the annual meeting shall declare such nomination to be invalid and such nomination shall be disregarded notwithstanding that proxies in respect of such vote may have been received by the Corporation. In addition, if the Eligible Stockholder (or a representative thereof) does not appear at the annual meeting to present any nomination pursuant to this Section 9 of Article I, such nomination shall be declared invalid and disregarded as provided in clause (z) above.</w:t>
      </w:r>
    </w:p>
    <w:p>
      <w:pPr>
        <w:spacing w:after="0" w:line="155" w:lineRule="exact"/>
        <w:rPr>
          <w:rFonts w:ascii="Arial" w:cs="Arial" w:eastAsia="Arial" w:hAnsi="Arial"/>
          <w:sz w:val="18"/>
          <w:szCs w:val="18"/>
          <w:color w:val="auto"/>
        </w:rPr>
      </w:pPr>
    </w:p>
    <w:p>
      <w:pPr>
        <w:jc w:val="both"/>
        <w:ind w:firstLine="324"/>
        <w:spacing w:after="0" w:line="251" w:lineRule="auto"/>
        <w:tabs>
          <w:tab w:leader="none" w:pos="9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Nominating Stockholder Undertakings. Whenever the Eligible Stockholder consists of a group of stockholders (including two or more funds under common management and sharing a common investment adviser), (i) each provision in this Section 9 of Article I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in order to meet the three percent (3%) ownership requirement of the “Required Shares” definition) and (ii) a breach of, or failure to comply with, any obligation, agreement or representation under this Section 9 of Article I by any member of such group shall be deemed a breach by the Eligible Stockholder. No person may be a member of more than one group of stockholders constituting an Eligible Stockholder with respect to any annual meeting.</w:t>
      </w:r>
    </w:p>
    <w:p>
      <w:pPr>
        <w:sectPr>
          <w:pgSz w:w="11900" w:h="16838" w:orient="portrait"/>
          <w:cols w:equalWidth="0" w:num="1">
            <w:col w:w="10260"/>
          </w:cols>
          <w:pgMar w:left="130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80" w:firstLine="324"/>
        <w:spacing w:after="0" w:line="253" w:lineRule="auto"/>
        <w:tabs>
          <w:tab w:leader="none" w:pos="19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u w:val="single" w:color="auto"/>
          <w:color w:val="auto"/>
        </w:rPr>
        <w:t>Eligibility by a Stockholder Nominee</w:t>
      </w:r>
      <w:r>
        <w:rPr>
          <w:rFonts w:ascii="Arial" w:cs="Arial" w:eastAsia="Arial" w:hAnsi="Arial"/>
          <w:sz w:val="18"/>
          <w:szCs w:val="18"/>
          <w:color w:val="auto"/>
        </w:rPr>
        <w:t>. Any Stockholder Nominee who is included in the Corporation’s proxy materials for a particular annual meeting of stockholders but withdraws from or becomes ineligible or unavailable for election at the annual meeting will be ineligible to be a Stockholder Nominee pursuant to this Section 9 of Article I for the next two (2) annual meetings of stockholders. For the avoidance of doubt, the immediately preceding sentence shall not prevent any stockholder from nominating any person to the Board of Directors pursuant to and in accordance with Section 1(c).</w:t>
      </w:r>
    </w:p>
    <w:p>
      <w:pPr>
        <w:spacing w:after="0" w:line="151" w:lineRule="exact"/>
        <w:rPr>
          <w:rFonts w:ascii="Arial" w:cs="Arial" w:eastAsia="Arial" w:hAnsi="Arial"/>
          <w:sz w:val="18"/>
          <w:szCs w:val="18"/>
          <w:color w:val="auto"/>
        </w:rPr>
      </w:pPr>
    </w:p>
    <w:p>
      <w:pPr>
        <w:jc w:val="both"/>
        <w:ind w:left="980" w:firstLine="324"/>
        <w:spacing w:after="0" w:line="250" w:lineRule="auto"/>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Interpretation. The Board of Directors (and any other person or body authorized by the Board of Directors) shall have the power and authority to interpret this Section 9 of Article I and Section 1(c) and to make any and all determinations necessary or advisable to apply such sections to any persons, facts or circumstances, including, without limitation, the power to determine</w:t>
      </w:r>
    </w:p>
    <w:p>
      <w:pPr>
        <w:spacing w:after="0" w:line="1" w:lineRule="exact"/>
        <w:rPr>
          <w:rFonts w:ascii="Arial" w:cs="Arial" w:eastAsia="Arial" w:hAnsi="Arial"/>
          <w:sz w:val="18"/>
          <w:szCs w:val="18"/>
          <w:color w:val="auto"/>
        </w:rPr>
      </w:pPr>
    </w:p>
    <w:p>
      <w:pPr>
        <w:jc w:val="both"/>
        <w:ind w:left="980"/>
        <w:spacing w:after="0" w:line="251" w:lineRule="auto"/>
        <w:tabs>
          <w:tab w:leader="none" w:pos="11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 person or group of persons qualifies as an Eligible Stockholder; (ii) whether outstanding shares of the Corporation’s common stock are “owned” for the purposes of meeting the ownership requirements of this Section 9 of Article I; (iii) whether a Notice of Proxy Access Nomination complies with the requirements of this Section 9 of Article I; (iv) whether a person satisfies the qualifications and requirements imposed by this Section 9 of Article I to be a Stockholder Nominee; (v) whether the inclusion of the Required Information in the Corporation’s proxy statement is consistent with all applicable laws, rules, regulations and listing standards; and (vi) whether any and all requirements of Section 1(c) and this Section 9 of Article I have been satisfied. Any such interpretation or determination adopted in good faith by the Board of Directors (or any other person or body authorized by the Board of Directors) shall be binding on all persons, including the Corporation and all record or beneficial owners of stock of the Corporation.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of Directors.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Subject to the rights of the holders of any series of preferred stock to elect directors under specified circumstances, the number of directors shall be fixed from time to time exclusively by the Board of Directors pursuant to a resolution adopted by a majority of the Whole Board.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Newly Created Directorships and Vacancies.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vacancies and newly created directorships resulting from any increase in the authorized number of directors or any vacancies resulting from any other cause (other than vacancies and newly created directorships which the holders of any class or classes of stock or series thereof are entitled to fill under the Corporation’s Certificate of Incorporation) shall be filled in accordance with Section VII of the Corporation’s Certificate of Incorporation. No decrease in the number of authorized directors shall shorten the term of any incumbent director.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Regular Meetings.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Special Meetings.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Special meetings of the Board of Directors may be called by the Chairman of the Board, the President or by a majority of the Whole Board and shall be held at such place, on such date, and at such time as they or he or she shall fix. Notice of the place, date, and time of each such special meeting shall be given to each director by whom it is not waived by mailing written notice not less than five (5) days</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the meeting or by telephone or by telegraphing or telexing or by facsimile or electronic transmission of the same not less than twenty-four (24) hours before the meeting. Unless otherwise indicated in the notice thereof, any and all business may be transacted at a special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any meeting of the Board of Directors, a majority of the total number of the Whole Board shall constitute a quorum for all purposes. If a quorum shall fail to attend any meeting, a majority of those present may adjourn the meeting to another place, date, or time, without further notice or waiver thereof.</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Participation in Meetings By Conference Telephone.</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Conduct of Business.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Compensation of Directors.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 No such payment shall preclude any director from serving the Corporation in any other capacity and receiving compensation therefor. Members of special or standing committees may be allowed compensation for attending committee meetings.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COMMITTEES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Committees of the Board of Directors.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Conduct of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committee may determine the procedural rules for meeting and conducting its business and shall act in accordance therewith, except as otherwise provided herein or required by law. Adequate provision shall be made for notice to members of all meetings; a majority of the members shall constitute</w:t>
      </w:r>
    </w:p>
    <w:p>
      <w:pPr>
        <w:sectPr>
          <w:pgSz w:w="11900" w:h="16838" w:orient="portrait"/>
          <w:cols w:equalWidth="0" w:num="1">
            <w:col w:w="11240"/>
          </w:cols>
          <w:pgMar w:left="320" w:top="11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quorum unless the committee shall consist of one (1) or two (2) members, in which event one (1)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Generally.</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officers of the Corporation shall consist of a Chairman of the Board, a President, one or more Vice Presidents, a Secretary, a Treasurer and such other officers (including a Vice Chairman of the Board and a Chairman Emeritus)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such officers as may be designated by resolution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Chief Executive Officer.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Board of Directors shall designate either the Chairman of the Board or the President as the chief executive officer of the Corporation. Subject to the provisions of these By-laws and to the direction of the Board of Directors, the chief executive officer shall have the responsibility for the general management and control of the business and affairs of the Corporation and shall perform all duties and have all powers which are commonly incident to the office of chief executive or which are delegated to him or her by the Board of Directors. He or she shall have power to sign all stock certificates, contracts and other instruments of the Corporation which are authorized and shall have general supervision and direction of all of the other officers, employees and agents of the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Chief Financial Officer.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Board of Directors may designate an officer of the Corporation as the chief financial officer of the Corporation. The chief financial officer shall have general responsibility for the management and control of the financial operations of the Corporation and shall perform all duties and have all powers which are commonly incident to the office of chief financial officer or which are delegated to him or her by the Board of Directors. Subject to the direction of the Board of Directors and the chief executive officer, the chief financial officer shall have power to sign all stock certificates, contracts and other instruments of the Corporation which are authorized and shall have general supervision of other officers (other than the Chairman of the Board, any Vice Chairman, and the Chief Operating Officer), employees and agents of the Corporation as directed by the Chief Executive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Operating Officer.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Board of Directors may designate an officer of the Corporation as the chief operating officer of the Corporation. The chief operating officer shall have general responsibility for the management and control of the operations of the Corporation and shall perform all duties and have all powers which are commonly incident to the office of chief operating officer or which are delegated to him or her by the Board of Directors. Subject to the direction of the Board of Directors and the chief executive officer, the chief operating officer shall have power to sign all stock certificates, contracts and other instruments of the Corporation which are authorized and shall have general supervision of other officers (other than the Chairman of the Board, any Vice Chairman, and the Chief Financial Officer), employees and agents of the Corporation as directed by the Chief Executive Officer.</w:t>
      </w:r>
    </w:p>
    <w:p>
      <w:pPr>
        <w:sectPr>
          <w:pgSz w:w="11900" w:h="16838" w:orient="portrait"/>
          <w:cols w:equalWidth="0" w:num="1">
            <w:col w:w="11240"/>
          </w:cols>
          <w:pgMar w:left="320" w:top="1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V. </w:t>
      </w:r>
      <w:r>
        <w:rPr>
          <w:rFonts w:ascii="Arial" w:cs="Arial" w:eastAsia="Arial" w:hAnsi="Arial"/>
          <w:sz w:val="18"/>
          <w:szCs w:val="18"/>
          <w:u w:val="single" w:color="auto"/>
          <w:color w:val="auto"/>
        </w:rPr>
        <w:t>Vice President.</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Vice President shall have such powers and duties as may be delegated to him or her by the Board of Directors. One (1) Vice President shall be designated by the Board of Directors to perform the duties and exercise the powers of the President in the event of the President’s absence or disability.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Treasurer.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Delegation of Authority.</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Removal.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officer of the Corporation may be removed at any time, with or without cause, by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 Respect to Securities of Other Corporations.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Certificated and Uncertificated Stock</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Shares of the Corporation’s stock may be certificated or uncertificated, as provided under the Delaware General Corporation Law. All certificates of stock of the Corporation shall be numbered and shall be entered in the books of the Corporation as they are issued. Such certificates shall exhibit the holder’s name and number of shares and shall be signed by the Chairman or a Vice Chairman or the President or a Vice President and by the Treasurer or an Assistant Treasurer or the Secretary or an Assistant Secretary. Any or all of such signatures on the certificate may be a facsimile.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of Stock.</w:t>
      </w:r>
    </w:p>
    <w:p>
      <w:pPr>
        <w:spacing w:after="0" w:line="17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Transfers of stock shall be made on the books of the Corporation only by the record holder of such stock, or by an attorney lawfully constituted in writing, and, in the case of stock represented by a certificate, upon surrender of the certificate.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Date.</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Stolen or Destroyed Certificates.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Regulations.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issue, transfer, conversion and registration of certificates of stock shall be governed by such other regulations as the Board of Directors may establish.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 - NOTICES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Notices.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sole purpose of objecting to the timeliness of notice.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 - INDEMNIFICATION OF DIRECTORS AND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Right to Indemnification.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person who was or is made a party or is threatened to be made a party to or is otherwise involved in any threatened, pending or completed action, suit or proceeding, whether civil, criminal, administrative or investigative (hereinafter a “proceeding”), by reason of the fact that he or she is or was a director or an officer of the Corporation or is or was serving at the request of the Corporation as a director,</w:t>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officer or trustee of another corporation or of a partnership, joint venture, trust or other enterprise, including service with respect to an employee benefit plan (hereinafter an “indemnitee”), whether the basis of such proceeding is alleged action in an official capacity as a director, officer or trustee or in any other capacity while serving as a director, officer or trustee,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this Article VII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Right to Advancement of Expenses.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the right to indemnification conferred in Section 1 of this Article VII, an indemnitee shall also have the right to be paid by the Corporation the expenses (including attorney’s fees)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2 or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Right of Indemnitee to Bring Suit.</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a claim under Section 1 or 2 of this Article VII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w:t>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indemnitee is not entitled to be indemnified, or to such advancement of expenses, under this Article VII or otherwise shall be on the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 of Rights.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rights to indemnification and to the advancement of expenses conferred in this Article VII shall not be exclusive of any other right which any person may have or hereafter acquire under any statute, the Corporation’s certificate of incorporation, Bylaws, agreement, vote of stockholders or directors or otherwise.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Insurance.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of Employees and Agents of the Corporation.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Corporation may, to the extent authorized from time to time by the Board of Directors, grant rights to indemnification and to the advancement of expenses to any employee or agent of the Corporation to the fullest extent of the provisions of this Article with respect to the indemnification and advancement of expenses of directors and officers of the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Nature of Rights.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rights conferred upon indemnitees in this Article VII shall be contract rights and such rights shall continue as to an indemnitee who has ceased to be a director, officer or trustee and shall inure to the benefit of the indemnitee’s heirs, executors and administrators. Any amendment, alteration or repeal of this Article VII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or repeal.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 - 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Facsimile Signatures.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Corporate Seal.</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Reliance upon Books, Reports and Records.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w:t>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committee member reasonably believes are within such other person’s professional or expert competence and who has been selected with reasonable care by or on behalf of the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as fixed by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Time Periods.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Severability.</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determination that any provision of these By-Laws is for any reason inapplicable, illegal or ineffective shall not affect or invalidate any other provision of these By-Laws.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 - AMENDMENTS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furtherance and not in limitation of the powers conferred by law, the Board of Directors is expressly authorized to adopt, amend and repeal these By-Laws subject to the power of the holders of capital stock of the Corporation to adopt, amend or repeal the By-Laws; provided, however, that, with respect to the power of holders of capital stock to adopt, amend and repeal By-Laws of the Corporation, notwithstanding any other provision of these By-Laws or any provision of law which might otherwise permit a lesser vote or no vote, but in addition to any affirmative vote of the holders of any particular class or series of the capital stock of the Corporation required by law, these By-Laws or any preferred stock, the affirmative vote of the holders of at least a majority of the voting power of all of the then-outstanding shares entitled to vote generally in the election of directors, voting together as a single class, shall be required to adopt, amend or repeal any provision of these By-Laws.</w:t>
      </w:r>
    </w:p>
    <w:p>
      <w:pPr>
        <w:sectPr>
          <w:pgSz w:w="11900" w:h="16838" w:orient="portrait"/>
          <w:cols w:equalWidth="0" w:num="1">
            <w:col w:w="11240"/>
          </w:cols>
          <w:pgMar w:left="320" w:top="1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line="234" w:lineRule="auto"/>
        <w:rPr>
          <w:sz w:val="20"/>
          <w:szCs w:val="20"/>
          <w:color w:val="auto"/>
        </w:rPr>
      </w:pPr>
      <w:r>
        <w:rPr>
          <w:rFonts w:ascii="Arial" w:cs="Arial" w:eastAsia="Arial" w:hAnsi="Arial"/>
          <w:sz w:val="18"/>
          <w:szCs w:val="18"/>
          <w:b w:val="1"/>
          <w:bCs w:val="1"/>
          <w:color w:val="auto"/>
        </w:rPr>
        <w:t>ACUITY BRANDS,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SUPPLEMENTAL EXECUTIVE RETIREMENT PLAN</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No. 1 is made as of the 26th day of October, 2020, by Acuity Brands, Inc. (the “Company”).</w:t>
      </w:r>
    </w:p>
    <w:p>
      <w:pPr>
        <w:jc w:val="both"/>
        <w:ind w:firstLine="648"/>
        <w:spacing w:after="0" w:line="234" w:lineRule="auto"/>
        <w:rPr>
          <w:sz w:val="20"/>
          <w:szCs w:val="20"/>
          <w:color w:val="auto"/>
        </w:rPr>
      </w:pPr>
      <w:r>
        <w:rPr>
          <w:rFonts w:ascii="Arial" w:cs="Arial" w:eastAsia="Arial" w:hAnsi="Arial"/>
          <w:sz w:val="18"/>
          <w:szCs w:val="18"/>
          <w:color w:val="auto"/>
        </w:rPr>
        <w:t>WHEREAS, the Company maintains the Acuity Brands, Inc. 2002 Supplemental Executive Retirement Plan, As Amended and Restated Effective July 1, 2019 (the “Plan”);</w:t>
      </w:r>
    </w:p>
    <w:p>
      <w:pPr>
        <w:ind w:left="660"/>
        <w:spacing w:after="0" w:line="236" w:lineRule="auto"/>
        <w:rPr>
          <w:sz w:val="20"/>
          <w:szCs w:val="20"/>
          <w:color w:val="auto"/>
        </w:rPr>
      </w:pPr>
      <w:r>
        <w:rPr>
          <w:rFonts w:ascii="Arial" w:cs="Arial" w:eastAsia="Arial" w:hAnsi="Arial"/>
          <w:sz w:val="18"/>
          <w:szCs w:val="18"/>
          <w:color w:val="auto"/>
        </w:rPr>
        <w:t>WHEREAS, pursuant to Article XI of the Plan, the Company may amend the Plan at any time; and</w:t>
      </w:r>
    </w:p>
    <w:p>
      <w:pPr>
        <w:jc w:val="both"/>
        <w:ind w:firstLine="648"/>
        <w:spacing w:after="0" w:line="234" w:lineRule="auto"/>
        <w:rPr>
          <w:sz w:val="20"/>
          <w:szCs w:val="20"/>
          <w:color w:val="auto"/>
        </w:rPr>
      </w:pPr>
      <w:r>
        <w:rPr>
          <w:rFonts w:ascii="Arial" w:cs="Arial" w:eastAsia="Arial" w:hAnsi="Arial"/>
          <w:sz w:val="18"/>
          <w:szCs w:val="18"/>
          <w:color w:val="auto"/>
        </w:rPr>
        <w:t>WHEREAS, the Company desires to amend the Plan to “soft freeze” the Plan, effective as of October 26, 2020, so that no additional officers of the Company will be permitted to enter the Plan as new participants on or after that date, but that current participants will continue to accrue benefits under the current terms of the Plan;</w:t>
      </w:r>
    </w:p>
    <w:p>
      <w:pPr>
        <w:ind w:left="660"/>
        <w:spacing w:after="0" w:line="237" w:lineRule="auto"/>
        <w:rPr>
          <w:sz w:val="20"/>
          <w:szCs w:val="20"/>
          <w:color w:val="auto"/>
        </w:rPr>
      </w:pPr>
      <w:r>
        <w:rPr>
          <w:rFonts w:ascii="Arial" w:cs="Arial" w:eastAsia="Arial" w:hAnsi="Arial"/>
          <w:sz w:val="18"/>
          <w:szCs w:val="18"/>
          <w:color w:val="auto"/>
        </w:rPr>
        <w:t>NOW THEREFORE, the Plan is hereby amended as follows, effective as of October 26, 2020:</w:t>
      </w:r>
    </w:p>
    <w:p>
      <w:pPr>
        <w:ind w:left="340"/>
        <w:spacing w:after="0"/>
        <w:tabs>
          <w:tab w:leader="none" w:pos="620" w:val="left"/>
        </w:tabs>
        <w:rPr>
          <w:sz w:val="20"/>
          <w:szCs w:val="20"/>
          <w:color w:val="auto"/>
        </w:rPr>
      </w:pPr>
      <w:r>
        <w:rPr>
          <w:rFonts w:ascii="Arial" w:cs="Arial" w:eastAsia="Arial" w:hAnsi="Arial"/>
          <w:sz w:val="18"/>
          <w:szCs w:val="18"/>
          <w:color w:val="auto"/>
        </w:rPr>
        <w:t>1.</w:t>
        <w:tab/>
        <w:t>Section 2.1 of the Plan is amended by adding a new paragraph (c) to the end thereof:</w:t>
      </w:r>
    </w:p>
    <w:p>
      <w:pPr>
        <w:spacing w:after="0" w:line="23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Soft Freeze</w:t>
      </w:r>
      <w:r>
        <w:rPr>
          <w:rFonts w:ascii="Arial" w:cs="Arial" w:eastAsia="Arial" w:hAnsi="Arial"/>
          <w:sz w:val="18"/>
          <w:szCs w:val="18"/>
          <w:color w:val="auto"/>
        </w:rPr>
        <w:t>. Notwithstanding anything in the Plan to the contrary, no Executive Officer shall be permitted to enter the Plan as a new Participant on or after October 26, 2020.”</w:t>
      </w:r>
    </w:p>
    <w:p>
      <w:pPr>
        <w:spacing w:after="0" w:line="22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1.</w:t>
        <w:tab/>
        <w:t>Except as specifically amended herein, the Plan shall remain in full force and effect.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Remainder of page left intentionally blank.]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for Amendment No. 1 to the Acuity Brands, Inc. 2002 Supplemental Executive Retirement Plan]</w:t>
      </w:r>
    </w:p>
    <w:p>
      <w:pPr>
        <w:spacing w:after="0" w:line="2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WITNESS WHEREOF, the Company, by its duly authorized officer, has caused this Amendment No. 1 to be executed as of the date first written above, to be effective as of October 26, 2020.</w:t>
      </w:r>
    </w:p>
    <w:p>
      <w:pPr>
        <w:spacing w:after="0" w:line="1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ACUITY BRANDS, INC.</w:t>
      </w:r>
    </w:p>
    <w:p>
      <w:pPr>
        <w:spacing w:after="0" w:line="32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14605</wp:posOffset>
            </wp:positionV>
            <wp:extent cx="18516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14605</wp:posOffset>
            </wp:positionV>
            <wp:extent cx="18516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14605</wp:posOffset>
            </wp:positionV>
            <wp:extent cx="1851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line="234" w:lineRule="auto"/>
        <w:rPr>
          <w:sz w:val="20"/>
          <w:szCs w:val="20"/>
          <w:color w:val="auto"/>
        </w:rPr>
      </w:pPr>
      <w:r>
        <w:rPr>
          <w:rFonts w:ascii="Arial" w:cs="Arial" w:eastAsia="Arial" w:hAnsi="Arial"/>
          <w:sz w:val="18"/>
          <w:szCs w:val="18"/>
          <w:b w:val="1"/>
          <w:bCs w:val="1"/>
          <w:color w:val="auto"/>
        </w:rPr>
        <w:t>ACUITY BRANDS LIGHTING,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THIS AMENDMENT made and entered into as of October 26, 2020, by and between ACUITY BRANDS LIGHTING, INC. (the “Company”) and Karen J. Holcom (“Executive”);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WHEREAS, the Company and Executive entered into a Severance Agreement, dated as of March 28, 2018 (“Severance Agreement”) and amended as of May 28, 2019 and August 20, 2019, providing for the payment of certain compensation and benefits to Executive if Executive’s employment is terminated under certain circumstances; and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now desire to amend the Severance Agreement in the manner hereinafter provided;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Severance Agreement is hereby amended, as follows:</w:t>
      </w:r>
    </w:p>
    <w:p>
      <w:pPr>
        <w:spacing w:after="0" w:line="23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Section 4.2 is hereby amended by deleting “75%” from clause (i) and substituting “100%” in lieu thereof.</w:t>
      </w:r>
    </w:p>
    <w:p>
      <w:pPr>
        <w:spacing w:after="0" w:line="239" w:lineRule="exact"/>
        <w:rPr>
          <w:sz w:val="20"/>
          <w:szCs w:val="20"/>
          <w:color w:val="auto"/>
        </w:rPr>
      </w:pPr>
    </w:p>
    <w:p>
      <w:pPr>
        <w:ind w:left="660" w:hanging="328"/>
        <w:spacing w:after="0" w:line="234"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Amendment to the Severance Agreement shall be effective as of the date of this Amendment. Except as hereby modified, the Severance Agreement shall remain in full force and effect.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on the date(s) written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4960" w:type="dxa"/>
            <w:vAlign w:val="bottom"/>
          </w:tcPr>
          <w:p>
            <w:pPr>
              <w:spacing w:after="0"/>
              <w:rPr>
                <w:sz w:val="24"/>
                <w:szCs w:val="24"/>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b w:val="1"/>
                <w:bCs w:val="1"/>
                <w:color w:val="auto"/>
              </w:rPr>
              <w:t>ACUITY BRANDS, INC.</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/s/ Karen J. Holcom</w:t>
            </w:r>
          </w:p>
        </w:tc>
        <w:tc>
          <w:tcPr>
            <w:tcW w:w="6240" w:type="dxa"/>
            <w:vAlign w:val="bottom"/>
            <w:gridSpan w:val="2"/>
          </w:tcPr>
          <w:p>
            <w:pPr>
              <w:ind w:left="3040"/>
              <w:spacing w:after="0"/>
              <w:rPr>
                <w:sz w:val="20"/>
                <w:szCs w:val="20"/>
                <w:color w:val="auto"/>
              </w:rPr>
            </w:pPr>
            <w:r>
              <w:rPr>
                <w:rFonts w:ascii="Arial" w:cs="Arial" w:eastAsia="Arial" w:hAnsi="Arial"/>
                <w:sz w:val="18"/>
                <w:szCs w:val="18"/>
                <w:color w:val="auto"/>
              </w:rPr>
              <w:t>By: /s/ Neil M. Ashe</w:t>
            </w:r>
          </w:p>
        </w:tc>
      </w:tr>
      <w:tr>
        <w:trPr>
          <w:trHeight w:val="237"/>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Karen J. Holcom</w:t>
            </w:r>
          </w:p>
        </w:tc>
        <w:tc>
          <w:tcPr>
            <w:tcW w:w="3320" w:type="dxa"/>
            <w:vAlign w:val="bottom"/>
          </w:tcPr>
          <w:p>
            <w:pPr>
              <w:spacing w:after="0"/>
              <w:rPr>
                <w:sz w:val="20"/>
                <w:szCs w:val="20"/>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NEIL M. ASHE</w:t>
            </w:r>
          </w:p>
        </w:tc>
      </w:tr>
      <w:tr>
        <w:trPr>
          <w:trHeight w:val="257"/>
        </w:trPr>
        <w:tc>
          <w:tcPr>
            <w:tcW w:w="49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President and CEO</w:t>
            </w:r>
          </w:p>
        </w:tc>
      </w:tr>
    </w:tbl>
    <w:p>
      <w:pPr>
        <w:sectPr>
          <w:pgSz w:w="11900" w:h="16838" w:orient="portrait"/>
          <w:cols w:equalWidth="0" w:num="1">
            <w:col w:w="11240"/>
          </w:cols>
          <w:pgMar w:left="320" w:top="118" w:right="339" w:bottom="1440" w:gutter="0" w:footer="0" w:header="0"/>
        </w:sectPr>
      </w:pPr>
    </w:p>
    <w:bookmarkStart w:id="63" w:name="page64"/>
    <w:bookmarkEnd w:id="63"/>
    <w:p>
      <w:pPr>
        <w:ind w:left="10060"/>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1260" w:type="dxa"/>
            <w:vAlign w:val="bottom"/>
            <w:gridSpan w:val="4"/>
          </w:tcPr>
          <w:p>
            <w:pPr>
              <w:ind w:left="1440"/>
              <w:spacing w:after="0"/>
              <w:rPr>
                <w:sz w:val="20"/>
                <w:szCs w:val="20"/>
                <w:color w:val="auto"/>
              </w:rPr>
            </w:pPr>
            <w:r>
              <w:rPr>
                <w:rFonts w:ascii="Arial" w:cs="Arial" w:eastAsia="Arial" w:hAnsi="Arial"/>
                <w:sz w:val="18"/>
                <w:szCs w:val="18"/>
                <w:b w:val="1"/>
                <w:bCs w:val="1"/>
                <w:color w:val="auto"/>
              </w:rPr>
              <w:t>ACUITY BRANDS, INC. Amended and Restated 2012 Omnibus Stock Incentive Compensation Plan</w:t>
            </w:r>
          </w:p>
        </w:tc>
      </w:tr>
      <w:tr>
        <w:trPr>
          <w:trHeight w:val="364"/>
        </w:trPr>
        <w:tc>
          <w:tcPr>
            <w:tcW w:w="2900" w:type="dxa"/>
            <w:vAlign w:val="bottom"/>
          </w:tcPr>
          <w:p>
            <w:pPr>
              <w:spacing w:after="0"/>
              <w:rPr>
                <w:sz w:val="24"/>
                <w:szCs w:val="24"/>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b w:val="1"/>
                <w:bCs w:val="1"/>
                <w:color w:val="auto"/>
              </w:rPr>
              <w:t>Global Performance Unit Notification and Award Agreement</w:t>
            </w:r>
          </w:p>
        </w:tc>
      </w:tr>
      <w:tr>
        <w:trPr>
          <w:trHeight w:val="189"/>
        </w:trPr>
        <w:tc>
          <w:tcPr>
            <w:tcW w:w="29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r>
      <w:tr>
        <w:trPr>
          <w:trHeight w:val="222"/>
        </w:trPr>
        <w:tc>
          <w:tcPr>
            <w:tcW w:w="29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Grantee:</w:t>
            </w:r>
          </w:p>
        </w:tc>
        <w:tc>
          <w:tcPr>
            <w:tcW w:w="836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/$ParticipantName$/</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Type:</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/$GrantType$/</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ID:</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/$GrantID$/</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Date:</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/$GrantDate$/</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Target Award Amount:</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/$AwardsGranted$/</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Maximum Award Amount:</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Up to 200% of the Target Award Amount</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Performance Period:</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Three-Year Period Comprised of Fiscal Years 2021, 2022, 2023</w:t>
            </w:r>
          </w:p>
        </w:tc>
      </w:tr>
      <w:tr>
        <w:trPr>
          <w:trHeight w:val="203"/>
        </w:trPr>
        <w:tc>
          <w:tcPr>
            <w:tcW w:w="290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Service Period:</w:t>
            </w:r>
          </w:p>
        </w:tc>
        <w:tc>
          <w:tcPr>
            <w:tcW w:w="83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Three-Year Cliff Vest on October 26, 2023</w:t>
            </w:r>
          </w:p>
        </w:tc>
      </w:tr>
      <w:tr>
        <w:trPr>
          <w:trHeight w:val="176"/>
        </w:trPr>
        <w:tc>
          <w:tcPr>
            <w:tcW w:w="290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Grantee Level:</w:t>
            </w:r>
          </w:p>
        </w:tc>
        <w:tc>
          <w:tcPr>
            <w:tcW w:w="8360" w:type="dxa"/>
            <w:vAlign w:val="bottom"/>
            <w:tcBorders>
              <w:right w:val="single" w:sz="8" w:color="auto"/>
            </w:tcBorders>
            <w:gridSpan w:val="3"/>
          </w:tcPr>
          <w:p>
            <w:pPr>
              <w:ind w:left="240"/>
              <w:spacing w:after="0" w:line="176" w:lineRule="exact"/>
              <w:rPr>
                <w:sz w:val="20"/>
                <w:szCs w:val="20"/>
                <w:color w:val="auto"/>
              </w:rPr>
            </w:pPr>
            <w:r>
              <w:rPr>
                <w:rFonts w:ascii="Arial" w:cs="Arial" w:eastAsia="Arial" w:hAnsi="Arial"/>
                <w:sz w:val="18"/>
                <w:szCs w:val="18"/>
                <w:color w:val="auto"/>
              </w:rPr>
              <w:t>/$UserCode2$/ for Stock Ownership Guidelines (Exhibit A)</w:t>
            </w:r>
          </w:p>
        </w:tc>
      </w:tr>
      <w:tr>
        <w:trPr>
          <w:trHeight w:val="230"/>
        </w:trPr>
        <w:tc>
          <w:tcPr>
            <w:tcW w:w="29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Accept by Date:</w:t>
            </w:r>
          </w:p>
        </w:tc>
        <w:tc>
          <w:tcPr>
            <w:tcW w:w="41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/$AcceptByDate$/</w:t>
            </w:r>
          </w:p>
        </w:tc>
        <w:tc>
          <w:tcPr>
            <w:tcW w:w="700" w:type="dxa"/>
            <w:vAlign w:val="bottom"/>
            <w:tcBorders>
              <w:top w:val="single" w:sz="8" w:color="auto"/>
              <w:bottom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Acuity Brands, Inc. (the “Company”) maintains the Amended and Restated Acuity Brands, Inc. 2012 Omnibus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 (the “Plan”) under which the Compensation Committee of the Company’s Board of Directors (the “Committee”) has authority to grant Performance Units; and</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Performance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to the Grantee identified above, subject to the terms and conditions set forth in the Plan and this Global Performance Unit Notification and Award Agreement, together with its exhibits (the “Agreement”).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the parties agree as follows:</w:t>
      </w:r>
    </w:p>
    <w:p>
      <w:pPr>
        <w:spacing w:after="0" w:line="171" w:lineRule="exact"/>
        <w:rPr>
          <w:sz w:val="20"/>
          <w:szCs w:val="20"/>
          <w:color w:val="auto"/>
        </w:rPr>
      </w:pPr>
    </w:p>
    <w:p>
      <w:pPr>
        <w:jc w:val="both"/>
        <w:ind w:left="660" w:right="20" w:hanging="328"/>
        <w:spacing w:after="0" w:line="257"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Incorporation of the Plan</w:t>
      </w:r>
      <w:r>
        <w:rPr>
          <w:rFonts w:ascii="Arial" w:cs="Arial" w:eastAsia="Arial" w:hAnsi="Arial"/>
          <w:sz w:val="18"/>
          <w:szCs w:val="18"/>
          <w:color w:val="auto"/>
        </w:rPr>
        <w:t>. The provisions of the Plan are hereby incorporated by reference. Except as otherwise expressly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28" w:lineRule="exact"/>
        <w:rPr>
          <w:rFonts w:ascii="Arial" w:cs="Arial" w:eastAsia="Arial" w:hAnsi="Arial"/>
          <w:sz w:val="18"/>
          <w:szCs w:val="18"/>
          <w:color w:val="auto"/>
        </w:rPr>
      </w:pPr>
    </w:p>
    <w:p>
      <w:pPr>
        <w:jc w:val="both"/>
        <w:ind w:left="660" w:right="20" w:hanging="328"/>
        <w:spacing w:after="0" w:line="257"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Grant of Performance Unit Award</w:t>
      </w:r>
      <w:r>
        <w:rPr>
          <w:rFonts w:ascii="Arial" w:cs="Arial" w:eastAsia="Arial" w:hAnsi="Arial"/>
          <w:sz w:val="18"/>
          <w:szCs w:val="18"/>
          <w:color w:val="auto"/>
        </w:rPr>
        <w:t>. The Committee, on behalf of the Company, hereby grants to Grantee, effective as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as otherwise provided in the Plan. The actual number of Performance Units earned pursuant to the Award will be determined based on the achievement of the Performance Goals during the Performance Period, as further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jc w:val="both"/>
        <w:ind w:left="660" w:right="20" w:hanging="328"/>
        <w:spacing w:after="0" w:line="262"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Acceptance of Performance Unit Award</w:t>
      </w:r>
      <w:r>
        <w:rPr>
          <w:rFonts w:ascii="Arial" w:cs="Arial" w:eastAsia="Arial" w:hAnsi="Arial"/>
          <w:sz w:val="18"/>
          <w:szCs w:val="18"/>
          <w:color w:val="auto"/>
        </w:rPr>
        <w:t>. This award of Performance Units is conditioned upon Grantee’s acceptance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ectPr>
          <w:pgSz w:w="11900" w:h="16838" w:orient="portrait"/>
          <w:cols w:equalWidth="0" w:num="1">
            <w:col w:w="11260"/>
          </w:cols>
          <w:pgMar w:left="320" w:top="118"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328" w:hanging="328"/>
        <w:spacing w:after="0" w:line="255" w:lineRule="auto"/>
        <w:tabs>
          <w:tab w:leader="none" w:pos="31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Performance Goals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sets forth the Performance Goals that must be satisfied in order for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to be eligible to vest, subject to Grantee’s satisfaction of the Service Period, except as otherwise set forth in Section 5. The Committee shall certify the extent to which the Performance Goals have been achieved with such certification occurring as soon as practicable following the end of the Performance Period and in any event no later than ninety (90) 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126" w:lineRule="exact"/>
        <w:rPr>
          <w:rFonts w:ascii="Arial" w:cs="Arial" w:eastAsia="Arial" w:hAnsi="Arial"/>
          <w:sz w:val="18"/>
          <w:szCs w:val="18"/>
          <w:color w:val="auto"/>
        </w:rPr>
      </w:pPr>
    </w:p>
    <w:p>
      <w:pPr>
        <w:ind w:left="308" w:hanging="308"/>
        <w:spacing w:after="0"/>
        <w:tabs>
          <w:tab w:leader="none" w:pos="30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Vesting of Performance Unit Award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968" w:hanging="320"/>
        <w:spacing w:after="0" w:line="254" w:lineRule="auto"/>
        <w:tabs>
          <w:tab w:leader="none" w:pos="95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49" w:lineRule="exact"/>
        <w:rPr>
          <w:rFonts w:ascii="Arial" w:cs="Arial" w:eastAsia="Arial" w:hAnsi="Arial"/>
          <w:sz w:val="18"/>
          <w:szCs w:val="18"/>
          <w:color w:val="auto"/>
        </w:rPr>
      </w:pPr>
    </w:p>
    <w:p>
      <w:pPr>
        <w:jc w:val="both"/>
        <w:ind w:left="968" w:hanging="320"/>
        <w:spacing w:after="0" w:line="252" w:lineRule="auto"/>
        <w:tabs>
          <w:tab w:leader="none" w:pos="95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Vesting Acceleration Following Termination due to Death or Disability</w:t>
      </w:r>
      <w:r>
        <w:rPr>
          <w:rFonts w:ascii="Arial" w:cs="Arial" w:eastAsia="Arial" w:hAnsi="Arial"/>
          <w:sz w:val="18"/>
          <w:szCs w:val="18"/>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52" w:lineRule="exact"/>
        <w:rPr>
          <w:rFonts w:ascii="Arial" w:cs="Arial" w:eastAsia="Arial" w:hAnsi="Arial"/>
          <w:sz w:val="18"/>
          <w:szCs w:val="18"/>
          <w:color w:val="auto"/>
        </w:rPr>
      </w:pPr>
    </w:p>
    <w:p>
      <w:pPr>
        <w:jc w:val="both"/>
        <w:ind w:left="968" w:hanging="320"/>
        <w:spacing w:after="0" w:line="251" w:lineRule="auto"/>
        <w:tabs>
          <w:tab w:leader="none" w:pos="95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Vesting Following Termination with Tenure</w:t>
      </w:r>
      <w:r>
        <w:rPr>
          <w:rFonts w:ascii="Arial" w:cs="Arial" w:eastAsia="Arial" w:hAnsi="Arial"/>
          <w:sz w:val="18"/>
          <w:szCs w:val="18"/>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155" w:lineRule="exact"/>
        <w:rPr>
          <w:rFonts w:ascii="Arial" w:cs="Arial" w:eastAsia="Arial" w:hAnsi="Arial"/>
          <w:sz w:val="18"/>
          <w:szCs w:val="18"/>
          <w:color w:val="auto"/>
        </w:rPr>
      </w:pPr>
    </w:p>
    <w:p>
      <w:pPr>
        <w:jc w:val="both"/>
        <w:ind w:left="968" w:hanging="320"/>
        <w:spacing w:after="0" w:line="256" w:lineRule="auto"/>
        <w:tabs>
          <w:tab w:leader="none" w:pos="95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Any Other Reason</w:t>
      </w:r>
      <w:r>
        <w:rPr>
          <w:rFonts w:ascii="Arial" w:cs="Arial" w:eastAsia="Arial" w:hAnsi="Arial"/>
          <w:sz w:val="18"/>
          <w:szCs w:val="18"/>
          <w:color w:val="auto"/>
        </w:rPr>
        <w:t>. Except for death, Termination due to Disability or Termination with Tenure, as provided in Sections 5(b) and (c) above, or except as otherwise provided in a duly approved severance agreement with Grantee, if</w:t>
      </w:r>
    </w:p>
    <w:p>
      <w:pPr>
        <w:sectPr>
          <w:pgSz w:w="11900" w:h="16838" w:orient="portrait"/>
          <w:cols w:equalWidth="0" w:num="1">
            <w:col w:w="10908"/>
          </w:cols>
          <w:pgMar w:left="652"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8"/>
        <w:spacing w:after="0" w:line="251" w:lineRule="auto"/>
        <w:rPr>
          <w:sz w:val="20"/>
          <w:szCs w:val="20"/>
          <w:color w:val="auto"/>
        </w:rPr>
      </w:pPr>
      <w:r>
        <w:rPr>
          <w:rFonts w:ascii="Arial" w:cs="Arial" w:eastAsia="Arial" w:hAnsi="Arial"/>
          <w:sz w:val="18"/>
          <w:szCs w:val="18"/>
          <w:color w:val="auto"/>
        </w:rPr>
        <w:t xml:space="preserve">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employment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w:t>
      </w:r>
      <w:r>
        <w:rPr>
          <w:rFonts w:ascii="Arial" w:cs="Arial" w:eastAsia="Arial" w:hAnsi="Arial"/>
          <w:sz w:val="18"/>
          <w:szCs w:val="18"/>
          <w:color w:val="0000FF"/>
        </w:rPr>
        <w:t>For greater certainty, Grantee’s Date</w:t>
      </w:r>
      <w:r>
        <w:rPr>
          <w:rFonts w:ascii="Arial" w:cs="Arial" w:eastAsia="Arial" w:hAnsi="Arial"/>
          <w:sz w:val="18"/>
          <w:szCs w:val="18"/>
          <w:color w:val="auto"/>
        </w:rPr>
        <w:t xml:space="preserve"> of </w:t>
      </w:r>
      <w:r>
        <w:rPr>
          <w:rFonts w:ascii="Arial" w:cs="Arial" w:eastAsia="Arial" w:hAnsi="Arial"/>
          <w:sz w:val="18"/>
          <w:szCs w:val="18"/>
          <w:color w:val="0000FF"/>
        </w:rPr>
        <w:t>Termination</w:t>
      </w:r>
      <w:r>
        <w:rPr>
          <w:rFonts w:ascii="Arial" w:cs="Arial" w:eastAsia="Arial" w:hAnsi="Arial"/>
          <w:sz w:val="18"/>
          <w:szCs w:val="18"/>
          <w:color w:val="auto"/>
        </w:rPr>
        <w:t xml:space="preserve">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56" w:lineRule="exact"/>
        <w:rPr>
          <w:sz w:val="20"/>
          <w:szCs w:val="20"/>
          <w:color w:val="auto"/>
        </w:rPr>
      </w:pPr>
    </w:p>
    <w:p>
      <w:pPr>
        <w:jc w:val="both"/>
        <w:ind w:left="968" w:hanging="320"/>
        <w:spacing w:after="0" w:line="252" w:lineRule="auto"/>
        <w:tabs>
          <w:tab w:leader="none" w:pos="95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a Change in Control</w:t>
      </w:r>
      <w:r>
        <w:rPr>
          <w:rFonts w:ascii="Arial" w:cs="Arial" w:eastAsia="Arial" w:hAnsi="Arial"/>
          <w:sz w:val="18"/>
          <w:szCs w:val="18"/>
          <w:color w:val="auto"/>
        </w:rPr>
        <w:t>. Notwithstanding the other provisions of this Agreement, in the event of a Change in Control prior to the Vesting Date, all Performance Units shall become fully vested and non-forfeitable as of the date of the Change in Control in an amount equal to the Target Award Amount; provided, however, that if the Change in Control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32" w:lineRule="exact"/>
        <w:rPr>
          <w:rFonts w:ascii="Arial" w:cs="Arial" w:eastAsia="Arial" w:hAnsi="Arial"/>
          <w:sz w:val="18"/>
          <w:szCs w:val="18"/>
          <w:color w:val="auto"/>
        </w:rPr>
      </w:pPr>
    </w:p>
    <w:p>
      <w:pPr>
        <w:jc w:val="both"/>
        <w:ind w:left="328" w:hanging="328"/>
        <w:spacing w:after="0" w:line="255" w:lineRule="auto"/>
        <w:tabs>
          <w:tab w:leader="none" w:pos="316"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During the period that Grantee holds Performance Units granted pursuant to this Agreement, on each date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pays a cash dividend to holders on its Common Stock, the Company shall credit to a non-interest bearing account on its books for Grantee an unvested amount equal to the United States (“U.S.”) Dollar amount paid per share of the Company’s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30" w:lineRule="exact"/>
        <w:rPr>
          <w:rFonts w:ascii="Arial" w:cs="Arial" w:eastAsia="Arial" w:hAnsi="Arial"/>
          <w:sz w:val="18"/>
          <w:szCs w:val="18"/>
          <w:color w:val="auto"/>
        </w:rPr>
      </w:pPr>
    </w:p>
    <w:p>
      <w:pPr>
        <w:jc w:val="both"/>
        <w:ind w:left="328" w:hanging="328"/>
        <w:spacing w:after="0" w:line="254" w:lineRule="auto"/>
        <w:tabs>
          <w:tab w:leader="none" w:pos="316"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Performance Units vest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this Agreement. As soon as practical and in any event within sixty (60) days after the Vesting Date (or within such longer period as may be permitted under Section 409A upon Grantee’s death), and subject to the Company’s Incentive-Based Compensation Recoupment Policy (described in Section 11 below) and the applicable terms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15.2 of the Plan, and (b) to the extent that (i) the Performance Units constitute “nonqualified deferred compensation” subject to Section 409A, (ii) Grantee is subject to U.S. federal taxation and (iii) the aforementioned sixty (60) day period spans two calendar years,</w:t>
      </w:r>
    </w:p>
    <w:p>
      <w:pPr>
        <w:sectPr>
          <w:pgSz w:w="11900" w:h="16838" w:orient="portrait"/>
          <w:cols w:equalWidth="0" w:num="1">
            <w:col w:w="10908"/>
          </w:cols>
          <w:pgMar w:left="652"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Performance Units and any Dividend Equivalents will be paid in the second of such calendar years.</w:t>
      </w:r>
    </w:p>
    <w:p>
      <w:pPr>
        <w:spacing w:after="0" w:line="149" w:lineRule="exact"/>
        <w:rPr>
          <w:sz w:val="20"/>
          <w:szCs w:val="20"/>
          <w:color w:val="auto"/>
        </w:rPr>
      </w:pPr>
    </w:p>
    <w:p>
      <w:pPr>
        <w:jc w:val="both"/>
        <w:ind w:left="328" w:hanging="328"/>
        <w:spacing w:after="0" w:line="268" w:lineRule="auto"/>
        <w:tabs>
          <w:tab w:leader="none" w:pos="31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Performance Units may not be sold, assigned, transferred, pledged, or otherwise encumbered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other than by will or the laws of descent and distribution, unless and until the shares of Common Stock underlying the vested Performance Units have been issued.</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1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The Performance Units granted pursuant to this Agreement do not and shall not entitle Grantee to any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a stockholder of the Company’s Common Stock. Grantee’s rights with respect to the Performance Units shall remain forfeitable at all times prior to the Vesting Date or such other date on which the Performance Units vest pursuant to Section 5.</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Adjustments Upon Specified Events</w:t>
      </w:r>
      <w:r>
        <w:rPr>
          <w:rFonts w:ascii="Arial" w:cs="Arial" w:eastAsia="Arial" w:hAnsi="Arial"/>
          <w:sz w:val="18"/>
          <w:szCs w:val="18"/>
          <w:color w:val="auto"/>
        </w:rPr>
        <w:t>. In the event of a Share Change (as defined in the Plan), the number and class of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22"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Performance Units, whether unvested or vested, shall be subject to the Company’s Incentive-Based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125" w:lineRule="exact"/>
        <w:rPr>
          <w:rFonts w:ascii="Arial" w:cs="Arial" w:eastAsia="Arial" w:hAnsi="Arial"/>
          <w:sz w:val="18"/>
          <w:szCs w:val="18"/>
          <w:color w:val="auto"/>
        </w:rPr>
      </w:pPr>
    </w:p>
    <w:p>
      <w:pPr>
        <w:jc w:val="both"/>
        <w:ind w:left="328" w:hanging="328"/>
        <w:spacing w:after="0" w:line="252"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 for U.S. Taxpayers</w:t>
      </w:r>
      <w:r>
        <w:rPr>
          <w:rFonts w:ascii="Arial" w:cs="Arial" w:eastAsia="Arial" w:hAnsi="Arial"/>
          <w:sz w:val="18"/>
          <w:szCs w:val="18"/>
          <w:color w:val="auto"/>
        </w:rPr>
        <w:t>. The parties intend that this Agreement and the benefits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be exempt from the requirements of Section 409A of the Code (together with any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Performance Units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Performance Units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39" w:lineRule="exact"/>
        <w:rPr>
          <w:rFonts w:ascii="Arial" w:cs="Arial" w:eastAsia="Arial" w:hAnsi="Arial"/>
          <w:sz w:val="18"/>
          <w:szCs w:val="18"/>
          <w:color w:val="auto"/>
        </w:rPr>
      </w:pPr>
    </w:p>
    <w:p>
      <w:pPr>
        <w:jc w:val="both"/>
        <w:ind w:left="328" w:hanging="328"/>
        <w:spacing w:after="0" w:line="262" w:lineRule="auto"/>
        <w:tabs>
          <w:tab w:leader="none" w:pos="32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Securities Law and other Legal Compliance</w:t>
      </w:r>
      <w:r>
        <w:rPr>
          <w:rFonts w:ascii="Arial" w:cs="Arial" w:eastAsia="Arial" w:hAnsi="Arial"/>
          <w:sz w:val="18"/>
          <w:szCs w:val="18"/>
          <w:color w:val="auto"/>
        </w:rPr>
        <w:t>. Notwithstanding any other provision of the Plan or this Agreement, unless there is an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w:t>
      </w:r>
    </w:p>
    <w:p>
      <w:pPr>
        <w:sectPr>
          <w:pgSz w:w="11900" w:h="16838" w:orient="portrait"/>
          <w:cols w:equalWidth="0" w:num="1">
            <w:col w:w="10908"/>
          </w:cols>
          <w:pgMar w:left="652"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8"/>
        <w:spacing w:after="0" w:line="252" w:lineRule="auto"/>
        <w:rPr>
          <w:sz w:val="20"/>
          <w:szCs w:val="20"/>
          <w:color w:val="auto"/>
        </w:rPr>
      </w:pPr>
      <w:r>
        <w:rPr>
          <w:rFonts w:ascii="Arial" w:cs="Arial" w:eastAsia="Arial" w:hAnsi="Arial"/>
          <w:sz w:val="18"/>
          <w:szCs w:val="18"/>
          <w:color w:val="auto"/>
        </w:rPr>
        <w:t>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31" w:lineRule="exact"/>
        <w:rPr>
          <w:sz w:val="20"/>
          <w:szCs w:val="20"/>
          <w:color w:val="auto"/>
        </w:rPr>
      </w:pPr>
    </w:p>
    <w:p>
      <w:pPr>
        <w:ind w:left="328" w:right="20" w:hanging="328"/>
        <w:spacing w:after="0" w:line="287" w:lineRule="auto"/>
        <w:tabs>
          <w:tab w:leader="none" w:pos="321"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Grantee’s Representation</w:t>
      </w:r>
      <w:r>
        <w:rPr>
          <w:rFonts w:ascii="Arial" w:cs="Arial" w:eastAsia="Arial" w:hAnsi="Arial"/>
          <w:sz w:val="18"/>
          <w:szCs w:val="18"/>
          <w:color w:val="auto"/>
        </w:rPr>
        <w:t>. Grantee represents and warrants that he or she is acquiring the Performance Units for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only, and not with a view to distribution thereof.</w:t>
      </w:r>
    </w:p>
    <w:p>
      <w:pPr>
        <w:spacing w:after="0" w:line="98"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Confidentiality, Inventions, Non-Solicitation and Non-Competition; Stock Ownership Guidelines</w:t>
      </w:r>
      <w:r>
        <w:rPr>
          <w:rFonts w:ascii="Arial" w:cs="Arial" w:eastAsia="Arial" w:hAnsi="Arial"/>
          <w:sz w:val="18"/>
          <w:szCs w:val="18"/>
          <w:color w:val="auto"/>
        </w:rPr>
        <w:t>. In exchange for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Grantee acknowledges its obligations, if and as applicable to Grantee’s position, described in the Company’s Stock Ownership Guidelines in effect from time to time, as summarized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308" w:hanging="308"/>
        <w:spacing w:after="0"/>
        <w:tabs>
          <w:tab w:leader="none" w:pos="30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the grant, Grantee acknowledges, understands and agrees that:</w:t>
      </w:r>
    </w:p>
    <w:p>
      <w:pPr>
        <w:spacing w:after="0" w:line="193" w:lineRule="exact"/>
        <w:rPr>
          <w:rFonts w:ascii="Arial" w:cs="Arial" w:eastAsia="Arial" w:hAnsi="Arial"/>
          <w:sz w:val="18"/>
          <w:szCs w:val="18"/>
          <w:color w:val="auto"/>
        </w:rPr>
      </w:pPr>
    </w:p>
    <w:p>
      <w:pPr>
        <w:ind w:left="968" w:right="20" w:hanging="320"/>
        <w:spacing w:after="0" w:line="261" w:lineRule="auto"/>
        <w:tabs>
          <w:tab w:leader="none" w:pos="9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43" w:lineRule="exact"/>
        <w:rPr>
          <w:rFonts w:ascii="Arial" w:cs="Arial" w:eastAsia="Arial" w:hAnsi="Arial"/>
          <w:sz w:val="18"/>
          <w:szCs w:val="18"/>
          <w:color w:val="auto"/>
        </w:rPr>
      </w:pPr>
    </w:p>
    <w:p>
      <w:pPr>
        <w:jc w:val="both"/>
        <w:ind w:left="968" w:hanging="320"/>
        <w:spacing w:after="0" w:line="256" w:lineRule="auto"/>
        <w:tabs>
          <w:tab w:leader="none" w:pos="9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47" w:lineRule="exact"/>
        <w:rPr>
          <w:rFonts w:ascii="Arial" w:cs="Arial" w:eastAsia="Arial" w:hAnsi="Arial"/>
          <w:sz w:val="18"/>
          <w:szCs w:val="18"/>
          <w:color w:val="auto"/>
        </w:rPr>
      </w:pPr>
    </w:p>
    <w:p>
      <w:pPr>
        <w:ind w:left="968" w:hanging="320"/>
        <w:spacing w:after="0"/>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decisions with respect to future Performance Units or other grants, if any, will be at the sole discretion of the Company;</w:t>
      </w:r>
    </w:p>
    <w:p>
      <w:pPr>
        <w:spacing w:after="0" w:line="171" w:lineRule="exact"/>
        <w:rPr>
          <w:rFonts w:ascii="Arial" w:cs="Arial" w:eastAsia="Arial" w:hAnsi="Arial"/>
          <w:sz w:val="18"/>
          <w:szCs w:val="18"/>
          <w:color w:val="auto"/>
        </w:rPr>
      </w:pPr>
    </w:p>
    <w:p>
      <w:pPr>
        <w:jc w:val="both"/>
        <w:ind w:left="968" w:hanging="320"/>
        <w:spacing w:after="0" w:line="256" w:lineRule="auto"/>
        <w:tabs>
          <w:tab w:leader="none" w:pos="9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47" w:lineRule="exact"/>
        <w:rPr>
          <w:rFonts w:ascii="Arial" w:cs="Arial" w:eastAsia="Arial" w:hAnsi="Arial"/>
          <w:sz w:val="18"/>
          <w:szCs w:val="18"/>
          <w:color w:val="auto"/>
        </w:rPr>
      </w:pPr>
    </w:p>
    <w:p>
      <w:pPr>
        <w:ind w:left="968" w:hanging="320"/>
        <w:spacing w:after="0"/>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Grantee is voluntarily participating in the Plan;</w:t>
      </w:r>
    </w:p>
    <w:p>
      <w:pPr>
        <w:spacing w:after="0" w:line="171" w:lineRule="exact"/>
        <w:rPr>
          <w:rFonts w:ascii="Arial" w:cs="Arial" w:eastAsia="Arial" w:hAnsi="Arial"/>
          <w:sz w:val="18"/>
          <w:szCs w:val="18"/>
          <w:color w:val="auto"/>
        </w:rPr>
      </w:pPr>
    </w:p>
    <w:p>
      <w:pPr>
        <w:ind w:left="968" w:hanging="320"/>
        <w:spacing w:after="0" w:line="261"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Performance Units and the Shares subject to the Performance Units, and any related income and value, are not intended to replace any pension rights or compensation;</w:t>
      </w:r>
    </w:p>
    <w:p>
      <w:pPr>
        <w:spacing w:after="0" w:line="143" w:lineRule="exact"/>
        <w:rPr>
          <w:rFonts w:ascii="Arial" w:cs="Arial" w:eastAsia="Arial" w:hAnsi="Arial"/>
          <w:sz w:val="18"/>
          <w:szCs w:val="18"/>
          <w:color w:val="auto"/>
        </w:rPr>
      </w:pPr>
    </w:p>
    <w:p>
      <w:pPr>
        <w:jc w:val="both"/>
        <w:ind w:left="968" w:hanging="320"/>
        <w:spacing w:after="0" w:line="254" w:lineRule="auto"/>
        <w:tabs>
          <w:tab w:leader="none" w:pos="9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49" w:lineRule="exact"/>
        <w:rPr>
          <w:rFonts w:ascii="Arial" w:cs="Arial" w:eastAsia="Arial" w:hAnsi="Arial"/>
          <w:sz w:val="18"/>
          <w:szCs w:val="18"/>
          <w:color w:val="auto"/>
        </w:rPr>
      </w:pPr>
    </w:p>
    <w:p>
      <w:pPr>
        <w:ind w:left="968" w:hanging="320"/>
        <w:spacing w:after="0"/>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ectPr>
          <w:pgSz w:w="11900" w:h="16838" w:orient="portrait"/>
          <w:cols w:equalWidth="0" w:num="1">
            <w:col w:w="10908"/>
          </w:cols>
          <w:pgMar w:left="652"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8" w:hanging="320"/>
        <w:spacing w:after="0" w:line="254" w:lineRule="auto"/>
        <w:tabs>
          <w:tab w:leader="none" w:pos="9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w:t>
      </w:r>
    </w:p>
    <w:p>
      <w:pPr>
        <w:spacing w:after="0" w:line="149" w:lineRule="exact"/>
        <w:rPr>
          <w:rFonts w:ascii="Arial" w:cs="Arial" w:eastAsia="Arial" w:hAnsi="Arial"/>
          <w:sz w:val="18"/>
          <w:szCs w:val="18"/>
          <w:color w:val="auto"/>
        </w:rPr>
      </w:pPr>
    </w:p>
    <w:p>
      <w:pPr>
        <w:jc w:val="both"/>
        <w:ind w:left="968" w:hanging="320"/>
        <w:spacing w:after="0" w:line="256" w:lineRule="auto"/>
        <w:tabs>
          <w:tab w:leader="none" w:pos="9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47" w:lineRule="exact"/>
        <w:rPr>
          <w:rFonts w:ascii="Arial" w:cs="Arial" w:eastAsia="Arial" w:hAnsi="Arial"/>
          <w:sz w:val="18"/>
          <w:szCs w:val="18"/>
          <w:color w:val="auto"/>
        </w:rPr>
      </w:pPr>
    </w:p>
    <w:p>
      <w:pPr>
        <w:jc w:val="both"/>
        <w:ind w:left="968" w:hanging="320"/>
        <w:spacing w:after="0" w:line="256" w:lineRule="auto"/>
        <w:tabs>
          <w:tab w:leader="none" w:pos="9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25" w:lineRule="exact"/>
        <w:rPr>
          <w:rFonts w:ascii="Arial" w:cs="Arial" w:eastAsia="Arial" w:hAnsi="Arial"/>
          <w:sz w:val="18"/>
          <w:szCs w:val="18"/>
          <w:color w:val="auto"/>
        </w:rPr>
      </w:pPr>
    </w:p>
    <w:p>
      <w:pPr>
        <w:ind w:left="308" w:hanging="308"/>
        <w:spacing w:after="0"/>
        <w:tabs>
          <w:tab w:leader="none" w:pos="30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Responsibility for Taxes</w:t>
      </w:r>
    </w:p>
    <w:p>
      <w:pPr>
        <w:spacing w:after="0" w:line="193" w:lineRule="exact"/>
        <w:rPr>
          <w:rFonts w:ascii="Arial" w:cs="Arial" w:eastAsia="Arial" w:hAnsi="Arial"/>
          <w:sz w:val="18"/>
          <w:szCs w:val="18"/>
          <w:color w:val="auto"/>
        </w:rPr>
      </w:pPr>
    </w:p>
    <w:p>
      <w:pPr>
        <w:jc w:val="both"/>
        <w:ind w:left="968" w:hanging="320"/>
        <w:spacing w:after="0" w:line="251" w:lineRule="auto"/>
        <w:tabs>
          <w:tab w:leader="none" w:pos="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56" w:lineRule="exact"/>
        <w:rPr>
          <w:rFonts w:ascii="Arial" w:cs="Arial" w:eastAsia="Arial" w:hAnsi="Arial"/>
          <w:sz w:val="18"/>
          <w:szCs w:val="18"/>
          <w:color w:val="auto"/>
        </w:rPr>
      </w:pPr>
    </w:p>
    <w:p>
      <w:pPr>
        <w:jc w:val="both"/>
        <w:ind w:left="968" w:hanging="320"/>
        <w:spacing w:after="0" w:line="254" w:lineRule="auto"/>
        <w:tabs>
          <w:tab w:leader="none" w:pos="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49" w:lineRule="exact"/>
        <w:rPr>
          <w:rFonts w:ascii="Arial" w:cs="Arial" w:eastAsia="Arial" w:hAnsi="Arial"/>
          <w:sz w:val="18"/>
          <w:szCs w:val="18"/>
          <w:color w:val="auto"/>
        </w:rPr>
      </w:pPr>
    </w:p>
    <w:p>
      <w:pPr>
        <w:ind w:left="1628" w:hanging="422"/>
        <w:spacing w:after="0" w:line="261" w:lineRule="auto"/>
        <w:tabs>
          <w:tab w:leader="none" w:pos="162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payable to Grantee by the Company and/or the Employer; or</w:t>
      </w:r>
    </w:p>
    <w:p>
      <w:pPr>
        <w:spacing w:after="0" w:line="143" w:lineRule="exact"/>
        <w:rPr>
          <w:rFonts w:ascii="Arial" w:cs="Arial" w:eastAsia="Arial" w:hAnsi="Arial"/>
          <w:sz w:val="18"/>
          <w:szCs w:val="18"/>
          <w:color w:val="auto"/>
        </w:rPr>
      </w:pPr>
    </w:p>
    <w:p>
      <w:pPr>
        <w:jc w:val="both"/>
        <w:ind w:left="1628" w:hanging="462"/>
        <w:spacing w:after="0" w:line="256" w:lineRule="auto"/>
        <w:tabs>
          <w:tab w:leader="none" w:pos="162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vesting/settlement of the Performance Unit either through a voluntary sale or through a mandatory sale arranged by the Company (on Grantee’s behalf pursuant to this authorization); or</w:t>
      </w:r>
    </w:p>
    <w:p>
      <w:pPr>
        <w:spacing w:after="0" w:line="147" w:lineRule="exact"/>
        <w:rPr>
          <w:rFonts w:ascii="Arial" w:cs="Arial" w:eastAsia="Arial" w:hAnsi="Arial"/>
          <w:sz w:val="18"/>
          <w:szCs w:val="18"/>
          <w:color w:val="auto"/>
        </w:rPr>
      </w:pPr>
    </w:p>
    <w:p>
      <w:pPr>
        <w:ind w:left="1628" w:hanging="502"/>
        <w:spacing w:after="0"/>
        <w:tabs>
          <w:tab w:leader="none" w:pos="162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withholding in Shares to be issued pursuant to the Performance Units.</w:t>
      </w:r>
    </w:p>
    <w:p>
      <w:pPr>
        <w:spacing w:after="0" w:line="171" w:lineRule="exact"/>
        <w:rPr>
          <w:rFonts w:ascii="Arial" w:cs="Arial" w:eastAsia="Arial" w:hAnsi="Arial"/>
          <w:sz w:val="18"/>
          <w:szCs w:val="18"/>
          <w:color w:val="auto"/>
        </w:rPr>
      </w:pPr>
    </w:p>
    <w:p>
      <w:pPr>
        <w:ind w:left="968" w:hanging="320"/>
        <w:spacing w:after="0" w:line="261" w:lineRule="auto"/>
        <w:tabs>
          <w:tab w:leader="none" w:pos="9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Notwithstanding Section 17(b) above or Section 17(g) below, if Grantee is subject to the reporting requirements of Section 16(a) of the Exchange Act, then any applicable</w:t>
      </w:r>
    </w:p>
    <w:p>
      <w:pPr>
        <w:sectPr>
          <w:pgSz w:w="11900" w:h="16838" w:orient="portrait"/>
          <w:cols w:equalWidth="0" w:num="1">
            <w:col w:w="10908"/>
          </w:cols>
          <w:pgMar w:left="652"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17(b)(i) or (ii).</w:t>
      </w:r>
    </w:p>
    <w:p>
      <w:pPr>
        <w:spacing w:after="0" w:line="150" w:lineRule="exact"/>
        <w:rPr>
          <w:sz w:val="20"/>
          <w:szCs w:val="20"/>
          <w:color w:val="auto"/>
        </w:rPr>
      </w:pPr>
    </w:p>
    <w:p>
      <w:pPr>
        <w:jc w:val="both"/>
        <w:ind w:left="1300" w:hanging="320"/>
        <w:spacing w:after="0" w:line="252"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Section 17.2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w:t>
      </w:r>
    </w:p>
    <w:p>
      <w:pPr>
        <w:spacing w:after="0" w:line="15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47" w:lineRule="exact"/>
        <w:rPr>
          <w:rFonts w:ascii="Arial" w:cs="Arial" w:eastAsia="Arial" w:hAnsi="Arial"/>
          <w:sz w:val="18"/>
          <w:szCs w:val="18"/>
          <w:color w:val="auto"/>
        </w:rPr>
      </w:pPr>
    </w:p>
    <w:p>
      <w:pPr>
        <w:ind w:left="1300" w:hanging="320"/>
        <w:spacing w:after="0" w:line="261" w:lineRule="auto"/>
        <w:tabs>
          <w:tab w:leader="none" w:pos="1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may refuse to issue or deliver the Shares or the proceeds of the sale of Shares, if Grantee fails to comply with Grantee’s obligations in connection with the Tax-Related Items.</w:t>
      </w:r>
    </w:p>
    <w:p>
      <w:pPr>
        <w:spacing w:after="0" w:line="143" w:lineRule="exact"/>
        <w:rPr>
          <w:rFonts w:ascii="Arial" w:cs="Arial" w:eastAsia="Arial" w:hAnsi="Arial"/>
          <w:sz w:val="18"/>
          <w:szCs w:val="18"/>
          <w:color w:val="auto"/>
        </w:rPr>
      </w:pPr>
    </w:p>
    <w:p>
      <w:pPr>
        <w:jc w:val="both"/>
        <w:ind w:left="1300" w:hanging="320"/>
        <w:spacing w:after="0" w:line="251"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36" w:lineRule="exact"/>
        <w:rPr>
          <w:sz w:val="20"/>
          <w:szCs w:val="20"/>
          <w:color w:val="auto"/>
        </w:rPr>
      </w:pPr>
    </w:p>
    <w:p>
      <w:pPr>
        <w:jc w:val="both"/>
        <w:ind w:left="660" w:hanging="328"/>
        <w:spacing w:after="0" w:line="262"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 electronic 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 form, of Grantee’s personal data as described in this Agreement and any other Performance Unit grant materials (“Data”) by and among, as applicable, the Company and its other Subsidiaries and Affiliates for the exclusive purpose of implementing, administering and managing Grantee’s participation in the Plan.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Grantee understands that the Company may hold certain personal information about Grantee, including, but not limited to, Grantee’s name, home address, email address, telephone number, date of birth, social insurance number, passport or other identification number, salary, nationality, job title, any Shares of stock or directorships held in the Company, details of all Performance Units or any other entitlement to Shares awarded, canceled, exercised, vested, unvested or outstanding in Grantee’s favor, for the exclusive purpose of implementing, administering and managing the Plan.</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 management</w:t>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of the Plan. Grantee understands that the recipients of the Data may be located in the U.S. or elsewhere, and that the recipients’ country (e.g., the U.S.) 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will not be adversely affected; the only consequence of refusing or withdrawing Grantee’s consent is that the Company would not be able to grant Performance Units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41" w:lineRule="exact"/>
        <w:rPr>
          <w:sz w:val="20"/>
          <w:szCs w:val="20"/>
          <w:color w:val="auto"/>
        </w:rPr>
      </w:pPr>
    </w:p>
    <w:p>
      <w:pPr>
        <w:jc w:val="both"/>
        <w:ind w:left="660" w:hanging="328"/>
        <w:spacing w:after="0" w:line="262"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22"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Insider Trading/Market Abuse Restrictions</w:t>
      </w:r>
      <w:r>
        <w:rPr>
          <w:rFonts w:ascii="Arial" w:cs="Arial" w:eastAsia="Arial" w:hAnsi="Arial"/>
          <w:sz w:val="18"/>
          <w:szCs w:val="18"/>
          <w:color w:val="auto"/>
        </w:rPr>
        <w:t>. Grantee may be subject to insider trading restriction and/or market abuse laws in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28"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3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The Company may, in its sole discretion, decide to deliver any documents related to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participation in the Plan by electronic means. Grantee hereby consents to receive such documents by electronic delivery and agrees to participate in the Plan through an on-line or electronic system established and maintained by the</w:t>
      </w:r>
    </w:p>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8"/>
        <w:spacing w:after="0" w:line="256" w:lineRule="auto"/>
        <w:rPr>
          <w:sz w:val="20"/>
          <w:szCs w:val="20"/>
          <w:color w:val="auto"/>
        </w:rPr>
      </w:pPr>
      <w:r>
        <w:rPr>
          <w:rFonts w:ascii="Arial" w:cs="Arial" w:eastAsia="Arial" w:hAnsi="Arial"/>
          <w:sz w:val="18"/>
          <w:szCs w:val="18"/>
          <w:color w:val="auto"/>
        </w:rPr>
        <w:t>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126" w:lineRule="exact"/>
        <w:rPr>
          <w:sz w:val="20"/>
          <w:szCs w:val="20"/>
          <w:color w:val="auto"/>
        </w:rPr>
      </w:pPr>
    </w:p>
    <w:p>
      <w:pPr>
        <w:jc w:val="both"/>
        <w:ind w:left="328" w:hanging="328"/>
        <w:spacing w:after="0" w:line="259" w:lineRule="auto"/>
        <w:tabs>
          <w:tab w:leader="none" w:pos="3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Notwithstanding any provisions in this Agreement, the Performance Unit grant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any additional terms and conditions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Agreement for Grantee’s country. Moreover, if Grantee relocates to one of the countries included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constitutes part of this Agreement.</w:t>
      </w:r>
    </w:p>
    <w:p>
      <w:pPr>
        <w:spacing w:after="0" w:line="125"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Grantee acknowledges that he or she is sufficiently proficient in English, or has consulted with an advisor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Imposition of Other Requirements</w:t>
      </w:r>
      <w:r>
        <w:rPr>
          <w:rFonts w:ascii="Arial" w:cs="Arial" w:eastAsia="Arial" w:hAnsi="Arial"/>
          <w:sz w:val="18"/>
          <w:szCs w:val="18"/>
          <w:color w:val="auto"/>
        </w:rPr>
        <w:t>. The Company reserves the right to impose other requirements on Grantee’s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22" w:lineRule="exact"/>
        <w:rPr>
          <w:rFonts w:ascii="Arial" w:cs="Arial" w:eastAsia="Arial" w:hAnsi="Arial"/>
          <w:sz w:val="18"/>
          <w:szCs w:val="18"/>
          <w:color w:val="auto"/>
        </w:rPr>
      </w:pPr>
    </w:p>
    <w:p>
      <w:pPr>
        <w:jc w:val="both"/>
        <w:ind w:left="328" w:hanging="328"/>
        <w:spacing w:after="0" w:line="254" w:lineRule="auto"/>
        <w:tabs>
          <w:tab w:leader="none" w:pos="3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Except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 the Performance Unit grant and the provisions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rFonts w:ascii="Arial" w:cs="Arial" w:eastAsia="Arial" w:hAnsi="Arial"/>
          <w:sz w:val="18"/>
          <w:szCs w:val="18"/>
          <w:color w:val="auto"/>
        </w:rPr>
      </w:pPr>
    </w:p>
    <w:p>
      <w:pPr>
        <w:ind w:left="328" w:hanging="328"/>
        <w:spacing w:after="0" w:line="287" w:lineRule="auto"/>
        <w:tabs>
          <w:tab w:leader="none" w:pos="3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are severable and if any one or more provisions are determined to be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unenforceable, in whole or in part, the remaining provisions shall nevertheless be binding and enforceable.</w:t>
      </w:r>
    </w:p>
    <w:p>
      <w:pPr>
        <w:spacing w:after="0" w:line="98"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Grantee acknowledges that a waiver by the Company of any provision, or breach thereof, of this Agreement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16" w:lineRule="exact"/>
        <w:rPr>
          <w:rFonts w:ascii="Arial" w:cs="Arial" w:eastAsia="Arial" w:hAnsi="Arial"/>
          <w:sz w:val="18"/>
          <w:szCs w:val="18"/>
          <w:color w:val="auto"/>
        </w:rPr>
      </w:pPr>
    </w:p>
    <w:p>
      <w:pPr>
        <w:ind w:left="328" w:right="20" w:hanging="328"/>
        <w:spacing w:after="0" w:line="287"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 genders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singular to include the plural. Wherever used in this Agreement, the term “including” means “including, without limitation.”</w:t>
      </w:r>
    </w:p>
    <w:p>
      <w:pPr>
        <w:spacing w:after="0" w:line="98" w:lineRule="exact"/>
        <w:rPr>
          <w:rFonts w:ascii="Arial" w:cs="Arial" w:eastAsia="Arial" w:hAnsi="Arial"/>
          <w:sz w:val="18"/>
          <w:szCs w:val="18"/>
          <w:color w:val="auto"/>
        </w:rPr>
      </w:pPr>
    </w:p>
    <w:p>
      <w:pPr>
        <w:ind w:left="328" w:hanging="328"/>
        <w:spacing w:after="0" w:line="287"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Successors in Interest</w:t>
      </w:r>
      <w:r>
        <w:rPr>
          <w:rFonts w:ascii="Arial" w:cs="Arial" w:eastAsia="Arial" w:hAnsi="Arial"/>
          <w:sz w:val="18"/>
          <w:szCs w:val="18"/>
          <w:color w:val="auto"/>
        </w:rPr>
        <w:t>. This Agreement shall inure to the benefit of, and be binding upon, the Company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whether by merger, consolidation, reorganization, sale</w:t>
      </w:r>
    </w:p>
    <w:p>
      <w:pPr>
        <w:sectPr>
          <w:pgSz w:w="11900" w:h="16838" w:orient="portrait"/>
          <w:cols w:equalWidth="0" w:num="1">
            <w:col w:w="10908"/>
          </w:cols>
          <w:pgMar w:left="652"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26" w:lineRule="exact"/>
        <w:rPr>
          <w:sz w:val="20"/>
          <w:szCs w:val="20"/>
          <w:color w:val="auto"/>
        </w:rPr>
      </w:pPr>
    </w:p>
    <w:p>
      <w:pPr>
        <w:jc w:val="both"/>
        <w:ind w:left="660" w:hanging="328"/>
        <w:spacing w:after="0" w:line="259" w:lineRule="auto"/>
        <w:tabs>
          <w:tab w:leader="none" w:pos="653"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Agreement, along with any Exhibit hereto, encompasses the entire agreement of the parties related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matter of this Agreement, and supersedes all previous understandings and agreements between them, whether oral or written, except as otherwise described specifically in </w:t>
      </w:r>
      <w:r>
        <w:rPr>
          <w:rFonts w:ascii="Arial" w:cs="Arial" w:eastAsia="Arial" w:hAnsi="Arial"/>
          <w:sz w:val="18"/>
          <w:szCs w:val="18"/>
          <w:u w:val="single" w:color="auto"/>
          <w:color w:val="auto"/>
        </w:rPr>
        <w:t>Exhibit D</w:t>
      </w:r>
      <w:r>
        <w:rPr>
          <w:rFonts w:ascii="Arial" w:cs="Arial" w:eastAsia="Arial" w:hAnsi="Arial"/>
          <w:sz w:val="18"/>
          <w:szCs w:val="18"/>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3"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Committee shall have the sole and absolute authority to interpret, construe and apply the terms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to make any and all determinations under them. Any determination or decision by the Committee shall be final, binding and conclusive upon Grantee, Grantee’s legal representative and the Company for all purposes.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By completing the online acceptance process, Grantee accepts the grant of Performance Units and agrees to all the terms and conditions described in this Agreement and in the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RETAIN THIS AGREEMENT AND ALL EXHIBITS FOR YOUR RECORDS.</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GUIDELINES AND RETENTION REQUIREMENT</w:t>
      </w:r>
    </w:p>
    <w:p>
      <w:pPr>
        <w:spacing w:after="0" w:line="200" w:lineRule="exact"/>
        <w:rPr>
          <w:sz w:val="20"/>
          <w:szCs w:val="20"/>
          <w:color w:val="auto"/>
        </w:rPr>
      </w:pPr>
    </w:p>
    <w:p>
      <w:pPr>
        <w:spacing w:after="0" w:line="398"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48" w:lineRule="exact"/>
        <w:rPr>
          <w:sz w:val="20"/>
          <w:szCs w:val="20"/>
          <w:color w:val="auto"/>
        </w:rPr>
      </w:pPr>
    </w:p>
    <w:p>
      <w:pPr>
        <w:jc w:val="both"/>
        <w:ind w:firstLine="635"/>
        <w:spacing w:after="0" w:line="261" w:lineRule="auto"/>
        <w:rPr>
          <w:sz w:val="20"/>
          <w:szCs w:val="20"/>
          <w:color w:val="auto"/>
        </w:rPr>
      </w:pPr>
      <w:r>
        <w:rPr>
          <w:rFonts w:ascii="Arial" w:cs="Arial" w:eastAsia="Arial" w:hAnsi="Arial"/>
          <w:sz w:val="18"/>
          <w:szCs w:val="18"/>
          <w:color w:val="auto"/>
        </w:rPr>
        <w:t>Your stock ownership level and retention requirements are set forth below based on the Grantee Level stated on the first page of this Agreement.</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w w:val="98"/>
              </w:rPr>
              <w:t>Grantee Level / Title</w:t>
            </w:r>
          </w:p>
        </w:tc>
        <w:tc>
          <w:tcPr>
            <w:tcW w:w="2940" w:type="dxa"/>
            <w:vAlign w:val="bottom"/>
          </w:tcPr>
          <w:p>
            <w:pPr>
              <w:spacing w:after="0"/>
              <w:rPr>
                <w:sz w:val="17"/>
                <w:szCs w:val="17"/>
                <w:color w:val="auto"/>
              </w:rPr>
            </w:pPr>
          </w:p>
        </w:tc>
        <w:tc>
          <w:tcPr>
            <w:tcW w:w="3440" w:type="dxa"/>
            <w:vAlign w:val="bottom"/>
            <w:gridSpan w:val="5"/>
          </w:tcPr>
          <w:p>
            <w:pPr>
              <w:jc w:val="center"/>
              <w:ind w:left="690"/>
              <w:spacing w:after="0"/>
              <w:rPr>
                <w:sz w:val="20"/>
                <w:szCs w:val="20"/>
                <w:color w:val="auto"/>
              </w:rPr>
            </w:pPr>
            <w:r>
              <w:rPr>
                <w:rFonts w:ascii="Arial" w:cs="Arial" w:eastAsia="Arial" w:hAnsi="Arial"/>
                <w:sz w:val="18"/>
                <w:szCs w:val="18"/>
                <w:color w:val="auto"/>
                <w:w w:val="99"/>
              </w:rPr>
              <w:t>Ownership Multiple of Annual</w:t>
            </w: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w w:val="99"/>
              </w:rPr>
              <w:t>Retention Requirement Percentag</w:t>
            </w:r>
          </w:p>
        </w:tc>
      </w:tr>
      <w:tr>
        <w:trPr>
          <w:trHeight w:val="183"/>
        </w:trPr>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940" w:type="dxa"/>
            <w:vAlign w:val="bottom"/>
          </w:tcPr>
          <w:p>
            <w:pPr>
              <w:spacing w:after="0"/>
              <w:rPr>
                <w:sz w:val="15"/>
                <w:szCs w:val="15"/>
                <w:color w:val="auto"/>
              </w:rPr>
            </w:pPr>
          </w:p>
        </w:tc>
        <w:tc>
          <w:tcPr>
            <w:tcW w:w="2680" w:type="dxa"/>
            <w:vAlign w:val="bottom"/>
            <w:gridSpan w:val="3"/>
          </w:tcPr>
          <w:p>
            <w:pPr>
              <w:jc w:val="center"/>
              <w:ind w:left="1470"/>
              <w:spacing w:after="0" w:line="182" w:lineRule="exact"/>
              <w:rPr>
                <w:sz w:val="20"/>
                <w:szCs w:val="20"/>
                <w:color w:val="auto"/>
              </w:rPr>
            </w:pPr>
            <w:r>
              <w:rPr>
                <w:rFonts w:ascii="Arial" w:cs="Arial" w:eastAsia="Arial" w:hAnsi="Arial"/>
                <w:sz w:val="18"/>
                <w:szCs w:val="18"/>
                <w:color w:val="auto"/>
                <w:w w:val="99"/>
              </w:rPr>
              <w:t>Base Salar</w:t>
            </w: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0</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 CEO</w:t>
            </w:r>
          </w:p>
        </w:tc>
        <w:tc>
          <w:tcPr>
            <w:tcW w:w="168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center"/>
              <w:ind w:left="97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4"/>
                <w:szCs w:val="24"/>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 Other Named Executive Officers (NEOs)</w:t>
            </w:r>
          </w:p>
        </w:tc>
        <w:tc>
          <w:tcPr>
            <w:tcW w:w="2560" w:type="dxa"/>
            <w:vAlign w:val="bottom"/>
            <w:gridSpan w:val="2"/>
          </w:tcPr>
          <w:p>
            <w:pPr>
              <w:jc w:val="center"/>
              <w:ind w:left="157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center"/>
              <w:ind w:left="97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2"/>
                <w:szCs w:val="22"/>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 Senior Vice Presidents (other than NEOs)</w:t>
            </w:r>
          </w:p>
        </w:tc>
        <w:tc>
          <w:tcPr>
            <w:tcW w:w="2560" w:type="dxa"/>
            <w:vAlign w:val="bottom"/>
            <w:gridSpan w:val="2"/>
          </w:tcPr>
          <w:p>
            <w:pPr>
              <w:jc w:val="center"/>
              <w:ind w:left="157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center"/>
              <w:ind w:left="97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2"/>
                <w:szCs w:val="22"/>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 All Other Associates/Participants</w:t>
            </w:r>
          </w:p>
        </w:tc>
        <w:tc>
          <w:tcPr>
            <w:tcW w:w="2560" w:type="dxa"/>
            <w:vAlign w:val="bottom"/>
            <w:gridSpan w:val="2"/>
          </w:tcPr>
          <w:p>
            <w:pPr>
              <w:jc w:val="center"/>
              <w:ind w:left="157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jc w:val="center"/>
              <w:ind w:left="950"/>
              <w:spacing w:after="0"/>
              <w:rPr>
                <w:sz w:val="20"/>
                <w:szCs w:val="20"/>
                <w:color w:val="auto"/>
              </w:rPr>
            </w:pPr>
            <w:r>
              <w:rPr>
                <w:rFonts w:ascii="Arial" w:cs="Arial" w:eastAsia="Arial" w:hAnsi="Arial"/>
                <w:sz w:val="18"/>
                <w:szCs w:val="18"/>
                <w:color w:val="auto"/>
                <w:w w:val="99"/>
              </w:rPr>
              <w:t>0%</w:t>
            </w:r>
          </w:p>
        </w:tc>
        <w:tc>
          <w:tcPr>
            <w:tcW w:w="880" w:type="dxa"/>
            <w:vAlign w:val="bottom"/>
          </w:tcPr>
          <w:p>
            <w:pPr>
              <w:spacing w:after="0"/>
              <w:rPr>
                <w:sz w:val="22"/>
                <w:szCs w:val="22"/>
                <w:color w:val="auto"/>
              </w:rPr>
            </w:pPr>
          </w:p>
        </w:tc>
      </w:tr>
    </w:tbl>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 AWARD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500"/>
        <w:spacing w:after="0"/>
        <w:rPr>
          <w:sz w:val="20"/>
          <w:szCs w:val="20"/>
          <w:color w:val="auto"/>
        </w:rPr>
      </w:pPr>
      <w:r>
        <w:rPr>
          <w:rFonts w:ascii="Arial" w:cs="Arial" w:eastAsia="Arial" w:hAnsi="Arial"/>
          <w:sz w:val="18"/>
          <w:szCs w:val="18"/>
          <w:b w:val="1"/>
          <w:bCs w:val="1"/>
          <w:color w:val="auto"/>
        </w:rPr>
        <w:t xml:space="preserve">Grant ID: </w:t>
      </w:r>
      <w:r>
        <w:rPr>
          <w:rFonts w:ascii="Arial" w:cs="Arial" w:eastAsia="Arial" w:hAnsi="Arial"/>
          <w:sz w:val="18"/>
          <w:szCs w:val="18"/>
          <w:color w:val="auto"/>
        </w:rPr>
        <w:t>/$GrantID$/</w:t>
      </w:r>
    </w:p>
    <w:p>
      <w:pPr>
        <w:spacing w:after="0" w:line="5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/$GrantDate$/</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Target Share Units: </w:t>
      </w:r>
      <w:r>
        <w:rPr>
          <w:rFonts w:ascii="Arial" w:cs="Arial" w:eastAsia="Arial" w:hAnsi="Arial"/>
          <w:sz w:val="18"/>
          <w:szCs w:val="18"/>
          <w:color w:val="auto"/>
        </w:rPr>
        <w:t>/$AwardsGranted$/</w:t>
      </w:r>
    </w:p>
    <w:p>
      <w:pPr>
        <w:spacing w:after="0" w:line="50" w:lineRule="exact"/>
        <w:rPr>
          <w:sz w:val="20"/>
          <w:szCs w:val="20"/>
          <w:color w:val="auto"/>
        </w:rPr>
      </w:pPr>
    </w:p>
    <w:p>
      <w:pPr>
        <w:ind w:left="2800" w:right="160" w:hanging="1805"/>
        <w:spacing w:after="0" w:line="266" w:lineRule="auto"/>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Three-Year Period Comprised of Fiscal Years 2021, 2022 and 2023 (September 1, 2020 through August</w:t>
      </w:r>
      <w:r>
        <w:rPr>
          <w:rFonts w:ascii="Arial" w:cs="Arial" w:eastAsia="Arial" w:hAnsi="Arial"/>
          <w:sz w:val="18"/>
          <w:szCs w:val="18"/>
          <w:b w:val="1"/>
          <w:bCs w:val="1"/>
          <w:color w:val="auto"/>
        </w:rPr>
        <w:t xml:space="preserve"> </w:t>
      </w:r>
      <w:r>
        <w:rPr>
          <w:rFonts w:ascii="Arial" w:cs="Arial" w:eastAsia="Arial" w:hAnsi="Arial"/>
          <w:sz w:val="18"/>
          <w:szCs w:val="18"/>
          <w:color w:val="auto"/>
        </w:rPr>
        <w:t>31, 2023)</w:t>
      </w:r>
    </w:p>
    <w:p>
      <w:pPr>
        <w:ind w:left="1120"/>
        <w:spacing w:after="0"/>
        <w:rPr>
          <w:sz w:val="20"/>
          <w:szCs w:val="20"/>
          <w:color w:val="auto"/>
        </w:rPr>
      </w:pPr>
      <w:r>
        <w:rPr>
          <w:rFonts w:ascii="Arial" w:cs="Arial" w:eastAsia="Arial" w:hAnsi="Arial"/>
          <w:sz w:val="18"/>
          <w:szCs w:val="18"/>
          <w:b w:val="1"/>
          <w:bCs w:val="1"/>
          <w:color w:val="auto"/>
        </w:rPr>
        <w:t xml:space="preserve">Measurement Date: </w:t>
      </w:r>
      <w:r>
        <w:rPr>
          <w:rFonts w:ascii="Arial" w:cs="Arial" w:eastAsia="Arial" w:hAnsi="Arial"/>
          <w:sz w:val="18"/>
          <w:szCs w:val="18"/>
          <w:color w:val="auto"/>
        </w:rPr>
        <w:t>August 31, 2023 (end of third fiscal year)</w:t>
      </w:r>
    </w:p>
    <w:p>
      <w:pPr>
        <w:spacing w:after="0" w:line="50" w:lineRule="exact"/>
        <w:rPr>
          <w:sz w:val="20"/>
          <w:szCs w:val="20"/>
          <w:color w:val="auto"/>
        </w:rPr>
      </w:pPr>
    </w:p>
    <w:p>
      <w:pPr>
        <w:ind w:left="2800" w:right="380" w:hanging="1175"/>
        <w:spacing w:after="0" w:line="271" w:lineRule="auto"/>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The later of the date on which the Committee certifies the achievement level of the Performance Goal</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Measurement Date, or the third anniversary of the Grant Date, October 26,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w:t>
      </w:r>
    </w:p>
    <w:p>
      <w:pPr>
        <w:spacing w:after="0" w:line="200" w:lineRule="exact"/>
        <w:rPr>
          <w:sz w:val="20"/>
          <w:szCs w:val="20"/>
          <w:color w:val="auto"/>
        </w:rPr>
      </w:pPr>
    </w:p>
    <w:p>
      <w:pPr>
        <w:spacing w:after="0" w:line="39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The achievement of a level of Return on Invested Capital (“ROIC”) in excess of the Weighted Cost of Capital (“WACC”) (the “Performance Measure”) between the Target and Maximum shown in the table below (the “Achievement Level”). Final performance will be measured against the payout curve as of the Measurement Date. The number of shares you will receive will be calculated by multiplying your Target Share Units by the Payout % between 100% and 200%. The exact Payout % will be determined by linear interpolation of the Achievement Level of the Performance Measure between the Target and Maximum. </w:t>
      </w:r>
      <w:r>
        <w:rPr>
          <w:rFonts w:ascii="Arial" w:cs="Arial" w:eastAsia="Arial" w:hAnsi="Arial"/>
          <w:sz w:val="18"/>
          <w:szCs w:val="18"/>
          <w:b w:val="1"/>
          <w:bCs w:val="1"/>
          <w:color w:val="auto"/>
        </w:rPr>
        <w:t>If the Performance Measure is below Target, no payout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received.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Achievement Level at Target, Mid-Point and Maximum.</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Performance Measure</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 Payout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100% Payout (Target)</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150% Payout (Mid-</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200% Payout</w:t>
            </w:r>
          </w:p>
        </w:tc>
      </w:tr>
      <w:tr>
        <w:trPr>
          <w:trHeight w:val="246"/>
        </w:trPr>
        <w:tc>
          <w:tcPr>
            <w:tcW w:w="2800" w:type="dxa"/>
            <w:vAlign w:val="bottom"/>
            <w:tcBorders>
              <w:left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Point)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(Maximum)</w:t>
            </w:r>
          </w:p>
        </w:tc>
      </w:tr>
      <w:tr>
        <w:trPr>
          <w:trHeight w:val="250"/>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&lt; 2 percentage points</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2 percentage points</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4 percentage points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6 percentage points</w:t>
            </w:r>
          </w:p>
        </w:tc>
      </w:tr>
      <w:tr>
        <w:trPr>
          <w:trHeight w:val="250"/>
        </w:trPr>
        <w:tc>
          <w:tcPr>
            <w:tcW w:w="280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Achievement Level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150%</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bl>
    <w:p>
      <w:pPr>
        <w:spacing w:after="0" w:line="16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Performance Measure will be calculated at the end of each fiscal year. The Achievement Level will be equal to the average of each annual Performance Measure over the Performance Period as follows:</w:t>
      </w:r>
    </w:p>
    <w:p>
      <w:pPr>
        <w:spacing w:after="0" w:line="176"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8"/>
          <w:szCs w:val="18"/>
          <w:b w:val="1"/>
          <w:bCs w:val="1"/>
          <w:color w:val="auto"/>
        </w:rPr>
        <w:t>Achievement Level =</w:t>
      </w:r>
      <w:r>
        <w:rPr>
          <w:sz w:val="20"/>
          <w:szCs w:val="20"/>
          <w:color w:val="auto"/>
        </w:rPr>
        <w:tab/>
      </w:r>
      <w:r>
        <w:rPr>
          <w:rFonts w:ascii="Arial" w:cs="Arial" w:eastAsia="Arial" w:hAnsi="Arial"/>
          <w:sz w:val="17"/>
          <w:szCs w:val="17"/>
          <w:color w:val="auto"/>
        </w:rPr>
        <w:t>Performance Measure at Yr1 + Performance Measure at Yr2 + Performance Measure at Yr3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28575</wp:posOffset>
            </wp:positionV>
            <wp:extent cx="54089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6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annual ROIC and WACC Measures:</w:t>
      </w:r>
    </w:p>
    <w:p>
      <w:pPr>
        <w:sectPr>
          <w:pgSz w:w="11900" w:h="16838" w:orient="portrait"/>
          <w:cols w:equalWidth="0" w:num="1">
            <w:col w:w="11240"/>
          </w:cols>
          <w:pgMar w:left="320" w:top="11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0"/>
        <w:spacing w:after="0"/>
        <w:tabs>
          <w:tab w:leader="none" w:pos="4440" w:val="left"/>
        </w:tabs>
        <w:rPr>
          <w:sz w:val="20"/>
          <w:szCs w:val="20"/>
          <w:color w:val="auto"/>
        </w:rPr>
      </w:pPr>
      <w:r>
        <w:rPr>
          <w:rFonts w:ascii="Arial" w:cs="Arial" w:eastAsia="Arial" w:hAnsi="Arial"/>
          <w:sz w:val="18"/>
          <w:szCs w:val="18"/>
          <w:b w:val="1"/>
          <w:bCs w:val="1"/>
          <w:color w:val="auto"/>
        </w:rPr>
        <w:t>ROIC Measure =</w:t>
      </w:r>
      <w:r>
        <w:rPr>
          <w:sz w:val="20"/>
          <w:szCs w:val="20"/>
          <w:color w:val="auto"/>
        </w:rPr>
        <w:tab/>
      </w:r>
      <w:r>
        <w:rPr>
          <w:rFonts w:ascii="Arial" w:cs="Arial" w:eastAsia="Arial" w:hAnsi="Arial"/>
          <w:sz w:val="17"/>
          <w:szCs w:val="17"/>
          <w:color w:val="auto"/>
        </w:rPr>
        <w:t xml:space="preserve">Net Operating Profit after Tax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8255</wp:posOffset>
            </wp:positionV>
            <wp:extent cx="4243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Average Total Capital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(Debt + Equity – Excess Cash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245" w:lineRule="exact"/>
        <w:rPr>
          <w:sz w:val="20"/>
          <w:szCs w:val="20"/>
          <w:color w:val="auto"/>
        </w:rPr>
      </w:pPr>
    </w:p>
    <w:p>
      <w:pPr>
        <w:ind w:left="20" w:right="2580" w:firstLine="249"/>
        <w:spacing w:after="0" w:line="216" w:lineRule="auto"/>
        <w:tabs>
          <w:tab w:leader="none" w:pos="456"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ROIC may be adjusted to obtain a measure more reflective of normal operations; such adjustments are identified later in this document</w:t>
      </w:r>
    </w:p>
    <w:p>
      <w:pPr>
        <w:spacing w:after="0" w:line="1" w:lineRule="exact"/>
        <w:rPr>
          <w:rFonts w:ascii="Arial" w:cs="Arial" w:eastAsia="Arial" w:hAnsi="Arial"/>
          <w:sz w:val="22"/>
          <w:szCs w:val="22"/>
          <w:color w:val="auto"/>
          <w:vertAlign w:val="superscript"/>
        </w:rPr>
      </w:pPr>
    </w:p>
    <w:p>
      <w:pPr>
        <w:ind w:left="460" w:hanging="191"/>
        <w:spacing w:after="0" w:line="183" w:lineRule="auto"/>
        <w:tabs>
          <w:tab w:leader="none" w:pos="46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Average based on ending balances of most recent 5 quarters</w:t>
      </w:r>
    </w:p>
    <w:p>
      <w:pPr>
        <w:ind w:left="460" w:hanging="191"/>
        <w:spacing w:after="0" w:line="196" w:lineRule="auto"/>
        <w:tabs>
          <w:tab w:leader="none" w:pos="46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Excess cash represents cash balances in excess of $100 million</w:t>
      </w:r>
    </w:p>
    <w:p>
      <w:pPr>
        <w:spacing w:after="0" w:line="200" w:lineRule="exact"/>
        <w:rPr>
          <w:sz w:val="20"/>
          <w:szCs w:val="20"/>
          <w:color w:val="auto"/>
        </w:rPr>
      </w:pPr>
    </w:p>
    <w:p>
      <w:pPr>
        <w:spacing w:after="0" w:line="332" w:lineRule="exact"/>
        <w:rPr>
          <w:sz w:val="20"/>
          <w:szCs w:val="20"/>
          <w:color w:val="auto"/>
        </w:rPr>
      </w:pPr>
    </w:p>
    <w:p>
      <w:pPr>
        <w:ind w:left="2400" w:right="2580" w:hanging="1948"/>
        <w:spacing w:after="0" w:line="274" w:lineRule="auto"/>
        <w:tabs>
          <w:tab w:leader="none" w:pos="2380" w:val="left"/>
        </w:tabs>
        <w:rPr>
          <w:sz w:val="20"/>
          <w:szCs w:val="20"/>
          <w:color w:val="auto"/>
        </w:rPr>
      </w:pPr>
      <w:r>
        <w:rPr>
          <w:rFonts w:ascii="Arial" w:cs="Arial" w:eastAsia="Arial" w:hAnsi="Arial"/>
          <w:sz w:val="18"/>
          <w:szCs w:val="18"/>
          <w:b w:val="1"/>
          <w:bCs w:val="1"/>
          <w:color w:val="auto"/>
        </w:rPr>
        <w:t>WACC Measure =</w:t>
      </w:r>
      <w:r>
        <w:rPr>
          <w:sz w:val="20"/>
          <w:szCs w:val="20"/>
          <w:color w:val="auto"/>
        </w:rPr>
        <w:tab/>
      </w:r>
      <w:r>
        <w:rPr>
          <w:rFonts w:ascii="Arial" w:cs="Arial" w:eastAsia="Arial" w:hAnsi="Arial"/>
          <w:sz w:val="17"/>
          <w:szCs w:val="17"/>
          <w:color w:val="auto"/>
        </w:rPr>
        <w:t>Calculation of a firm's cost of capital in which each category of capital is proportionately weighted and based on the average for most recent 5 quarters.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00" w:lineRule="exact"/>
        <w:rPr>
          <w:sz w:val="20"/>
          <w:szCs w:val="20"/>
          <w:color w:val="auto"/>
        </w:rPr>
      </w:pPr>
    </w:p>
    <w:p>
      <w:pPr>
        <w:spacing w:after="0" w:line="3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the discretion of the Compensation Committee, the Company’s calculated ROIC and/or WACC as of the Measurement Date may be adjusted to derive the Achievement Level for purposes of determining the number of Performance Stock Units earned under this award. Such adjustments may be added to or deducted to obtain a measure more reflective of normal operations and may, at the Committee’s discretion, included one or more of the following: (a) special charges for streamlining efforts and impairments, (b) the distortive effect of business acquisitions and/or dispositions, (c) Purchase Accounting adjustments, (d) significant changes in income tax rates or regulations, (e) significant changes in foreign currency, (f) refinancing or extinguishment of debt, (g) changes in accounting principles or accounting policies, and (h) any other unusual gain or loss or event deemed appropriate by the Committee.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Example: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 payout example assuming an award of 100 Target Share Units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180" w:type="dxa"/>
            <w:vAlign w:val="bottom"/>
            <w:tcBorders>
              <w:left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ROIC</w:t>
            </w:r>
          </w:p>
        </w:tc>
        <w:tc>
          <w:tcPr>
            <w:tcW w:w="176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ROIC in excess of</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Payout %</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Actual Shares</w:t>
            </w:r>
          </w:p>
        </w:tc>
      </w:tr>
      <w:tr>
        <w:trPr>
          <w:trHeight w:val="246"/>
        </w:trPr>
        <w:tc>
          <w:tcPr>
            <w:tcW w:w="218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WACC</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WACC</w:t>
            </w:r>
          </w:p>
        </w:tc>
        <w:tc>
          <w:tcPr>
            <w:tcW w:w="174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Received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Year 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13.7%</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9.2%</w:t>
            </w:r>
          </w:p>
        </w:tc>
        <w:tc>
          <w:tcPr>
            <w:tcW w:w="1940" w:type="dxa"/>
            <w:vAlign w:val="bottom"/>
            <w:tcBorders>
              <w:bottom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155</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Year 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10.5%</w:t>
            </w:r>
          </w:p>
        </w:tc>
        <w:tc>
          <w:tcPr>
            <w:tcW w:w="1940" w:type="dxa"/>
            <w:vAlign w:val="bottom"/>
            <w:tcBorders>
              <w:bottom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Year 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17.3%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10.8%</w:t>
            </w:r>
          </w:p>
        </w:tc>
        <w:tc>
          <w:tcPr>
            <w:tcW w:w="1940" w:type="dxa"/>
            <w:vAlign w:val="bottom"/>
            <w:tcBorders>
              <w:bottom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3-Year Average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15.3%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10.2%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5.1%</w:t>
            </w:r>
          </w:p>
        </w:tc>
        <w:tc>
          <w:tcPr>
            <w:tcW w:w="174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155%</w:t>
            </w:r>
          </w:p>
        </w:tc>
        <w:tc>
          <w:tcPr>
            <w:tcW w:w="18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40"/>
          </w:cols>
          <w:pgMar w:left="320" w:top="11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FOR GRANTEES OUTSIDE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includes additional terms and conditions that govern the Performance Units granted to Grantee under the Plan if Grantee resides in one of the countries listed below. These terms and conditions are in addition to, or if so indicated, in place of the terms and conditions in the Agreement. If Grantee is a citizen or resident of a country other than the one in which he or she is currently working, transferred employment and/or residency after the Performance Units were granted, or is considered a resident of another country for local law purposes, the Company shall, in its discretion, determine to what extent the terms and conditions contained herein shall be applicable to Grantee.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 countries as of October 2020. Such laws are often complex and change frequently. As a result, the Company strongly recommends that Grantee not rely on the information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as the only source of information relating to the consequences of Grantee’s participation in the Plan because the information may be out of date at the time that the Performance Units vest or Grantee sells Shares.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Grantee is a citizen or resident of a country other than the one in which he or she is currently working, transferred employment and/or residency after the Performance Units were granted, or is considered a resident of another country for local law purposes, the notifications contained herein may not be applicable to Grantee.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Certain capitalized terms used but not defined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have the meanings set forth in the Plan and the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EUROPEAN UNION/EUROPEAN ECONOMIC AREA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United Kingdom)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provisions below replace Section 18 of the Agreement if Grantee is located in the European Union/European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Area (including the United Kingdom).</w:t>
      </w:r>
    </w:p>
    <w:p>
      <w:pPr>
        <w:spacing w:after="0" w:line="99" w:lineRule="exact"/>
        <w:rPr>
          <w:sz w:val="20"/>
          <w:szCs w:val="20"/>
          <w:color w:val="auto"/>
        </w:rPr>
      </w:pPr>
    </w:p>
    <w:p>
      <w:pPr>
        <w:jc w:val="both"/>
        <w:ind w:left="1300" w:hanging="320"/>
        <w:spacing w:after="0" w:line="255" w:lineRule="auto"/>
        <w:tabs>
          <w:tab w:leader="none" w:pos="1288"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w:t>
      </w:r>
    </w:p>
    <w:p>
      <w:pPr>
        <w:sectPr>
          <w:pgSz w:w="11900" w:h="16838" w:orient="portrait"/>
          <w:cols w:equalWidth="0" w:num="1">
            <w:col w:w="11240"/>
          </w:cols>
          <w:pgMar w:left="320" w:top="118" w:right="339" w:bottom="1440" w:gutter="0" w:footer="0" w:header="0"/>
        </w:sectPr>
      </w:pPr>
    </w:p>
    <w:bookmarkStart w:id="77" w:name="page78"/>
    <w:bookmarkEnd w:id="77"/>
    <w:p>
      <w:pPr>
        <w:ind w:left="10060"/>
        <w:spacing w:after="0"/>
        <w:rPr>
          <w:sz w:val="20"/>
          <w:szCs w:val="20"/>
          <w:color w:val="auto"/>
        </w:rPr>
      </w:pPr>
      <w:r>
        <w:rPr>
          <w:rFonts w:ascii="Arial" w:cs="Arial" w:eastAsia="Arial" w:hAnsi="Arial"/>
          <w:sz w:val="17"/>
          <w:szCs w:val="17"/>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b w:val="1"/>
          <w:bCs w:val="1"/>
          <w:i w:val="1"/>
          <w:iCs w:val="1"/>
          <w:color w:val="auto"/>
        </w:rPr>
        <w:t>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Performance Units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127" w:lineRule="exact"/>
        <w:rPr>
          <w:sz w:val="20"/>
          <w:szCs w:val="20"/>
          <w:color w:val="auto"/>
        </w:rPr>
      </w:pPr>
    </w:p>
    <w:p>
      <w:pPr>
        <w:jc w:val="both"/>
        <w:ind w:left="1300" w:hanging="320"/>
        <w:spacing w:after="0" w:line="255" w:lineRule="auto"/>
        <w:tabs>
          <w:tab w:leader="none" w:pos="1288"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26" w:lineRule="exact"/>
        <w:rPr>
          <w:rFonts w:ascii="Arial" w:cs="Arial" w:eastAsia="Arial" w:hAnsi="Arial"/>
          <w:sz w:val="18"/>
          <w:szCs w:val="18"/>
          <w:color w:val="auto"/>
        </w:rPr>
      </w:pPr>
    </w:p>
    <w:p>
      <w:pPr>
        <w:jc w:val="both"/>
        <w:ind w:left="1300" w:hanging="320"/>
        <w:spacing w:after="0" w:line="255" w:lineRule="auto"/>
        <w:tabs>
          <w:tab w:leader="none" w:pos="1291"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3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i w:val="1"/>
          <w:iCs w:val="1"/>
          <w:color w:val="auto"/>
        </w:rPr>
        <w:t>The Company provides appropriate safeguards for protecting Personal Data that it receives in the United States through its adherence to EU Standard Contractual Clauses entered into between the Company and its Subsidiaries and Affiliates within the EU, the EEA and the United Kingdom. Grantee can ask for copies of such EU Standard Contractual Clauses using the following contact details: Rob Selker at rob.selker@eldoled.com, Loic Mrissa at lmrissa@distech-controls.com, or Ian Doyle at IDoyle@holophane.co.UK. Bank of America Merrill Lynch has not implemented appropriate safeguards such as the EU Standard Contractual Clauses. As a consequence, if Grantee is located in the EU, the EEA or the United Kingdom, Personal Data is transferred by the Company to Bank of America Merrill Lynch solely based on Grantee’s consent provided to the Company as follows: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 Section 18(c) above. Grantee understands that granting such consent is voluntary and that Grantee may, at any time and with future effect, refuse to provide such consent or withdraw such consent by contacting Rob Selker at rob.selker@eldoled.com, Loic Mrissa at lmrissa@distech-controls.com, or Ian Doyle at</w:t>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IDoyle@holophane.co.UK. If Grantee does not consent or later withdraws consent, Grantee’s employment status or service with the Employer will not be affected. The only consequence of not providing or withdrawing consent is that the Company would not be able to grant Performance Units or other equity awards to Grantee or administer or maintain such awards. Therefore, Grantee understands that refusing or withdrawing consent may affect his or her ability to participate in the Plan. For more information on the consequences of refusal or withdrawal of consent, Grantee may Rob Selker at rob.selker@eldoled.com, Loic Mrissa at lmrissa@distech-controls.com, or Ian Doyle at IDoyle@holophane.co.UK.</w:t>
      </w:r>
    </w:p>
    <w:p>
      <w:pPr>
        <w:spacing w:after="0" w:line="128" w:lineRule="exact"/>
        <w:rPr>
          <w:sz w:val="20"/>
          <w:szCs w:val="20"/>
          <w:color w:val="auto"/>
        </w:rPr>
      </w:pPr>
    </w:p>
    <w:p>
      <w:pPr>
        <w:jc w:val="both"/>
        <w:ind w:left="1300" w:hanging="320"/>
        <w:spacing w:after="0" w:line="256" w:lineRule="auto"/>
        <w:tabs>
          <w:tab w:leader="none" w:pos="128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Retentio</w:t>
      </w:r>
      <w:r>
        <w:rPr>
          <w:rFonts w:ascii="Arial" w:cs="Arial" w:eastAsia="Arial" w:hAnsi="Arial"/>
          <w:sz w:val="18"/>
          <w:szCs w:val="18"/>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with the Employer.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128" w:lineRule="exact"/>
        <w:rPr>
          <w:rFonts w:ascii="Arial" w:cs="Arial" w:eastAsia="Arial" w:hAnsi="Arial"/>
          <w:sz w:val="18"/>
          <w:szCs w:val="18"/>
          <w:color w:val="auto"/>
        </w:rPr>
      </w:pPr>
    </w:p>
    <w:p>
      <w:pPr>
        <w:jc w:val="both"/>
        <w:ind w:left="1300" w:hanging="320"/>
        <w:spacing w:after="0" w:line="258" w:lineRule="auto"/>
        <w:tabs>
          <w:tab w:leader="none" w:pos="128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 Personal Data the Company processes, (b) rectification of incorrect or incomplete data,</w:t>
      </w:r>
    </w:p>
    <w:p>
      <w:pPr>
        <w:spacing w:after="0" w:line="2"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8"/>
          <w:szCs w:val="18"/>
          <w:b w:val="1"/>
          <w:bCs w:val="1"/>
          <w:i w:val="1"/>
          <w:iCs w:val="1"/>
          <w:color w:val="auto"/>
        </w:rPr>
        <w:t>(c) deletion of data, (d) restrictions on processing, (e) 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u w:val="single" w:color="auto"/>
          <w:color w:val="auto"/>
        </w:rPr>
        <w:t>Controller and Authorized EU Representative</w:t>
      </w:r>
      <w:r>
        <w:rPr>
          <w:rFonts w:ascii="Arial" w:cs="Arial" w:eastAsia="Arial" w:hAnsi="Arial"/>
          <w:sz w:val="18"/>
          <w:szCs w:val="18"/>
          <w:b w:val="1"/>
          <w:bCs w:val="1"/>
          <w:i w:val="1"/>
          <w:iCs w:val="1"/>
          <w:color w:val="auto"/>
        </w:rPr>
        <w:t>. The Company is the controller responsible for the processing of Grantee's Personal Data as described in this Section 18. The Company’s authorized representative in the EU is Rob Selker, eldoLED B.V., Science Park Eindhoven 5125, 5692 ED Son, The Netherlands, and Loic Mrissa, Distech Controls, ZAC de Sacuny, 558 avenue Marcel Mérieux Brignais, France.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 (Quebec Only)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Grantee acknowledges that it is the express wish of the parties that this Agreement, as well as all documents,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proceedings entered into, given or instituted pursuant hereto or relating directly or indirectly hereto, be written in English.</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Consentement linguistique</w:t>
      </w:r>
      <w:r>
        <w:rPr>
          <w:rFonts w:ascii="Arial" w:cs="Arial" w:eastAsia="Arial" w:hAnsi="Arial"/>
          <w:sz w:val="18"/>
          <w:szCs w:val="18"/>
          <w:i w:val="1"/>
          <w:iCs w:val="1"/>
          <w:color w:val="auto"/>
        </w:rPr>
        <w:t>. Le participant reconnaît que c’est son souhait exprès d’avoir exigé la rédaction en anglais de cette convention,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ainsi que de tous documents exécutés, avis donnés et procédures judiciaries intentées, directement ou indirectement, relativement à ou suite à la présente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The following provision supplements Section 18 of the Agreement: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 Subsidiary or Affiliate to disclose and discuss the Plan with their advisors. Grantee further authorizes the Company and any Subsidiary or Affiliate to record such information and to keep such information in Grantee’s employee file.</w:t>
      </w:r>
    </w:p>
    <w:p>
      <w:pPr>
        <w:sectPr>
          <w:pgSz w:w="11900" w:h="16838" w:orient="portrait"/>
          <w:cols w:equalWidth="0" w:num="1">
            <w:col w:w="11240"/>
          </w:cols>
          <w:pgMar w:left="320" w:top="11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 (All Provinces, Including Quebec)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following provision supplements Section 5(d) of the Agreement: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Section 5(d) of the Agreement, if applicable employment standards legislation explicitly requires continued entitlement to vesting during a statutory notice period, Grantee’s right to vest in the RSUs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color w:val="auto"/>
        </w:rPr>
        <w:t>. Grantee acknowledges that he or she is permitted to sell the Shares acquired under the Plan through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Merrill Lynch or other such stock plan service provider as may be selected by the Company in the future, provided the sale of the Shares takes place outside of Canada through facilities of a stock exchange on which the Shares are listed. The Shares are currently listed on the New York Stock Exchange.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specified foreign property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T1135 (Foreign Income Verification Statement) if the total cost of the foreign specified property exceeds C$100,000 at any time in the year. Foreign specified property includes Shares acquired under the Plan and may include the Performance Units, and their cost generally is the adjusted cost base (“ACB”) of the Shares. The ACB ordinarily would equal the fair market value of the Shares at the time of acquisition, but if the Canadian resident owns other Shares, whether acquired under the Plan or outside of it, the ACB of Shares acquired pursuant to this Agreement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Performance Units Not French-qualified</w:t>
      </w:r>
      <w:r>
        <w:rPr>
          <w:rFonts w:ascii="Arial" w:cs="Arial" w:eastAsia="Arial" w:hAnsi="Arial"/>
          <w:sz w:val="18"/>
          <w:szCs w:val="18"/>
          <w:color w:val="auto"/>
        </w:rPr>
        <w:t>. The Performance Units granted under this Agreement are not intended to qualify for specific tax</w:t>
      </w:r>
      <w:r>
        <w:rPr>
          <w:rFonts w:ascii="Arial" w:cs="Arial" w:eastAsia="Arial" w:hAnsi="Arial"/>
          <w:sz w:val="18"/>
          <w:szCs w:val="18"/>
          <w:b w:val="1"/>
          <w:bCs w:val="1"/>
          <w:color w:val="auto"/>
        </w:rPr>
        <w:t xml:space="preserve"> </w:t>
      </w:r>
      <w:r>
        <w:rPr>
          <w:rFonts w:ascii="Arial" w:cs="Arial" w:eastAsia="Arial" w:hAnsi="Arial"/>
          <w:sz w:val="18"/>
          <w:szCs w:val="18"/>
          <w:color w:val="auto"/>
        </w:rPr>
        <w:t>and social security treatment pursuant to Sections L. 225-197-1 to L. 225-197-6 of the French Commercial Code, as amended.</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By accepting the grant, Grantee confirms having read and understood the Plan and Agreement which were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English language. Grantee accepts the terms of those documents accordingly.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Consentement linguistique</w:t>
      </w:r>
      <w:r>
        <w:rPr>
          <w:rFonts w:ascii="Arial" w:cs="Arial" w:eastAsia="Arial" w:hAnsi="Arial"/>
          <w:sz w:val="18"/>
          <w:szCs w:val="18"/>
          <w:i w:val="1"/>
          <w:iCs w:val="1"/>
          <w:color w:val="auto"/>
        </w:rPr>
        <w:t>. En acceptant l’attribution, le Participant confirme avoir lu et compris le Plan et le Contrat, qui ont été</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communiqués en langue anglaise. Le Participant accepte les termes de ces documents en connaissance de cause.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accounts (including any accounts that were closed during the tax year) on an annual basis, together with their income tax return.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ectPr>
          <w:pgSz w:w="11900" w:h="16838" w:orient="portrait"/>
          <w:cols w:equalWidth="0" w:num="1">
            <w:col w:w="11240"/>
          </w:cols>
          <w:pgMar w:left="320" w:top="11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Bundesbank</w:t>
      </w:r>
      <w:r>
        <w:rPr>
          <w:rFonts w:ascii="Arial" w:cs="Arial" w:eastAsia="Arial" w:hAnsi="Arial"/>
          <w:sz w:val="18"/>
          <w:szCs w:val="18"/>
          <w:color w:val="auto"/>
        </w:rPr>
        <w:t xml:space="preserve">) by the fifth day of the month following the month in which the payment is received or made. If Grantee receives a payment in excess of € 12,500 in connection with the sale of Shares and/or the receipt of dividends or Dividends Equivalents, Grantee must report the payment to </w:t>
      </w:r>
      <w:r>
        <w:rPr>
          <w:rFonts w:ascii="Arial" w:cs="Arial" w:eastAsia="Arial" w:hAnsi="Arial"/>
          <w:sz w:val="18"/>
          <w:szCs w:val="18"/>
          <w:i w:val="1"/>
          <w:iCs w:val="1"/>
          <w:color w:val="auto"/>
        </w:rPr>
        <w:t>Bundesbank</w:t>
      </w:r>
      <w:r>
        <w:rPr>
          <w:rFonts w:ascii="Arial" w:cs="Arial" w:eastAsia="Arial" w:hAnsi="Arial"/>
          <w:sz w:val="18"/>
          <w:szCs w:val="18"/>
          <w:color w:val="auto"/>
        </w:rPr>
        <w:t xml:space="preserve">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xml:space="preserve">) available via </w:t>
      </w:r>
      <w:r>
        <w:rPr>
          <w:rFonts w:ascii="Arial" w:cs="Arial" w:eastAsia="Arial" w:hAnsi="Arial"/>
          <w:sz w:val="18"/>
          <w:szCs w:val="18"/>
          <w:i w:val="1"/>
          <w:iCs w:val="1"/>
          <w:color w:val="auto"/>
        </w:rPr>
        <w:t>Bundesbank</w:t>
      </w:r>
      <w:r>
        <w:rPr>
          <w:rFonts w:ascii="Arial" w:cs="Arial" w:eastAsia="Arial" w:hAnsi="Arial"/>
          <w:sz w:val="18"/>
          <w:szCs w:val="18"/>
          <w:color w:val="auto"/>
        </w:rPr>
        <w:t>’s website.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If Grantee’s acquisition of Shares under the Plan leads to a “qualified participation”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point during the calendar year, Grantee will need to report the acquisition of Shares when Grantee files his or her tax return for the relevant year. A qualified participation is attained if (i) the value of the Shares acquired exceeds €150,000 or (ii) the Shares held exceed 10% of the Company’s total Common Stock. However, provided the Common Stock is listed on a recognized stock exchange (</w:t>
      </w:r>
      <w:r>
        <w:rPr>
          <w:rFonts w:ascii="Arial" w:cs="Arial" w:eastAsia="Arial" w:hAnsi="Arial"/>
          <w:sz w:val="18"/>
          <w:szCs w:val="18"/>
          <w:i w:val="1"/>
          <w:iCs w:val="1"/>
          <w:color w:val="auto"/>
        </w:rPr>
        <w:t>e.g.</w:t>
      </w:r>
      <w:r>
        <w:rPr>
          <w:rFonts w:ascii="Arial" w:cs="Arial" w:eastAsia="Arial" w:hAnsi="Arial"/>
          <w:sz w:val="18"/>
          <w:szCs w:val="18"/>
          <w:color w:val="auto"/>
        </w:rPr>
        <w:t>, the New York Stock Exchange) and Grantee owns less than 1% of the Company, this requirement will not apply. Grantee should consult with his or her personal tax advisor to ensure Grantee complies with applicable reporting obligations.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Performance Units, Grantee acknowledges that (a) Grantee has received a copy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and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(b) Grantee has reviewed those documents in their entirety and fully understands the contents thereof; and (c) Grantee accepts all provisions of the Plan and the Agreement, including this </w:t>
      </w:r>
      <w:r>
        <w:rPr>
          <w:rFonts w:ascii="Arial" w:cs="Arial" w:eastAsia="Arial" w:hAnsi="Arial"/>
          <w:sz w:val="18"/>
          <w:szCs w:val="18"/>
          <w:u w:val="single" w:color="auto"/>
          <w:color w:val="auto"/>
        </w:rPr>
        <w:t>Exhibit C</w:t>
      </w:r>
      <w:r>
        <w:rPr>
          <w:rFonts w:ascii="Arial" w:cs="Arial" w:eastAsia="Arial" w:hAnsi="Arial"/>
          <w:sz w:val="18"/>
          <w:szCs w:val="18"/>
          <w:color w:val="auto"/>
        </w:rPr>
        <w:t>. Grantee further acknowledges that Grantee has read and specifically and expressly approves, without limitation, the following sections of the Agreement: Section 3 (Acceptance of Performance Unit Award); Section 5 (Vesting of Performance Unit Award); Section 14 (Grantee’s Representation); Section 15 (Confidentiality, Inventions, Non-Solicitation and Non-Competition); Section 16 (Nature of Grant); Section 17 (Responsibility for Taxes); Section 18 (Data Privacy); Section 20 (Insider Trading/Market Abuse Restrictions); Section 24 (Language) and Section 26 (Governing Law and 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Foreign Asset / Account Reporting Requirement</w:t>
      </w:r>
      <w:r>
        <w:rPr>
          <w:rFonts w:ascii="Arial" w:cs="Arial" w:eastAsia="Arial" w:hAnsi="Arial"/>
          <w:sz w:val="18"/>
          <w:szCs w:val="18"/>
          <w:color w:val="auto"/>
        </w:rPr>
        <w:t>. Italian residents who, during any fiscal year, hold investments or financial assets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Italy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 assets under Italian money laundering provisions.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By participating in the Plan, Grantee expressly recognizes that Acuity Brands Inc.,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at 1170 Peachtree Street, NE Suite 2300, Atlanta, GA 30309, U.S., is solely responsible for the administration of the Plan and that Grantee’s participation in the Plan and acquisition of Shares does not constitute a relationship as an Employee with the Company since Grantee is participating in the Plan on a wholly commercial basis and the sole Employer is a Subsidiary or Affiliate of the Company (“Acuity-Mexico”). Based on the foregoing, Grantee expressly recognizes that the Plan and the benefits that may be derived from participation in the Plan do not establish any rights between Grantee and the Employer, Acuity-Mexico, and do not form part of the employment conditions and/or benefits provided by Acuity-Mexico and any modification of the Plan or its termination shall not constitute a change or impairment of the terms and conditions of Grantee’s relationship as an Employee.</w:t>
      </w:r>
    </w:p>
    <w:p>
      <w:pPr>
        <w:sectPr>
          <w:pgSz w:w="11900" w:h="16838" w:orient="portrait"/>
          <w:cols w:equalWidth="0" w:num="1">
            <w:col w:w="11240"/>
          </w:cols>
          <w:pgMar w:left="320" w:top="11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 Grantee.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 grants a full and broad release to the Company, the Employer, its Subsidiaries and Affiliates, branches, representation offices, its stockholders, officers, agents or legal representatives with respect to any claim that may arise.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Política de Ley Laboral y Reconocimiento. </w:t>
      </w:r>
      <w:r>
        <w:rPr>
          <w:rFonts w:ascii="Arial" w:cs="Arial" w:eastAsia="Arial" w:hAnsi="Arial"/>
          <w:sz w:val="18"/>
          <w:szCs w:val="18"/>
          <w:i w:val="1"/>
          <w:iCs w:val="1"/>
          <w:color w:val="auto"/>
        </w:rPr>
        <w:t>Participando en el Plan, el Participante reconoce expresamente 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Acuity Brands Inc.</w:t>
      </w:r>
      <w:r>
        <w:rPr>
          <w:rFonts w:ascii="Arial" w:cs="Arial" w:eastAsia="Arial" w:hAnsi="Arial"/>
          <w:sz w:val="18"/>
          <w:szCs w:val="18"/>
          <w:i w:val="1"/>
          <w:iCs w:val="1"/>
          <w:color w:val="auto"/>
        </w:rPr>
        <w:t>, con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oficinas registradas en 1170 Peachtree Street, NE Suite 2300, Atlanta, GA 30309, U.S., es el único responsable de la administración del Plan y que la participación del Participante en el mismo y la compra de acciones bursátiles no constituye de ninguna manera una relación laboral entre Usted y la Compañía dado que su participación en el Plan deriva únicamente de una relación comercial y que su único empleador es una Subsidiaria o Afiliada del la Compañía (“Acuity-Mexico”). Derivado de lo anterior, el Participante expresamente reconoce que el Plan y los beneficios que pudieran derivar del mismo no establecen ningún derecho entre el Participante y el empleador, Acuity-Mexico, y no forman parte de las condiciones laborales y/o prestaciones otorgadas por Acuity-Mexico, y cualquier modificación al Plan o la terminación del mismo no podrá ser interpretada como una modificación o degradación de los términos y condiciones de su trabajo.</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 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NETHERLANDS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Issuance of Shares upon Vesting. </w:t>
      </w:r>
      <w:r>
        <w:rPr>
          <w:rFonts w:ascii="Arial" w:cs="Arial" w:eastAsia="Arial" w:hAnsi="Arial"/>
          <w:sz w:val="18"/>
          <w:szCs w:val="18"/>
          <w:color w:val="auto"/>
        </w:rPr>
        <w:t>The following supplements Section 7 of the Agreement: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anything to the contrary in the Plan or the Agreement, Performance Units granted to Grantees resident in the United Kingdom (“U.K.”) shall be paid in Shares only.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Responsibility for Taxes. </w:t>
      </w:r>
      <w:r>
        <w:rPr>
          <w:rFonts w:ascii="Arial" w:cs="Arial" w:eastAsia="Arial" w:hAnsi="Arial"/>
          <w:sz w:val="18"/>
          <w:szCs w:val="18"/>
          <w:color w:val="auto"/>
        </w:rPr>
        <w:t>The following supplements Section 17 of the Agreement: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Without limitation to Section 17 of the Agreement, Grantee hereby agrees that he or she is liable for all Tax-Related Items and hereby covenants to pay all such Tax-Related Items, as and when requested by the Company, the Employer or by Her Majesty’s Revenue &amp; Customs (“HMRC”) (or any other tax authority or any other relevant authority). Grantee also hereby agrees to indemnify and keep indemnified the Company and (if different) the Employer against any Tax-Related Items that they are required to pay or withhold or have paid or will pay to HMRC (or any other tax authority or any other relevant authority) on Grantee’s behalf.</w:t>
      </w:r>
    </w:p>
    <w:p>
      <w:pPr>
        <w:sectPr>
          <w:pgSz w:w="11900" w:h="16838" w:orient="portrait"/>
          <w:cols w:equalWidth="0" w:num="1">
            <w:col w:w="11240"/>
          </w:cols>
          <w:pgMar w:left="320" w:top="11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 ninety (90) days of the end of the U.K. tax year in which an event giving rise to the Tax-Related Items occurs may constitute a benefit to Grantee on which additional income tax and National Insurance contributions (“NICs”) may be payable. Grantee understands that he or she will be responsible for reporting any income tax due on this additional benefit directly to HMRC under the self-assessment regime and for paying the Company or the Employer, as applicable, for the value of any employee NICs due on this additional benefit, which may be recovered from Grantee by the Company or the Employer at any time thereafter by any of the means referred to in Section 17 of the Agreement.</w:t>
      </w:r>
    </w:p>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CONFIDENTIALITY, INVENTIONS, NON-SOLICITATION AND NON-COMPETITION PROVISIONS</w:t>
      </w:r>
    </w:p>
    <w:p>
      <w:pPr>
        <w:spacing w:after="0" w:line="171"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71"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“Confidential Information” means the following:</w:t>
      </w:r>
    </w:p>
    <w:p>
      <w:pPr>
        <w:spacing w:after="0" w:line="193" w:lineRule="exact"/>
        <w:rPr>
          <w:rFonts w:ascii="Arial" w:cs="Arial" w:eastAsia="Arial" w:hAnsi="Arial"/>
          <w:sz w:val="18"/>
          <w:szCs w:val="18"/>
          <w:color w:val="auto"/>
        </w:rPr>
      </w:pPr>
    </w:p>
    <w:p>
      <w:pPr>
        <w:jc w:val="both"/>
        <w:ind w:left="1628" w:hanging="422"/>
        <w:spacing w:after="0" w:line="250" w:lineRule="auto"/>
        <w:tabs>
          <w:tab w:leader="none" w:pos="1628"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71" w:lineRule="exact"/>
        <w:rPr>
          <w:rFonts w:ascii="Arial" w:cs="Arial" w:eastAsia="Arial" w:hAnsi="Arial"/>
          <w:sz w:val="18"/>
          <w:szCs w:val="18"/>
          <w:color w:val="auto"/>
        </w:rPr>
      </w:pPr>
    </w:p>
    <w:p>
      <w:pPr>
        <w:ind w:left="1628" w:hanging="462"/>
        <w:spacing w:after="0"/>
        <w:tabs>
          <w:tab w:leader="none" w:pos="1628"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Confidential Information shall not include:</w:t>
      </w:r>
    </w:p>
    <w:p>
      <w:pPr>
        <w:spacing w:after="0" w:line="171" w:lineRule="exact"/>
        <w:rPr>
          <w:rFonts w:ascii="Arial" w:cs="Arial" w:eastAsia="Arial" w:hAnsi="Arial"/>
          <w:sz w:val="18"/>
          <w:szCs w:val="18"/>
          <w:color w:val="auto"/>
        </w:rPr>
      </w:pPr>
    </w:p>
    <w:p>
      <w:pPr>
        <w:ind w:left="2248" w:hanging="304"/>
        <w:spacing w:after="0"/>
        <w:tabs>
          <w:tab w:leader="none" w:pos="2248" w:val="left"/>
        </w:tabs>
        <w:numPr>
          <w:ilvl w:val="3"/>
          <w:numId w:val="46"/>
        </w:numPr>
        <w:rPr>
          <w:rFonts w:ascii="Arial" w:cs="Arial" w:eastAsia="Arial" w:hAnsi="Arial"/>
          <w:sz w:val="18"/>
          <w:szCs w:val="18"/>
          <w:color w:val="auto"/>
        </w:rPr>
      </w:pPr>
      <w:r>
        <w:rPr>
          <w:rFonts w:ascii="Arial" w:cs="Arial" w:eastAsia="Arial" w:hAnsi="Arial"/>
          <w:sz w:val="18"/>
          <w:szCs w:val="18"/>
          <w:color w:val="auto"/>
        </w:rPr>
        <w:t>Information generally available to the public other than as a result of improper disclosure by Grantee;</w:t>
      </w:r>
    </w:p>
    <w:p>
      <w:pPr>
        <w:spacing w:after="0" w:line="171" w:lineRule="exact"/>
        <w:rPr>
          <w:rFonts w:ascii="Arial" w:cs="Arial" w:eastAsia="Arial" w:hAnsi="Arial"/>
          <w:sz w:val="18"/>
          <w:szCs w:val="18"/>
          <w:color w:val="auto"/>
        </w:rPr>
      </w:pPr>
    </w:p>
    <w:p>
      <w:pPr>
        <w:ind w:left="2268" w:hanging="324"/>
        <w:spacing w:after="0" w:line="261" w:lineRule="auto"/>
        <w:tabs>
          <w:tab w:leader="none" w:pos="2256" w:val="left"/>
        </w:tabs>
        <w:numPr>
          <w:ilvl w:val="3"/>
          <w:numId w:val="46"/>
        </w:numPr>
        <w:rPr>
          <w:rFonts w:ascii="Arial" w:cs="Arial" w:eastAsia="Arial" w:hAnsi="Arial"/>
          <w:sz w:val="18"/>
          <w:szCs w:val="18"/>
          <w:color w:val="auto"/>
        </w:rPr>
      </w:pPr>
      <w:r>
        <w:rPr>
          <w:rFonts w:ascii="Arial" w:cs="Arial" w:eastAsia="Arial" w:hAnsi="Arial"/>
          <w:sz w:val="18"/>
          <w:szCs w:val="18"/>
          <w:color w:val="auto"/>
        </w:rPr>
        <w:t>Information that becomes available to Grantee from a source other than the Company (provided Grantee has no knowledge that such information was obtained from a source in breach of a duty to the Company);</w:t>
      </w:r>
    </w:p>
    <w:p>
      <w:pPr>
        <w:spacing w:after="0" w:line="143" w:lineRule="exact"/>
        <w:rPr>
          <w:rFonts w:ascii="Arial" w:cs="Arial" w:eastAsia="Arial" w:hAnsi="Arial"/>
          <w:sz w:val="18"/>
          <w:szCs w:val="18"/>
          <w:color w:val="auto"/>
        </w:rPr>
      </w:pPr>
    </w:p>
    <w:p>
      <w:pPr>
        <w:ind w:left="2268" w:hanging="324"/>
        <w:spacing w:after="0" w:line="261" w:lineRule="auto"/>
        <w:tabs>
          <w:tab w:leader="none" w:pos="2256" w:val="left"/>
        </w:tabs>
        <w:numPr>
          <w:ilvl w:val="3"/>
          <w:numId w:val="46"/>
        </w:numPr>
        <w:rPr>
          <w:rFonts w:ascii="Arial" w:cs="Arial" w:eastAsia="Arial" w:hAnsi="Arial"/>
          <w:sz w:val="18"/>
          <w:szCs w:val="18"/>
          <w:color w:val="auto"/>
        </w:rPr>
      </w:pPr>
      <w:r>
        <w:rPr>
          <w:rFonts w:ascii="Arial" w:cs="Arial" w:eastAsia="Arial" w:hAnsi="Arial"/>
          <w:sz w:val="18"/>
          <w:szCs w:val="18"/>
          <w:color w:val="auto"/>
        </w:rPr>
        <w:t>Information disclosed pursuant to law, regulations or pursuant to a subpoena, court order or legal process; and/or</w:t>
      </w:r>
    </w:p>
    <w:p>
      <w:pPr>
        <w:sectPr>
          <w:pgSz w:w="11900" w:h="16838" w:orient="portrait"/>
          <w:cols w:equalWidth="0" w:num="1">
            <w:col w:w="10908"/>
          </w:cols>
          <w:pgMar w:left="652"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0" w:hanging="304"/>
        <w:spacing w:after="0"/>
        <w:tabs>
          <w:tab w:leader="none" w:pos="16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Information obtained in filings with the Securities and Exchange Commission.</w:t>
      </w:r>
    </w:p>
    <w:p>
      <w:pPr>
        <w:spacing w:after="0" w:line="149" w:lineRule="exact"/>
        <w:rPr>
          <w:rFonts w:ascii="Arial" w:cs="Arial" w:eastAsia="Arial" w:hAnsi="Arial"/>
          <w:sz w:val="18"/>
          <w:szCs w:val="18"/>
          <w:color w:val="auto"/>
        </w:rPr>
      </w:pPr>
    </w:p>
    <w:p>
      <w:pPr>
        <w:ind w:left="320" w:hanging="32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Georgia law, O.C.G.A. §§ 10-1-760, et seq.</w:t>
      </w:r>
    </w:p>
    <w:p>
      <w:pPr>
        <w:spacing w:after="0" w:line="171" w:lineRule="exact"/>
        <w:rPr>
          <w:rFonts w:ascii="Arial" w:cs="Arial" w:eastAsia="Arial" w:hAnsi="Arial"/>
          <w:sz w:val="18"/>
          <w:szCs w:val="18"/>
          <w:color w:val="auto"/>
        </w:rPr>
      </w:pPr>
    </w:p>
    <w:p>
      <w:pPr>
        <w:jc w:val="both"/>
        <w:ind w:left="320" w:hanging="320"/>
        <w:spacing w:after="0" w:line="256" w:lineRule="auto"/>
        <w:tabs>
          <w:tab w:leader="none" w:pos="31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two-year period preceding the Date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that 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28" w:lineRule="exact"/>
        <w:rPr>
          <w:rFonts w:ascii="Arial" w:cs="Arial" w:eastAsia="Arial" w:hAnsi="Arial"/>
          <w:sz w:val="18"/>
          <w:szCs w:val="18"/>
          <w:color w:val="auto"/>
        </w:rPr>
      </w:pPr>
    </w:p>
    <w:p>
      <w:pPr>
        <w:ind w:left="320" w:hanging="32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w:t>
      </w:r>
    </w:p>
    <w:p>
      <w:pPr>
        <w:spacing w:after="0" w:line="171" w:lineRule="exact"/>
        <w:rPr>
          <w:rFonts w:ascii="Arial" w:cs="Arial" w:eastAsia="Arial" w:hAnsi="Arial"/>
          <w:sz w:val="18"/>
          <w:szCs w:val="18"/>
          <w:color w:val="auto"/>
        </w:rPr>
      </w:pPr>
    </w:p>
    <w:p>
      <w:pPr>
        <w:jc w:val="both"/>
        <w:ind w:left="320" w:hanging="320"/>
        <w:spacing w:after="0" w:line="252" w:lineRule="auto"/>
        <w:tabs>
          <w:tab w:leader="none" w:pos="30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37" w:lineRule="exact"/>
        <w:rPr>
          <w:rFonts w:ascii="Arial" w:cs="Arial" w:eastAsia="Arial" w:hAnsi="Arial"/>
          <w:sz w:val="18"/>
          <w:szCs w:val="18"/>
          <w:color w:val="auto"/>
        </w:rPr>
      </w:pPr>
    </w:p>
    <w:p>
      <w:pPr>
        <w:jc w:val="both"/>
        <w:ind w:left="320" w:hanging="320"/>
        <w:spacing w:after="0" w:line="278" w:lineRule="auto"/>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“Employee Services” </w:t>
      </w:r>
      <w:r>
        <w:rPr>
          <w:rFonts w:ascii="Arial" w:cs="Arial" w:eastAsia="Arial" w:hAnsi="Arial"/>
          <w:sz w:val="18"/>
          <w:szCs w:val="18"/>
          <w:color w:val="auto"/>
        </w:rPr>
        <w:t>shall mean the duties and services of the type conducted, authorized, offered, or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in his/her capacity as an Employee on behalf of the Company within twelve (12) months prior to the Date of Termination.</w:t>
      </w:r>
    </w:p>
    <w:p>
      <w:pPr>
        <w:spacing w:after="0" w:line="330" w:lineRule="exact"/>
        <w:rPr>
          <w:rFonts w:ascii="Arial" w:cs="Arial" w:eastAsia="Arial" w:hAnsi="Arial"/>
          <w:sz w:val="18"/>
          <w:szCs w:val="18"/>
          <w:color w:val="auto"/>
        </w:rPr>
      </w:pPr>
    </w:p>
    <w:p>
      <w:pPr>
        <w:jc w:val="both"/>
        <w:ind w:left="320" w:hanging="320"/>
        <w:spacing w:after="0" w:line="259" w:lineRule="auto"/>
        <w:tabs>
          <w:tab w:leader="none" w:pos="30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w:t>
      </w:r>
    </w:p>
    <w:p>
      <w:pPr>
        <w:sectPr>
          <w:pgSz w:w="11900" w:h="16838" w:orient="portrait"/>
          <w:cols w:equalWidth="0" w:num="1">
            <w:col w:w="10260"/>
          </w:cols>
          <w:pgMar w:left="130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8"/>
        <w:spacing w:after="0" w:line="254" w:lineRule="auto"/>
        <w:rPr>
          <w:sz w:val="20"/>
          <w:szCs w:val="20"/>
          <w:color w:val="auto"/>
        </w:rPr>
      </w:pPr>
      <w:r>
        <w:rPr>
          <w:rFonts w:ascii="Arial" w:cs="Arial" w:eastAsia="Arial" w:hAnsi="Arial"/>
          <w:sz w:val="18"/>
          <w:szCs w:val="18"/>
          <w:color w:val="auto"/>
        </w:rPr>
        <w:t>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28" w:lineRule="exact"/>
        <w:rPr>
          <w:sz w:val="20"/>
          <w:szCs w:val="20"/>
          <w:color w:val="auto"/>
        </w:rPr>
      </w:pPr>
    </w:p>
    <w:p>
      <w:pPr>
        <w:jc w:val="both"/>
        <w:ind w:left="968" w:hanging="320"/>
        <w:spacing w:after="0" w:line="257" w:lineRule="auto"/>
        <w:tabs>
          <w:tab w:leader="none" w:pos="956"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have the meaning set forth in O.C.G.A. § 13-8-51(10), which includes contact between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28" w:lineRule="exact"/>
        <w:rPr>
          <w:rFonts w:ascii="Arial" w:cs="Arial" w:eastAsia="Arial" w:hAnsi="Arial"/>
          <w:sz w:val="18"/>
          <w:szCs w:val="18"/>
          <w:color w:val="auto"/>
        </w:rPr>
      </w:pPr>
    </w:p>
    <w:p>
      <w:pPr>
        <w:ind w:left="968" w:hanging="320"/>
        <w:spacing w:after="0" w:line="287" w:lineRule="auto"/>
        <w:tabs>
          <w:tab w:leader="none" w:pos="963"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or</w:t>
      </w:r>
      <w:r>
        <w:rPr>
          <w:rFonts w:ascii="Arial" w:cs="Arial" w:eastAsia="Arial" w:hAnsi="Arial"/>
          <w:sz w:val="18"/>
          <w:szCs w:val="18"/>
          <w:b w:val="1"/>
          <w:bCs w:val="1"/>
          <w:color w:val="auto"/>
        </w:rPr>
        <w:t xml:space="preserve"> “Terminated for Cause” </w:t>
      </w:r>
      <w:r>
        <w:rPr>
          <w:rFonts w:ascii="Arial" w:cs="Arial" w:eastAsia="Arial" w:hAnsi="Arial"/>
          <w:sz w:val="18"/>
          <w:szCs w:val="18"/>
          <w:color w:val="auto"/>
        </w:rPr>
        <w:t>shall mean the involuntary termination of Grantee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following reasons:</w:t>
      </w:r>
    </w:p>
    <w:p>
      <w:pPr>
        <w:spacing w:after="0" w:line="120" w:lineRule="exact"/>
        <w:rPr>
          <w:rFonts w:ascii="Arial" w:cs="Arial" w:eastAsia="Arial" w:hAnsi="Arial"/>
          <w:sz w:val="18"/>
          <w:szCs w:val="18"/>
          <w:color w:val="auto"/>
        </w:rPr>
      </w:pPr>
    </w:p>
    <w:p>
      <w:pPr>
        <w:ind w:left="1628" w:right="20" w:hanging="422"/>
        <w:spacing w:after="0" w:line="261" w:lineRule="auto"/>
        <w:tabs>
          <w:tab w:leader="none" w:pos="1628" w:val="left"/>
        </w:tabs>
        <w:numPr>
          <w:ilvl w:val="4"/>
          <w:numId w:val="4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constitute an indictable offense, a felony or any crime involving dishonesty, theft, fraud or moral turpitude;</w:t>
      </w:r>
    </w:p>
    <w:p>
      <w:pPr>
        <w:spacing w:after="0" w:line="143" w:lineRule="exact"/>
        <w:rPr>
          <w:rFonts w:ascii="Arial" w:cs="Arial" w:eastAsia="Arial" w:hAnsi="Arial"/>
          <w:sz w:val="18"/>
          <w:szCs w:val="18"/>
          <w:color w:val="auto"/>
        </w:rPr>
      </w:pPr>
    </w:p>
    <w:p>
      <w:pPr>
        <w:ind w:left="1628" w:right="20" w:hanging="462"/>
        <w:spacing w:after="0" w:line="261" w:lineRule="auto"/>
        <w:tabs>
          <w:tab w:leader="none" w:pos="1628" w:val="left"/>
        </w:tabs>
        <w:numPr>
          <w:ilvl w:val="4"/>
          <w:numId w:val="4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are determined, in the good faith judgment of the Company, to be in violation of written policies of the Company;</w:t>
      </w:r>
    </w:p>
    <w:p>
      <w:pPr>
        <w:spacing w:after="0" w:line="143" w:lineRule="exact"/>
        <w:rPr>
          <w:rFonts w:ascii="Arial" w:cs="Arial" w:eastAsia="Arial" w:hAnsi="Arial"/>
          <w:sz w:val="18"/>
          <w:szCs w:val="18"/>
          <w:color w:val="auto"/>
        </w:rPr>
      </w:pPr>
    </w:p>
    <w:p>
      <w:pPr>
        <w:ind w:left="1628" w:hanging="502"/>
        <w:spacing w:after="0" w:line="261" w:lineRule="auto"/>
        <w:tabs>
          <w:tab w:leader="none" w:pos="1628" w:val="left"/>
        </w:tabs>
        <w:numPr>
          <w:ilvl w:val="4"/>
          <w:numId w:val="4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dishonesty by Grantee resulting or intended to result directly or indirectly in gain or personal enrichment to Grantee at the expense of the Company;</w:t>
      </w:r>
    </w:p>
    <w:p>
      <w:pPr>
        <w:spacing w:after="0" w:line="143" w:lineRule="exact"/>
        <w:rPr>
          <w:rFonts w:ascii="Arial" w:cs="Arial" w:eastAsia="Arial" w:hAnsi="Arial"/>
          <w:sz w:val="18"/>
          <w:szCs w:val="18"/>
          <w:color w:val="auto"/>
        </w:rPr>
      </w:pPr>
    </w:p>
    <w:p>
      <w:pPr>
        <w:jc w:val="both"/>
        <w:ind w:left="1628" w:hanging="512"/>
        <w:spacing w:after="0" w:line="253" w:lineRule="auto"/>
        <w:tabs>
          <w:tab w:leader="none" w:pos="1615" w:val="left"/>
        </w:tabs>
        <w:numPr>
          <w:ilvl w:val="3"/>
          <w:numId w:val="49"/>
        </w:numPr>
        <w:rPr>
          <w:rFonts w:ascii="Arial" w:cs="Arial" w:eastAsia="Arial" w:hAnsi="Arial"/>
          <w:sz w:val="18"/>
          <w:szCs w:val="18"/>
          <w:color w:val="auto"/>
        </w:rPr>
      </w:pPr>
      <w:r>
        <w:rPr>
          <w:rFonts w:ascii="Arial" w:cs="Arial" w:eastAsia="Arial" w:hAnsi="Arial"/>
          <w:sz w:val="18"/>
          <w:szCs w:val="18"/>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51" w:lineRule="exact"/>
        <w:rPr>
          <w:rFonts w:ascii="Arial" w:cs="Arial" w:eastAsia="Arial" w:hAnsi="Arial"/>
          <w:sz w:val="18"/>
          <w:szCs w:val="18"/>
          <w:color w:val="auto"/>
        </w:rPr>
      </w:pPr>
    </w:p>
    <w:p>
      <w:pPr>
        <w:ind w:left="1628" w:right="20" w:hanging="472"/>
        <w:spacing w:after="0" w:line="261" w:lineRule="auto"/>
        <w:tabs>
          <w:tab w:leader="none" w:pos="1615" w:val="left"/>
        </w:tabs>
        <w:numPr>
          <w:ilvl w:val="3"/>
          <w:numId w:val="49"/>
        </w:numPr>
        <w:rPr>
          <w:rFonts w:ascii="Arial" w:cs="Arial" w:eastAsia="Arial" w:hAnsi="Arial"/>
          <w:sz w:val="18"/>
          <w:szCs w:val="18"/>
          <w:color w:val="auto"/>
        </w:rPr>
      </w:pPr>
      <w:r>
        <w:rPr>
          <w:rFonts w:ascii="Arial" w:cs="Arial" w:eastAsia="Arial" w:hAnsi="Arial"/>
          <w:sz w:val="18"/>
          <w:szCs w:val="18"/>
          <w:color w:val="auto"/>
        </w:rPr>
        <w:t>If termination shall have been the result of the unauthorized disclosure by Grantee of the Company’s Confidential Information or violation of any other provision of the Confidentiality Provisions.</w:t>
      </w:r>
    </w:p>
    <w:p>
      <w:pPr>
        <w:spacing w:after="0" w:line="121" w:lineRule="exact"/>
        <w:rPr>
          <w:rFonts w:ascii="Arial" w:cs="Arial" w:eastAsia="Arial" w:hAnsi="Arial"/>
          <w:sz w:val="18"/>
          <w:szCs w:val="18"/>
          <w:color w:val="auto"/>
        </w:rPr>
      </w:pPr>
    </w:p>
    <w:p>
      <w:pPr>
        <w:jc w:val="both"/>
        <w:ind w:left="968" w:hanging="320"/>
        <w:spacing w:after="0" w:line="263" w:lineRule="auto"/>
        <w:tabs>
          <w:tab w:leader="none" w:pos="963"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“Works For Hire.” </w:t>
      </w:r>
      <w:r>
        <w:rPr>
          <w:rFonts w:ascii="Arial" w:cs="Arial" w:eastAsia="Arial" w:hAnsi="Arial"/>
          <w:sz w:val="18"/>
          <w:szCs w:val="18"/>
          <w:color w:val="auto"/>
        </w:rPr>
        <w:t>The term “Invention” means contributions, discoveries, improvements and ideas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works of authorship, whether or not patentable or copyrightable, and: (i) which relate directly to the Company’s Business, or</w:t>
      </w:r>
    </w:p>
    <w:p>
      <w:pPr>
        <w:jc w:val="both"/>
        <w:ind w:left="968" w:firstLine="4"/>
        <w:spacing w:after="0" w:line="253" w:lineRule="auto"/>
        <w:tabs>
          <w:tab w:leader="none" w:pos="1235" w:val="left"/>
        </w:tabs>
        <w:numPr>
          <w:ilvl w:val="2"/>
          <w:numId w:val="49"/>
        </w:numPr>
        <w:rPr>
          <w:rFonts w:ascii="Arial" w:cs="Arial" w:eastAsia="Arial" w:hAnsi="Arial"/>
          <w:sz w:val="18"/>
          <w:szCs w:val="18"/>
          <w:color w:val="auto"/>
        </w:rPr>
      </w:pPr>
      <w:r>
        <w:rPr>
          <w:rFonts w:ascii="Arial" w:cs="Arial" w:eastAsia="Arial" w:hAnsi="Arial"/>
          <w:sz w:val="18"/>
          <w:szCs w:val="18"/>
          <w:color w:val="auto"/>
        </w:rPr>
        <w:t>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29" w:lineRule="exact"/>
        <w:rPr>
          <w:rFonts w:ascii="Arial" w:cs="Arial" w:eastAsia="Arial" w:hAnsi="Arial"/>
          <w:sz w:val="18"/>
          <w:szCs w:val="18"/>
          <w:color w:val="auto"/>
        </w:rPr>
      </w:pPr>
    </w:p>
    <w:p>
      <w:pPr>
        <w:ind w:left="308" w:hanging="308"/>
        <w:spacing w:after="0"/>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Confidentiality, Inventions, Non-Solicitation and Non-Competition.</w:t>
      </w:r>
    </w:p>
    <w:p>
      <w:pPr>
        <w:spacing w:after="0" w:line="171" w:lineRule="exact"/>
        <w:rPr>
          <w:rFonts w:ascii="Arial" w:cs="Arial" w:eastAsia="Arial" w:hAnsi="Arial"/>
          <w:sz w:val="18"/>
          <w:szCs w:val="18"/>
          <w:color w:val="auto"/>
        </w:rPr>
      </w:pPr>
    </w:p>
    <w:p>
      <w:pPr>
        <w:ind w:left="968" w:hanging="320"/>
        <w:spacing w:after="0" w:line="287" w:lineRule="auto"/>
        <w:tabs>
          <w:tab w:leader="none" w:pos="956"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Grantee acknowledges that, during the term of his/her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after the Date of Termination, the</w:t>
      </w:r>
    </w:p>
    <w:p>
      <w:pPr>
        <w:sectPr>
          <w:pgSz w:w="11900" w:h="16838" w:orient="portrait"/>
          <w:cols w:equalWidth="0" w:num="1">
            <w:col w:w="10908"/>
          </w:cols>
          <w:pgMar w:left="652"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31" w:lineRule="exact"/>
        <w:rPr>
          <w:sz w:val="20"/>
          <w:szCs w:val="20"/>
          <w:color w:val="auto"/>
        </w:rPr>
      </w:pPr>
    </w:p>
    <w:p>
      <w:pPr>
        <w:jc w:val="both"/>
        <w:ind w:left="1300" w:hanging="320"/>
        <w:spacing w:after="0" w:line="255" w:lineRule="auto"/>
        <w:tabs>
          <w:tab w:leader="none" w:pos="1288"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49"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48"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28" w:lineRule="exact"/>
        <w:rPr>
          <w:sz w:val="20"/>
          <w:szCs w:val="20"/>
          <w:color w:val="auto"/>
        </w:rPr>
      </w:pPr>
    </w:p>
    <w:p>
      <w:pPr>
        <w:jc w:val="both"/>
        <w:ind w:left="1300" w:hanging="320"/>
        <w:spacing w:after="0" w:line="255" w:lineRule="auto"/>
        <w:tabs>
          <w:tab w:leader="none" w:pos="128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On or before the Date of Termination, Grantee agrees to deliver promptly to the Company all files,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30" w:lineRule="exact"/>
        <w:rPr>
          <w:rFonts w:ascii="Arial" w:cs="Arial" w:eastAsia="Arial" w:hAnsi="Arial"/>
          <w:sz w:val="18"/>
          <w:szCs w:val="18"/>
          <w:color w:val="auto"/>
        </w:rPr>
      </w:pPr>
    </w:p>
    <w:p>
      <w:pPr>
        <w:jc w:val="both"/>
        <w:ind w:left="1300" w:hanging="320"/>
        <w:spacing w:after="0" w:line="257" w:lineRule="auto"/>
        <w:tabs>
          <w:tab w:leader="none" w:pos="128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w:t>
      </w:r>
      <w:r>
        <w:rPr>
          <w:rFonts w:ascii="Arial" w:cs="Arial" w:eastAsia="Arial" w:hAnsi="Arial"/>
          <w:sz w:val="18"/>
          <w:szCs w:val="18"/>
          <w:b w:val="1"/>
          <w:bCs w:val="1"/>
          <w:color w:val="auto"/>
        </w:rPr>
        <w:t xml:space="preserve"> </w:t>
      </w:r>
      <w:r>
        <w:rPr>
          <w:rFonts w:ascii="Arial" w:cs="Arial" w:eastAsia="Arial" w:hAnsi="Arial"/>
          <w:sz w:val="18"/>
          <w:szCs w:val="18"/>
          <w:color w:val="auto"/>
        </w:rPr>
        <w:t>made or 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ectPr>
          <w:pgSz w:w="11900" w:h="16838" w:orient="portrait"/>
          <w:cols w:equalWidth="0" w:num="1">
            <w:col w:w="11240"/>
          </w:cols>
          <w:pgMar w:left="320" w:top="118" w:right="339" w:bottom="1440" w:gutter="0" w:footer="0" w:header="0"/>
        </w:sectPr>
      </w:pPr>
    </w:p>
    <w:bookmarkStart w:id="87" w:name="page88"/>
    <w:bookmarkEnd w:id="87"/>
    <w:p>
      <w:pPr>
        <w:ind w:left="10060"/>
        <w:spacing w:after="0"/>
        <w:rPr>
          <w:sz w:val="20"/>
          <w:szCs w:val="20"/>
          <w:color w:val="auto"/>
        </w:rPr>
      </w:pPr>
      <w:r>
        <w:rPr>
          <w:rFonts w:ascii="Arial" w:cs="Arial" w:eastAsia="Arial" w:hAnsi="Arial"/>
          <w:sz w:val="17"/>
          <w:szCs w:val="17"/>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the event that Grantee,</w:t>
      </w:r>
    </w:p>
    <w:p>
      <w:pPr>
        <w:spacing w:after="0" w:line="193" w:lineRule="exact"/>
        <w:rPr>
          <w:rFonts w:ascii="Arial" w:cs="Arial" w:eastAsia="Arial" w:hAnsi="Arial"/>
          <w:sz w:val="18"/>
          <w:szCs w:val="18"/>
          <w:color w:val="auto"/>
        </w:rPr>
      </w:pPr>
    </w:p>
    <w:p>
      <w:pPr>
        <w:ind w:left="1960" w:hanging="422"/>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voluntarily resigns from the Company,</w:t>
      </w:r>
    </w:p>
    <w:p>
      <w:pPr>
        <w:spacing w:after="0" w:line="171" w:lineRule="exact"/>
        <w:rPr>
          <w:rFonts w:ascii="Arial" w:cs="Arial" w:eastAsia="Arial" w:hAnsi="Arial"/>
          <w:sz w:val="18"/>
          <w:szCs w:val="18"/>
          <w:color w:val="auto"/>
        </w:rPr>
      </w:pPr>
    </w:p>
    <w:p>
      <w:pPr>
        <w:ind w:left="1960" w:hanging="462"/>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Terminated for Cause (as defined above), or</w:t>
      </w:r>
    </w:p>
    <w:p>
      <w:pPr>
        <w:spacing w:after="0" w:line="171" w:lineRule="exact"/>
        <w:rPr>
          <w:rFonts w:ascii="Arial" w:cs="Arial" w:eastAsia="Arial" w:hAnsi="Arial"/>
          <w:sz w:val="18"/>
          <w:szCs w:val="18"/>
          <w:color w:val="auto"/>
        </w:rPr>
      </w:pPr>
    </w:p>
    <w:p>
      <w:pPr>
        <w:jc w:val="both"/>
        <w:ind w:left="1960" w:right="20" w:hanging="502"/>
        <w:spacing w:after="0" w:line="256" w:lineRule="auto"/>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48"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 provided, however, that the restrictive period calculated hereunder shall not, in any event, exceed twelve (12) months following the Date of Termination.</w:t>
      </w:r>
    </w:p>
    <w:p>
      <w:pPr>
        <w:spacing w:after="0" w:line="135" w:lineRule="exact"/>
        <w:rPr>
          <w:sz w:val="20"/>
          <w:szCs w:val="20"/>
          <w:color w:val="auto"/>
        </w:rPr>
      </w:pPr>
    </w:p>
    <w:p>
      <w:pPr>
        <w:jc w:val="both"/>
        <w:ind w:left="1300" w:hanging="320"/>
        <w:spacing w:after="0" w:line="262" w:lineRule="auto"/>
        <w:tabs>
          <w:tab w:leader="none" w:pos="1288"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Grantee acknowledges and agrees that during his/her employment, and for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22"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twenty-four (24) months after the Date of Termination, Grantee has not and will not, directly or indirectly, whether on behalf of Grantee or others, solicit, lure or attempt to hire away any of the Company’s employees or agents.</w:t>
      </w:r>
    </w:p>
    <w:p>
      <w:pPr>
        <w:spacing w:after="0" w:line="116" w:lineRule="exact"/>
        <w:rPr>
          <w:rFonts w:ascii="Arial" w:cs="Arial" w:eastAsia="Arial" w:hAnsi="Arial"/>
          <w:sz w:val="18"/>
          <w:szCs w:val="18"/>
          <w:color w:val="auto"/>
        </w:rPr>
      </w:pPr>
    </w:p>
    <w:p>
      <w:pPr>
        <w:jc w:val="both"/>
        <w:ind w:left="1300" w:hanging="320"/>
        <w:spacing w:after="0" w:line="256" w:lineRule="auto"/>
        <w:tabs>
          <w:tab w:leader="none" w:pos="129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28" w:lineRule="exact"/>
        <w:rPr>
          <w:rFonts w:ascii="Arial" w:cs="Arial" w:eastAsia="Arial" w:hAnsi="Arial"/>
          <w:sz w:val="18"/>
          <w:szCs w:val="18"/>
          <w:color w:val="auto"/>
        </w:rPr>
      </w:pPr>
    </w:p>
    <w:p>
      <w:pPr>
        <w:jc w:val="both"/>
        <w:ind w:left="1300" w:hanging="320"/>
        <w:spacing w:after="0" w:line="257" w:lineRule="auto"/>
        <w:tabs>
          <w:tab w:leader="none" w:pos="1288"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 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Non-Assignable by Grantee</w:t>
      </w:r>
      <w:r>
        <w:rPr>
          <w:rFonts w:ascii="Arial" w:cs="Arial" w:eastAsia="Arial" w:hAnsi="Arial"/>
          <w:sz w:val="18"/>
          <w:szCs w:val="18"/>
          <w:color w:val="auto"/>
        </w:rPr>
        <w:t>. The parties acknowledge that the Confidentiality Provisions have been entered into due to,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things, the special skills and knowledge of Grantee, and agree that the Confidentiality Provisions may not be assigned or transferred by Grantee.</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requests, demands and other communications required or permitted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seven days after mailing if mailed first class, certified mail, postage prepaid, addressed as follows: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Company: Acuity Brands,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Attention: Corporate Secretary</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1170 Peachtree Street, NE, Suite 2300</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Atlanta, Georgia 30309-7676</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Grantee: To his or her last known address on file with the Company.</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22" w:lineRule="exact"/>
        <w:rPr>
          <w:sz w:val="20"/>
          <w:szCs w:val="20"/>
          <w:color w:val="auto"/>
        </w:rPr>
      </w:pPr>
    </w:p>
    <w:p>
      <w:pPr>
        <w:jc w:val="both"/>
        <w:ind w:left="660" w:hanging="328"/>
        <w:spacing w:after="0" w:line="259"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Provisions Severabl</w:t>
      </w:r>
      <w:r>
        <w:rPr>
          <w:rFonts w:ascii="Arial" w:cs="Arial" w:eastAsia="Arial" w:hAnsi="Arial"/>
          <w:sz w:val="18"/>
          <w:szCs w:val="18"/>
          <w:color w:val="auto"/>
        </w:rPr>
        <w:t>e. If any provision or covenant, or any part thereof, contained in the Confidentiality Provisions is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4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 either: (a) any Executive Severance Agreement applicable to Grantee, if any,</w:t>
      </w:r>
    </w:p>
    <w:p>
      <w:pPr>
        <w:spacing w:after="0" w:line="1" w:lineRule="exact"/>
        <w:rPr>
          <w:sz w:val="20"/>
          <w:szCs w:val="20"/>
          <w:color w:val="auto"/>
        </w:rPr>
      </w:pPr>
    </w:p>
    <w:p>
      <w:pPr>
        <w:jc w:val="both"/>
        <w:ind w:firstLine="8"/>
        <w:spacing w:after="0" w:line="254" w:lineRule="auto"/>
        <w:tabs>
          <w:tab w:leader="none" w:pos="2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27"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Failure of either party to insist, in one or more instances, on performance by the other in strict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54"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Legal Fees. </w:t>
      </w:r>
      <w:r>
        <w:rPr>
          <w:rFonts w:ascii="Arial" w:cs="Arial" w:eastAsia="Arial" w:hAnsi="Arial"/>
          <w:sz w:val="18"/>
          <w:szCs w:val="18"/>
          <w:color w:val="auto"/>
        </w:rPr>
        <w:t>Each party shall pay its own legal fees and other expenses associated with any dispute under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or any Exhibit hereto.</w:t>
      </w:r>
    </w:p>
    <w:p>
      <w:pPr>
        <w:spacing w:after="0" w:line="98"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Tender Back Provision. </w:t>
      </w:r>
      <w:r>
        <w:rPr>
          <w:rFonts w:ascii="Arial" w:cs="Arial" w:eastAsia="Arial" w:hAnsi="Arial"/>
          <w:sz w:val="18"/>
          <w:szCs w:val="18"/>
          <w:color w:val="auto"/>
        </w:rPr>
        <w:t>If, in the context of a lawsuit involving Grantee or any other person or entity arguing on Grantee’s behalf,</w:t>
      </w:r>
      <w:r>
        <w:rPr>
          <w:rFonts w:ascii="Arial" w:cs="Arial" w:eastAsia="Arial" w:hAnsi="Arial"/>
          <w:sz w:val="18"/>
          <w:szCs w:val="18"/>
          <w:b w:val="1"/>
          <w:bCs w:val="1"/>
          <w:color w:val="auto"/>
        </w:rPr>
        <w:t xml:space="preserve"> </w:t>
      </w:r>
      <w:r>
        <w:rPr>
          <w:rFonts w:ascii="Arial" w:cs="Arial" w:eastAsia="Arial" w:hAnsi="Arial"/>
          <w:sz w:val="18"/>
          <w:szCs w:val="18"/>
          <w:color w:val="auto"/>
        </w:rPr>
        <w:t>any court determines that any provisions of Section 2 are void, invalid, illegal, or otherwise unenforceable, Grantee shall be required to immediately return to the Company 70% of all monies paid out under Section 7 of the Performance Unit Award Agreement, or to return 70% of any unsold shares Grantee still owns of such Performance Units awarded under Section 7 of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Tolling Period. </w:t>
      </w:r>
      <w:r>
        <w:rPr>
          <w:rFonts w:ascii="Arial" w:cs="Arial" w:eastAsia="Arial" w:hAnsi="Arial"/>
          <w:sz w:val="18"/>
          <w:szCs w:val="18"/>
          <w:color w:val="auto"/>
        </w:rPr>
        <w:t>If Grantee is found by a court to have violated any restriction in Section 2 of the Confidentiality Provisions, he/she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time period for such restriction shall be extended by one day for each day that he/she is found to have violated the restriction, up to a maximum of 18 months.</w:t>
      </w:r>
    </w:p>
    <w:p>
      <w:pPr>
        <w:spacing w:after="0" w:line="116"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40" w:right="540"/>
        <w:spacing w:after="0" w:line="287" w:lineRule="auto"/>
        <w:rPr>
          <w:sz w:val="20"/>
          <w:szCs w:val="20"/>
          <w:color w:val="auto"/>
        </w:rPr>
      </w:pPr>
      <w:r>
        <w:rPr>
          <w:rFonts w:ascii="Arial" w:cs="Arial" w:eastAsia="Arial" w:hAnsi="Arial"/>
          <w:sz w:val="18"/>
          <w:szCs w:val="18"/>
          <w:b w:val="1"/>
          <w:bCs w:val="1"/>
          <w:color w:val="auto"/>
        </w:rPr>
        <w:t>SPECIAL TERMS AND CONDITIONS EXHIBIT TO THE CONFIDENTIALITY, INVENTIONS, NON-SOLICITATION AND NON-COMPETITION PROVISIONS FOR GRANTEES OUTSIDE THE U.S.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w:t>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plans, a list of actual or potential customers or suppliers, or any other proprietary information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1(i) as sub-section (vi):</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“or (vi) Any other act or omission, or a series of acts or omissions, of Grantee which, pursuant to applicable law, constitutes “good and sufficient reason” or “just cause” (either at common law or civil law) for termination of employment without notice, payment in lieu of notice or any indemnity whatsoever.”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1(j) of the Confidentiality Provisions: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 “</w:t>
      </w:r>
      <w:r>
        <w:rPr>
          <w:rFonts w:ascii="Arial" w:cs="Arial" w:eastAsia="Arial" w:hAnsi="Arial"/>
          <w:sz w:val="18"/>
          <w:szCs w:val="18"/>
          <w:b w:val="1"/>
          <w:bCs w:val="1"/>
          <w:color w:val="auto"/>
        </w:rPr>
        <w:t xml:space="preserve">Works For Hire.” </w:t>
      </w:r>
      <w:r>
        <w:rPr>
          <w:rFonts w:ascii="Arial" w:cs="Arial" w:eastAsia="Arial" w:hAnsi="Arial"/>
          <w:sz w:val="18"/>
          <w:szCs w:val="18"/>
          <w:color w:val="auto"/>
        </w:rPr>
        <w:t>The term “Invention” means contributions, discoveries, improvements and ideas and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also known as “Work Made in the Course of Employment” under s. 13(3) of the Canadian </w:t>
      </w:r>
      <w:r>
        <w:rPr>
          <w:rFonts w:ascii="Arial" w:cs="Arial" w:eastAsia="Arial" w:hAnsi="Arial"/>
          <w:sz w:val="18"/>
          <w:szCs w:val="18"/>
          <w:i w:val="1"/>
          <w:iCs w:val="1"/>
          <w:color w:val="auto"/>
        </w:rPr>
        <w:t>Copyright Act</w:t>
      </w:r>
      <w:r>
        <w:rPr>
          <w:rFonts w:ascii="Arial" w:cs="Arial" w:eastAsia="Arial" w:hAnsi="Arial"/>
          <w:sz w:val="18"/>
          <w:szCs w:val="18"/>
          <w:color w:val="auto"/>
        </w:rPr>
        <w:t>,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 made or</w:t>
      </w:r>
      <w:r>
        <w:rPr>
          <w:rFonts w:ascii="Arial" w:cs="Arial" w:eastAsia="Arial" w:hAnsi="Arial"/>
          <w:sz w:val="18"/>
          <w:szCs w:val="18"/>
          <w:b w:val="1"/>
          <w:bCs w:val="1"/>
          <w:color w:val="auto"/>
        </w:rPr>
        <w:t xml:space="preserve"> </w:t>
      </w:r>
      <w:r>
        <w:rPr>
          <w:rFonts w:ascii="Arial" w:cs="Arial" w:eastAsia="Arial" w:hAnsi="Arial"/>
          <w:sz w:val="18"/>
          <w:szCs w:val="18"/>
          <w:color w:val="auto"/>
        </w:rPr>
        <w:t>conceived, either solely or jointly with others, and does hereby waive any and all other rights in any Inventions that are non-assignable, including, but not limited to common law rights, moral rights or any non-economic rights,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Non-Competition.</w:t>
      </w:r>
    </w:p>
    <w:p>
      <w:pPr>
        <w:spacing w:after="0" w:line="193"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2(f)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Non-Solicitation of Customers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acknowledges and agrees that during his/her employment, and for eighteen (18) months after the Date of Termination, Grantee has not and will not solicit Customers (as defined in Section 1(c) above) with whom he/she had Material Contact (as defined in 1(h) above) for the purpose of providing goods and/or services competitive with the Company’s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2(g)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Non-Solicitation of Employees and Agents.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lure or attempt to hire away any of the Company’s employees or agents.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2(h)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Non-Solicitation of Sales Agents.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12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English language. Les parties aux présentes reconnaissent avoir requis que la présente entente et les documents qui y sont relatifs soient rédigés en anglais.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the provisions hereafter, the Company means the local entity in France by whom Grantee is employed.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w:t>
      </w:r>
    </w:p>
    <w:p>
      <w:pPr>
        <w:sectPr>
          <w:pgSz w:w="11900" w:h="16838" w:orient="portrait"/>
          <w:cols w:equalWidth="0" w:num="1">
            <w:col w:w="11240"/>
          </w:cols>
          <w:pgMar w:left="320"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economic value from its disclosure or use; and (B) is the subject of efforts that are reasonable under the circumstances to maintain its secrecy.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1(g)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location in which the non-competition restriction will apply, hereby defined as the region(s) in France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1(i)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1(j)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will make full and prompt disclosure to the Company of all inventions, discoveries, designs,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 anywhere in the world. In particular, in accordance with the provisions of article L. 113-9 of the Intellectual Property Code, Grantee acknowledge that the intellectual property rights to any software and their documentation developed by Grantee in the course of his/her employment contract belong as a matter of law to the Company. In accordance with the provisions of article L. 611-7 of the Intellectual Property Code, Grantee further acknowledges that the inventions 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8"/>
          <w:szCs w:val="18"/>
          <w:u w:val="single" w:color="auto"/>
          <w:color w:val="auto"/>
        </w:rPr>
        <w:t>Inventions of Mission</w:t>
      </w:r>
      <w:r>
        <w:rPr>
          <w:rFonts w:ascii="Arial" w:cs="Arial" w:eastAsia="Arial" w:hAnsi="Arial"/>
          <w:sz w:val="18"/>
          <w:szCs w:val="18"/>
          <w:color w:val="auto"/>
        </w:rPr>
        <w:t>”).</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 be paid an additional remuneration only to the extent Grantee personally contributed to the inventive process which led to the perfection of the Invention of Mission. Such additional remuneration shall be determined by the Company, pursuant to local law, upon development of the Invention of Mission, upon patent filing of the Invention of Mission, and/or upon the granting of the patent on an Invention of Mission. In addition, after 5 years of exploitation of the Invention of Mission, the Company may decide to pay Grantee an additional award, which amount should be mutually agreed on between Grantee and the Company, by taking into consideration the economic and scientific interest of the invention of mission, the</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difficulties of development of the Invention of Mission, and Grantee’s personal contribution. Grantee further acknowledge that for all the other inventions created either (i) in the performance of Grantee’s duties, (ii) 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 employment contract the exploitation rights on the Copyrightable Works including (but without limitation) the rights of reproduction on any analogical or digital media, in any form and format (whether known at the execution date of the contract or discovered in the future), of communication to the public by any process (whether known at the execution date of my employment contract or discovered in the future), of distribution, rental, loan and sale, of filing any trademark, design or model applications on whole or any part of the Copyrightable Works with the relevant authorities around the world, and of adaptation, translation and modification of the Copyrightable Works for any commercial or advertising purpose whether public or private. Media and processes shall include without limitation, any means of communication, direct or indirect, spatial or terrestrial, by satellite, cable, or over the air and any wired or wireless network including the Internet. The assignment occurs as soon as the Copyrightable Works are created and is valid for the entire world for the duration of the copyright, including any legal prorogation for whatever reason. Grantee hereby assigns and transfer to the Company all results from the use of Proprietary Information, premises or personal property (“</w:t>
      </w:r>
      <w:r>
        <w:rPr>
          <w:rFonts w:ascii="Arial" w:cs="Arial" w:eastAsia="Arial" w:hAnsi="Arial"/>
          <w:sz w:val="18"/>
          <w:szCs w:val="18"/>
          <w:u w:val="single" w:color="auto"/>
          <w:color w:val="auto"/>
        </w:rPr>
        <w:t>Company Related Developments</w:t>
      </w:r>
      <w:r>
        <w:rPr>
          <w:rFonts w:ascii="Arial" w:cs="Arial" w:eastAsia="Arial" w:hAnsi="Arial"/>
          <w:sz w:val="18"/>
          <w:szCs w:val="18"/>
          <w:color w:val="auto"/>
        </w:rPr>
        <w:t>”). Grantee further undertake to execute all documents and take all additional actions as may be requested by the Company to give full and proper effect to the present assignment, whether during or after the term of his/her employment, and particularly to enter into a specific assignment agreement for each work, as soon as such work is created. To preclude any possible uncertainty, Grantee has set forth on Exhibit attached hereto a complete list of Developments that he/she has, alone or jointly with others, conceived, developed or reduced to practice prior to the commencement of his/her employment with the Company that he/she 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 Patent Rights</w:t>
      </w:r>
      <w:r>
        <w:rPr>
          <w:rFonts w:ascii="Arial" w:cs="Arial" w:eastAsia="Arial" w:hAnsi="Arial"/>
          <w:sz w:val="18"/>
          <w:szCs w:val="18"/>
          <w:color w:val="auto"/>
        </w:rPr>
        <w:t>”). If no such disclosure is attached, Grantee represents that there are no Prior Inventions or Other Patent Rights. If, in the course of Grantee’s employment with the Company, he/she incorporates a Prior Invention into a Company product, process or machine or other work done for the Company, Grantee hereby grant to the Company a nonexclusive, royalty-free, paid-up, worldwide license (with the full right to sublicense) for the duration of the rights to make, have made, modify, use, reproduce, sell, offer for sale, publicly display and perform, import and otherwise fully exercise and exploit such Prior Invention. Notwithstanding the foregoing, Grantee will not incorporate, or permit to be incorporated, Prior Inventions in any Company-Related Development without the Company’s prior written consent. Grantee will not incorporate into any Company product or otherwise deliver to the Company any open source software except as allowed pursuant to the Company’s open source software policy, which is available on the Company’s intranet.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Section 2(e) is re-titled as “Non-Competition and Non-Solicitation of Customers and Sales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2(e) replaces Section 2(e), Section 2(f), and Section 2(h) of the Confidentiality Provisions:</w:t>
      </w:r>
    </w:p>
    <w:p>
      <w:pPr>
        <w:spacing w:after="0" w:line="171" w:lineRule="exact"/>
        <w:rPr>
          <w:sz w:val="20"/>
          <w:szCs w:val="20"/>
          <w:color w:val="auto"/>
        </w:rPr>
      </w:pPr>
    </w:p>
    <w:p>
      <w:pPr>
        <w:jc w:val="both"/>
        <w:ind w:firstLine="332"/>
        <w:spacing w:after="0" w:line="256" w:lineRule="auto"/>
        <w:tabs>
          <w:tab w:leader="none" w:pos="5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32"/>
        <w:spacing w:after="0" w:line="256" w:lineRule="auto"/>
        <w:tabs>
          <w:tab w:leader="none" w:pos="5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47" w:lineRule="exact"/>
        <w:rPr>
          <w:rFonts w:ascii="Arial" w:cs="Arial" w:eastAsia="Arial" w:hAnsi="Arial"/>
          <w:sz w:val="18"/>
          <w:szCs w:val="18"/>
          <w:color w:val="auto"/>
        </w:rPr>
      </w:pPr>
    </w:p>
    <w:p>
      <w:pPr>
        <w:jc w:val="both"/>
        <w:ind w:firstLine="332"/>
        <w:spacing w:after="0" w:line="252" w:lineRule="auto"/>
        <w:tabs>
          <w:tab w:leader="none" w:pos="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54" w:lineRule="exact"/>
        <w:rPr>
          <w:rFonts w:ascii="Arial" w:cs="Arial" w:eastAsia="Arial" w:hAnsi="Arial"/>
          <w:sz w:val="18"/>
          <w:szCs w:val="18"/>
          <w:color w:val="auto"/>
        </w:rPr>
      </w:pPr>
    </w:p>
    <w:p>
      <w:pPr>
        <w:jc w:val="both"/>
        <w:ind w:firstLine="332"/>
        <w:spacing w:after="0" w:line="254" w:lineRule="auto"/>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49" w:lineRule="exact"/>
        <w:rPr>
          <w:rFonts w:ascii="Arial" w:cs="Arial" w:eastAsia="Arial" w:hAnsi="Arial"/>
          <w:sz w:val="18"/>
          <w:szCs w:val="18"/>
          <w:color w:val="auto"/>
        </w:rPr>
      </w:pPr>
    </w:p>
    <w:p>
      <w:pPr>
        <w:jc w:val="both"/>
        <w:ind w:firstLine="332"/>
        <w:spacing w:after="0" w:line="254" w:lineRule="auto"/>
        <w:tabs>
          <w:tab w:leader="none" w:pos="5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 (3) days following the notification of the termination of the employment agreement and no later than Grantee’s last day of effective work.</w:t>
      </w:r>
    </w:p>
    <w:p>
      <w:pPr>
        <w:spacing w:after="0" w:line="149" w:lineRule="exact"/>
        <w:rPr>
          <w:rFonts w:ascii="Arial" w:cs="Arial" w:eastAsia="Arial" w:hAnsi="Arial"/>
          <w:sz w:val="18"/>
          <w:szCs w:val="18"/>
          <w:color w:val="auto"/>
        </w:rPr>
      </w:pPr>
    </w:p>
    <w:p>
      <w:pPr>
        <w:jc w:val="both"/>
        <w:ind w:firstLine="332"/>
        <w:spacing w:after="0" w:line="256"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47" w:lineRule="exact"/>
        <w:rPr>
          <w:rFonts w:ascii="Arial" w:cs="Arial" w:eastAsia="Arial" w:hAnsi="Arial"/>
          <w:sz w:val="18"/>
          <w:szCs w:val="18"/>
          <w:color w:val="auto"/>
        </w:rPr>
      </w:pPr>
    </w:p>
    <w:p>
      <w:pPr>
        <w:jc w:val="both"/>
        <w:ind w:firstLine="332"/>
        <w:spacing w:after="0" w:line="254" w:lineRule="auto"/>
        <w:tabs>
          <w:tab w:leader="none" w:pos="6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2(f)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2(h)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4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required or permitted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seven days after mailing if mailed first class, certified mail, postage prepaid, addressed as follows:</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the Company: To the principal place of business of Company in France.</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Grantee: To his or her last known address on file with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Grantee and the Company, which makes specific</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reference to the Confidentiality Provisions provided however that the covenant of Section 2(e) can be waived unilaterally by the Company under the conditions specified therein.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12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French language, the English version being provided for information purposes only. In the event of a contradiction between the two versions, the French version shall prevail.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a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1(i) of the Confidentiality Provisions:</w:t>
      </w:r>
    </w:p>
    <w:p>
      <w:pPr>
        <w:spacing w:after="0" w:line="149"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or</w:t>
      </w:r>
      <w:r>
        <w:rPr>
          <w:rFonts w:ascii="Arial" w:cs="Arial" w:eastAsia="Arial" w:hAnsi="Arial"/>
          <w:sz w:val="18"/>
          <w:szCs w:val="18"/>
          <w:b w:val="1"/>
          <w:bCs w:val="1"/>
          <w:color w:val="auto"/>
        </w:rPr>
        <w:t xml:space="preserve"> "Terminated for Cause" </w:t>
      </w:r>
      <w:r>
        <w:rPr>
          <w:rFonts w:ascii="Arial" w:cs="Arial" w:eastAsia="Arial" w:hAnsi="Arial"/>
          <w:sz w:val="18"/>
          <w:szCs w:val="18"/>
          <w:color w:val="auto"/>
        </w:rPr>
        <w:t>means any termination within the meaning of Section 626 German Civil Code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Bürgerliches Gesetzbuch, BGB</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Section 1(j)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Except for patentable inventions which are subject to and are dealt with in accordance with the German Act 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Inventions (</w:t>
      </w:r>
      <w:r>
        <w:rPr>
          <w:rFonts w:ascii="Arial" w:cs="Arial" w:eastAsia="Arial" w:hAnsi="Arial"/>
          <w:sz w:val="18"/>
          <w:szCs w:val="18"/>
          <w:i w:val="1"/>
          <w:iCs w:val="1"/>
          <w:color w:val="auto"/>
        </w:rPr>
        <w:t>ArbNErfG</w:t>
      </w:r>
      <w:r>
        <w:rPr>
          <w:rFonts w:ascii="Arial" w:cs="Arial" w:eastAsia="Arial" w:hAnsi="Arial"/>
          <w:sz w:val="18"/>
          <w:szCs w:val="18"/>
          <w:color w:val="auto"/>
        </w:rPr>
        <w:t>), all rights of works (including computer software programs, object codes, source codes and associated documentation) and of all inventions, knowledge and experience of technical and commercial nature which Grantee creates during the term of his/her employment relationship as part of his/her duties is worldwide the sole property of the Company, including the right of reproduction, distribution, sale, the grant of usage rights – also of exclusive nature - to third parties, processing and further development. To the extent legally possible,</w:t>
      </w:r>
    </w:p>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Grantee transfers and assigns these rights to the Company, alternatively Grantee grants the Company an exclusive, fully paid-up, royalty-free, world-wide license for all types of exploitation and for the entire period of protection of their respective intellectual property rights, in particular copyright. The Company is also entitled to make modifications and additions to the copyrightable works created by Grantee. Grantee waives the right to be named as the author in connection with the work. The transfer of rights is deemed fully compensated by the remuneration received under the employment relationship.</w:t>
      </w:r>
    </w:p>
    <w:p>
      <w:pPr>
        <w:spacing w:after="0" w:line="151" w:lineRule="exact"/>
        <w:rPr>
          <w:sz w:val="20"/>
          <w:szCs w:val="20"/>
          <w:color w:val="auto"/>
        </w:rPr>
      </w:pPr>
    </w:p>
    <w:p>
      <w:pPr>
        <w:ind w:right="4020"/>
        <w:spacing w:after="0" w:line="438" w:lineRule="auto"/>
        <w:rPr>
          <w:sz w:val="20"/>
          <w:szCs w:val="20"/>
          <w:color w:val="auto"/>
        </w:rPr>
      </w:pPr>
      <w:r>
        <w:rPr>
          <w:rFonts w:ascii="Arial" w:cs="Arial" w:eastAsia="Arial" w:hAnsi="Arial"/>
          <w:sz w:val="18"/>
          <w:szCs w:val="18"/>
          <w:color w:val="auto"/>
        </w:rPr>
        <w:t>Section 2(e) is re-titled as “Post-Contractual Non-Compete Covenant, Contractual Penalty” The following provisions replace Sections 2(e) and 2(f) of the Confidentiality Provisions:</w:t>
      </w:r>
    </w:p>
    <w:p>
      <w:pPr>
        <w:spacing w:after="0" w:line="1" w:lineRule="exact"/>
        <w:rPr>
          <w:sz w:val="20"/>
          <w:szCs w:val="20"/>
          <w:color w:val="auto"/>
        </w:rPr>
      </w:pPr>
    </w:p>
    <w:p>
      <w:pPr>
        <w:jc w:val="both"/>
        <w:ind w:firstLine="1061"/>
        <w:spacing w:after="0" w:line="256" w:lineRule="auto"/>
        <w:tabs>
          <w:tab w:leader="none" w:pos="12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pacing w:after="0" w:line="148" w:lineRule="exact"/>
        <w:rPr>
          <w:sz w:val="20"/>
          <w:szCs w:val="20"/>
          <w:color w:val="auto"/>
        </w:rPr>
      </w:pPr>
    </w:p>
    <w:p>
      <w:pPr>
        <w:ind w:right="20" w:firstLine="1053"/>
        <w:spacing w:after="0" w:line="261" w:lineRule="auto"/>
        <w:rPr>
          <w:sz w:val="20"/>
          <w:szCs w:val="20"/>
          <w:color w:val="auto"/>
        </w:rPr>
      </w:pPr>
      <w:r>
        <w:rPr>
          <w:rFonts w:ascii="Arial" w:cs="Arial" w:eastAsia="Arial" w:hAnsi="Arial"/>
          <w:sz w:val="18"/>
          <w:szCs w:val="18"/>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44" w:lineRule="exact"/>
        <w:rPr>
          <w:sz w:val="20"/>
          <w:szCs w:val="20"/>
          <w:color w:val="auto"/>
        </w:rPr>
      </w:pPr>
    </w:p>
    <w:p>
      <w:pPr>
        <w:ind w:right="20" w:firstLine="1061"/>
        <w:spacing w:after="0" w:line="261" w:lineRule="auto"/>
        <w:tabs>
          <w:tab w:leader="none" w:pos="13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Similarly, Grantee is not permitted, during this period of time, to set up or to participate in any competing enterprise as a majority shareholder or as the holder of a blocking minority within such enterprise.</w:t>
      </w:r>
    </w:p>
    <w:p>
      <w:pPr>
        <w:spacing w:after="0" w:line="143" w:lineRule="exact"/>
        <w:rPr>
          <w:rFonts w:ascii="Arial" w:cs="Arial" w:eastAsia="Arial" w:hAnsi="Arial"/>
          <w:sz w:val="18"/>
          <w:szCs w:val="18"/>
          <w:color w:val="auto"/>
        </w:rPr>
      </w:pPr>
    </w:p>
    <w:p>
      <w:pPr>
        <w:jc w:val="both"/>
        <w:ind w:firstLine="1061"/>
        <w:spacing w:after="0" w:line="254" w:lineRule="auto"/>
        <w:tabs>
          <w:tab w:leader="none" w:pos="13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49" w:lineRule="exact"/>
        <w:rPr>
          <w:rFonts w:ascii="Arial" w:cs="Arial" w:eastAsia="Arial" w:hAnsi="Arial"/>
          <w:sz w:val="18"/>
          <w:szCs w:val="18"/>
          <w:color w:val="auto"/>
        </w:rPr>
      </w:pPr>
    </w:p>
    <w:p>
      <w:pPr>
        <w:ind w:left="1360" w:hanging="299"/>
        <w:spacing w:after="0"/>
        <w:tabs>
          <w:tab w:leader="none" w:pos="1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non-compete covenant applies for the Territory.</w:t>
      </w:r>
    </w:p>
    <w:p>
      <w:pPr>
        <w:spacing w:after="0" w:line="171" w:lineRule="exact"/>
        <w:rPr>
          <w:rFonts w:ascii="Arial" w:cs="Arial" w:eastAsia="Arial" w:hAnsi="Arial"/>
          <w:sz w:val="18"/>
          <w:szCs w:val="18"/>
          <w:color w:val="auto"/>
        </w:rPr>
      </w:pPr>
    </w:p>
    <w:p>
      <w:pPr>
        <w:ind w:firstLine="1061"/>
        <w:spacing w:after="0" w:line="261" w:lineRule="auto"/>
        <w:tabs>
          <w:tab w:leader="none" w:pos="13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44"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8"/>
          <w:szCs w:val="18"/>
          <w:color w:val="auto"/>
        </w:rPr>
        <w:t>In case the violation of the non-competition clause consists in a continuing obligation, in particular in the conclusion of an employment, service, agency or consultancy agreement with a company, which is in competition with the Company or in case Grantee maintains a capital interest in such, the contractual penalty shall accrue for each new month of activity or interest ("continuing violation").</w:t>
      </w:r>
    </w:p>
    <w:p>
      <w:pPr>
        <w:spacing w:after="0" w:line="148" w:lineRule="exact"/>
        <w:rPr>
          <w:sz w:val="20"/>
          <w:szCs w:val="20"/>
          <w:color w:val="auto"/>
        </w:rPr>
      </w:pPr>
    </w:p>
    <w:p>
      <w:pPr>
        <w:jc w:val="both"/>
        <w:ind w:firstLine="1061"/>
        <w:spacing w:after="0" w:line="256" w:lineRule="auto"/>
        <w:tabs>
          <w:tab w:leader="none" w:pos="13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48" w:lineRule="exact"/>
        <w:rPr>
          <w:sz w:val="20"/>
          <w:szCs w:val="20"/>
          <w:color w:val="auto"/>
        </w:rPr>
      </w:pPr>
    </w:p>
    <w:p>
      <w:pPr>
        <w:ind w:right="20" w:firstLine="1061"/>
        <w:spacing w:after="0" w:line="261" w:lineRule="auto"/>
        <w:tabs>
          <w:tab w:leader="none" w:pos="13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period of breach of the non-competition clause, the Company's obligation to pay compensation according to Section 2(e)(v) shall be suspended.</w:t>
      </w:r>
    </w:p>
    <w:p>
      <w:pPr>
        <w:spacing w:after="0" w:line="143" w:lineRule="exact"/>
        <w:rPr>
          <w:rFonts w:ascii="Arial" w:cs="Arial" w:eastAsia="Arial" w:hAnsi="Arial"/>
          <w:sz w:val="18"/>
          <w:szCs w:val="18"/>
          <w:color w:val="auto"/>
        </w:rPr>
      </w:pPr>
    </w:p>
    <w:p>
      <w:pPr>
        <w:ind w:left="1400" w:hanging="339"/>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right to further damages shall not be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2(f)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2(h)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Any changes of or amendments to the Confidentiality Provisions and any Exhibit, including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must be made in writing in order to become legally effective. This shall not apply to individual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the provisions hereafter, the "Company" means the local entity in Italy by whom Grantee is employed.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1(g)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location in which the non-competition restriction will apply, hereby defined as the region(s) in Italy in which 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duration of the obligations indicated under Section 2(e) through (h) of the Confidentiality Provisions is all meant to be for a period of twelve (12) months, and Grantee acknowledges and agrees that for twelve (12) months after the Date of Termination his/her will be bound to such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is added to Section 1(i)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for Cause</w:t>
      </w:r>
      <w:r>
        <w:rPr>
          <w:rFonts w:ascii="Arial" w:cs="Arial" w:eastAsia="Arial" w:hAnsi="Arial"/>
          <w:sz w:val="18"/>
          <w:szCs w:val="18"/>
          <w:color w:val="auto"/>
        </w:rPr>
        <w:t>" or "</w:t>
      </w:r>
      <w:r>
        <w:rPr>
          <w:rFonts w:ascii="Arial" w:cs="Arial" w:eastAsia="Arial" w:hAnsi="Arial"/>
          <w:sz w:val="18"/>
          <w:szCs w:val="18"/>
          <w:b w:val="1"/>
          <w:bCs w:val="1"/>
          <w:color w:val="auto"/>
        </w:rPr>
        <w:t>Terminated for Cause</w:t>
      </w:r>
      <w:r>
        <w:rPr>
          <w:rFonts w:ascii="Arial" w:cs="Arial" w:eastAsia="Arial" w:hAnsi="Arial"/>
          <w:sz w:val="18"/>
          <w:szCs w:val="18"/>
          <w:color w:val="auto"/>
        </w:rPr>
        <w:t>" means any disciplinary termination issued pursuant to Art. 7, Act no. 300/1970, for a disciplinary reason including but not limited to involuntary termination of Grantee by the Company for the reasons listed under Section 1(I) from letter (i) and (v).</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u w:val="single" w:color="auto"/>
          <w:color w:val="auto"/>
        </w:rPr>
        <w:t>Inventions Retained and Licensed</w:t>
      </w:r>
      <w:r>
        <w:rPr>
          <w:rFonts w:ascii="Arial" w:cs="Arial" w:eastAsia="Arial" w:hAnsi="Arial"/>
          <w:sz w:val="18"/>
          <w:szCs w:val="18"/>
          <w:color w:val="auto"/>
        </w:rPr>
        <w:t>.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is a list describing all inventions,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developments, improvements, and trade secrets which were made by </w:t>
      </w:r>
      <w:r>
        <w:rPr>
          <w:rFonts w:ascii="Arial" w:cs="Arial" w:eastAsia="Arial" w:hAnsi="Arial"/>
          <w:sz w:val="18"/>
          <w:szCs w:val="18"/>
          <w:color w:val="0000FF"/>
        </w:rPr>
        <w:t>the</w:t>
      </w:r>
      <w:r>
        <w:rPr>
          <w:rFonts w:ascii="Arial" w:cs="Arial" w:eastAsia="Arial" w:hAnsi="Arial"/>
          <w:sz w:val="18"/>
          <w:szCs w:val="18"/>
          <w:color w:val="auto"/>
        </w:rPr>
        <w:t xml:space="preserve"> Grantee prior to </w:t>
      </w:r>
      <w:r>
        <w:rPr>
          <w:rFonts w:ascii="Arial" w:cs="Arial" w:eastAsia="Arial" w:hAnsi="Arial"/>
          <w:sz w:val="18"/>
          <w:szCs w:val="18"/>
          <w:color w:val="0000FF"/>
        </w:rPr>
        <w:t>the</w:t>
      </w:r>
      <w:r>
        <w:rPr>
          <w:rFonts w:ascii="Arial" w:cs="Arial" w:eastAsia="Arial" w:hAnsi="Arial"/>
          <w:sz w:val="18"/>
          <w:szCs w:val="18"/>
          <w:color w:val="auto"/>
        </w:rPr>
        <w:t xml:space="preserve"> Grantee's employment with the Company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xml:space="preserve">”), which belong to </w:t>
      </w:r>
      <w:r>
        <w:rPr>
          <w:rFonts w:ascii="Arial" w:cs="Arial" w:eastAsia="Arial" w:hAnsi="Arial"/>
          <w:sz w:val="18"/>
          <w:szCs w:val="18"/>
          <w:color w:val="0000FF"/>
        </w:rPr>
        <w:t>the</w:t>
      </w:r>
      <w:r>
        <w:rPr>
          <w:rFonts w:ascii="Arial" w:cs="Arial" w:eastAsia="Arial" w:hAnsi="Arial"/>
          <w:sz w:val="18"/>
          <w:szCs w:val="18"/>
          <w:color w:val="auto"/>
        </w:rPr>
        <w:t xml:space="preserve"> Grantee, which relate to the Company’s proposed business, products or research and development, and which are not assigned to the Company hereunder; or, if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is left blank, </w:t>
      </w:r>
      <w:r>
        <w:rPr>
          <w:rFonts w:ascii="Arial" w:cs="Arial" w:eastAsia="Arial" w:hAnsi="Arial"/>
          <w:sz w:val="18"/>
          <w:szCs w:val="18"/>
          <w:color w:val="0000FF"/>
        </w:rPr>
        <w:t>the</w:t>
      </w:r>
      <w:r>
        <w:rPr>
          <w:rFonts w:ascii="Arial" w:cs="Arial" w:eastAsia="Arial" w:hAnsi="Arial"/>
          <w:sz w:val="18"/>
          <w:szCs w:val="18"/>
          <w:color w:val="auto"/>
        </w:rPr>
        <w:t xml:space="preserve"> Grantee hereby represents that there are no such Prior Inventions. If in the course of </w:t>
      </w:r>
      <w:r>
        <w:rPr>
          <w:rFonts w:ascii="Arial" w:cs="Arial" w:eastAsia="Arial" w:hAnsi="Arial"/>
          <w:sz w:val="18"/>
          <w:szCs w:val="18"/>
          <w:color w:val="0000FF"/>
        </w:rPr>
        <w:t>the</w:t>
      </w:r>
      <w:r>
        <w:rPr>
          <w:rFonts w:ascii="Arial" w:cs="Arial" w:eastAsia="Arial" w:hAnsi="Arial"/>
          <w:sz w:val="18"/>
          <w:szCs w:val="18"/>
          <w:color w:val="auto"/>
        </w:rPr>
        <w:t xml:space="preserve"> Grantee’s employment with the Company, </w:t>
      </w:r>
      <w:r>
        <w:rPr>
          <w:rFonts w:ascii="Arial" w:cs="Arial" w:eastAsia="Arial" w:hAnsi="Arial"/>
          <w:sz w:val="18"/>
          <w:szCs w:val="18"/>
          <w:color w:val="0000FF"/>
        </w:rPr>
        <w:t>the</w:t>
      </w:r>
      <w:r>
        <w:rPr>
          <w:rFonts w:ascii="Arial" w:cs="Arial" w:eastAsia="Arial" w:hAnsi="Arial"/>
          <w:sz w:val="18"/>
          <w:szCs w:val="18"/>
          <w:color w:val="auto"/>
        </w:rPr>
        <w:t xml:space="preserve"> Grantee incorporates into a Company product, process or machine a Prior Invention owned by </w:t>
      </w:r>
      <w:r>
        <w:rPr>
          <w:rFonts w:ascii="Arial" w:cs="Arial" w:eastAsia="Arial" w:hAnsi="Arial"/>
          <w:sz w:val="18"/>
          <w:szCs w:val="18"/>
          <w:color w:val="0000FF"/>
        </w:rPr>
        <w:t>the</w:t>
      </w:r>
      <w:r>
        <w:rPr>
          <w:rFonts w:ascii="Arial" w:cs="Arial" w:eastAsia="Arial" w:hAnsi="Arial"/>
          <w:sz w:val="18"/>
          <w:szCs w:val="18"/>
          <w:color w:val="auto"/>
        </w:rPr>
        <w:t xml:space="preserve"> Grantee or in which </w:t>
      </w:r>
      <w:r>
        <w:rPr>
          <w:rFonts w:ascii="Arial" w:cs="Arial" w:eastAsia="Arial" w:hAnsi="Arial"/>
          <w:sz w:val="18"/>
          <w:szCs w:val="18"/>
          <w:color w:val="0000FF"/>
        </w:rPr>
        <w:t>the</w:t>
      </w:r>
      <w:r>
        <w:rPr>
          <w:rFonts w:ascii="Arial" w:cs="Arial" w:eastAsia="Arial" w:hAnsi="Arial"/>
          <w:sz w:val="18"/>
          <w:szCs w:val="18"/>
          <w:color w:val="auto"/>
        </w:rPr>
        <w:t xml:space="preserve"> Grantee has an</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the Company is hereby granted and shall have a nonexclusive, royalty-free, irrevocable, perpetual, worldwide license to make, have made, modify, use and sell such Prior Invention as part of or in connection with such product, process or machine.</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Assignment of Inventions. </w:t>
      </w:r>
      <w:r>
        <w:rPr>
          <w:rFonts w:ascii="Arial" w:cs="Arial" w:eastAsia="Arial" w:hAnsi="Arial"/>
          <w:sz w:val="18"/>
          <w:szCs w:val="18"/>
          <w:color w:val="auto"/>
        </w:rPr>
        <w:t>Grantee will make full and prompt disclosure to the Company of all inventions, discoveries,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 anywhere in the world. In particular, in accordance with the provisions of articles 12-bis and 12-ter of the Copyright Law no. 633/1941, Grantee acknowledges that the copyrights to any software, database and their documentation and to any industrial design developed by Grantee in the course of his/her employment contract belong as a matter of law to the Company. Furthermore, in accordance with article 64(1) of the Legislative Decree no. 30/2005 (Industrial Property Code), Grantee further acknowledges that the inventions made within the context 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53"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18"/>
          <w:szCs w:val="18"/>
          <w:color w:val="auto"/>
        </w:rPr>
        <w:t>In accordance with article 64(2) of the Industrial Property Code, which provides that the employee is entitled to receive an additional remuneration for the invention made during the performance of its employment duties but outside the scope of article 64(1), Grantee agrees that such additional remuneration will be due provided that the Company or its assignees patent the invention or use it under a 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51"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18"/>
          <w:szCs w:val="18"/>
          <w:color w:val="auto"/>
        </w:rPr>
        <w:t>Grantee further acknowledges that for all the other inventions created either (i) in the field of the Company’s activity, or (ii) by using knowledge or technologies or Company’s specific methods or information acquired by the Company, the Company may require that all rights to ownership and use of such inventions and the patents protecting such inventions be assigned to it pursuant to article 64(3) of the Industrial Property Code and upon the payment of a consideration to be agreed between the parties taking into consideration the help and support that the employee received from the Company in developing the invention.</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change is made to Sections 2(f), 2(g), and 2(h): The phrase "twenty-four (24) months after the Date of Termination" is replaced with "twelve (12) months after the Date of Termination".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2(i):</w:t>
      </w:r>
    </w:p>
    <w:p>
      <w:pPr>
        <w:spacing w:after="0" w:line="149"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Accordingly, if Grantee breaches or threatens to breach any of the provisions of this Section 2, the Company shall be entitled to seek injunctive relief (</w:t>
      </w:r>
      <w:r>
        <w:rPr>
          <w:rFonts w:ascii="Arial" w:cs="Arial" w:eastAsia="Arial" w:hAnsi="Arial"/>
          <w:sz w:val="18"/>
          <w:szCs w:val="18"/>
          <w:i w:val="1"/>
          <w:iCs w:val="1"/>
          <w:color w:val="auto"/>
        </w:rPr>
        <w:t>provvedimento cautelare</w:t>
      </w:r>
      <w:r>
        <w:rPr>
          <w:rFonts w:ascii="Arial" w:cs="Arial" w:eastAsia="Arial" w:hAnsi="Arial"/>
          <w:sz w:val="18"/>
          <w:szCs w:val="18"/>
          <w:color w:val="auto"/>
        </w:rPr>
        <w:t>) as well as a Court's order for specific performance, in addition to any other rights or remedies the Company may have.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new Sections 2(j) through (m) are added after Section 2(i) of the Confidentiality Provisions:</w:t>
      </w:r>
    </w:p>
    <w:p>
      <w:pPr>
        <w:sectPr>
          <w:pgSz w:w="11900" w:h="16838" w:orient="portrait"/>
          <w:cols w:equalWidth="0" w:num="1">
            <w:col w:w="11240"/>
          </w:cols>
          <w:pgMar w:left="320" w:top="11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Consideration</w:t>
      </w:r>
      <w:r>
        <w:rPr>
          <w:rFonts w:ascii="Arial" w:cs="Arial" w:eastAsia="Arial" w:hAnsi="Arial"/>
          <w:sz w:val="18"/>
          <w:szCs w:val="18"/>
          <w:color w:val="auto"/>
        </w:rPr>
        <w:t>. As consideration for the post termination non-competition and non- solicitation obligations under Section 2 ((e), (f),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25"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Reduction In Scope Or Withdrawal</w:t>
      </w:r>
      <w:r>
        <w:rPr>
          <w:rFonts w:ascii="Arial" w:cs="Arial" w:eastAsia="Arial" w:hAnsi="Arial"/>
          <w:sz w:val="18"/>
          <w:szCs w:val="18"/>
          <w:color w:val="auto"/>
        </w:rPr>
        <w:t>. 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 from the Company an indemnity equal to one gross fixed monthly salary (as resulting at the date of termination).</w:t>
      </w:r>
    </w:p>
    <w:p>
      <w:pPr>
        <w:spacing w:after="0" w:line="128" w:lineRule="exact"/>
        <w:rPr>
          <w:sz w:val="20"/>
          <w:szCs w:val="20"/>
          <w:color w:val="auto"/>
        </w:rPr>
      </w:pPr>
    </w:p>
    <w:p>
      <w:pPr>
        <w:jc w:val="both"/>
        <w:ind w:right="20" w:firstLine="635"/>
        <w:spacing w:after="0" w:line="262"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Damages.</w:t>
      </w:r>
      <w:r>
        <w:rPr>
          <w:rFonts w:ascii="Arial" w:cs="Arial" w:eastAsia="Arial" w:hAnsi="Arial"/>
          <w:sz w:val="18"/>
          <w:szCs w:val="18"/>
          <w:color w:val="auto"/>
        </w:rPr>
        <w:t xml:space="preserve"> If Grantee breaches the post-employment non-competition and non -solicitation obligations, the Company will no longer be required to pay the gross monthly indemnity provided under Section 2(j) and Grantee will be required to reimburse the Company for any amount that he/she may have been granted in this respect as well as may be required to pay any further damages or be requested to cease any activity in breach of these obligations through an injunctive relief per Section 2(i).</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Legitimacy.</w:t>
      </w:r>
      <w:r>
        <w:rPr>
          <w:rFonts w:ascii="Arial" w:cs="Arial" w:eastAsia="Arial" w:hAnsi="Arial"/>
          <w:sz w:val="18"/>
          <w:szCs w:val="18"/>
          <w:color w:val="auto"/>
        </w:rPr>
        <w:t xml:space="preserve"> 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Article 84 of the Mexican Industrial Property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1(d)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 including but not limited to Acuity Brands</w:t>
      </w:r>
      <w:r>
        <w:rPr>
          <w:rFonts w:ascii="Arial" w:cs="Arial" w:eastAsia="Arial" w:hAnsi="Arial"/>
          <w:sz w:val="18"/>
          <w:szCs w:val="18"/>
          <w:b w:val="1"/>
          <w:bCs w:val="1"/>
          <w:color w:val="auto"/>
        </w:rPr>
        <w:t xml:space="preserve"> </w:t>
      </w:r>
      <w:r>
        <w:rPr>
          <w:rFonts w:ascii="Arial" w:cs="Arial" w:eastAsia="Arial" w:hAnsi="Arial"/>
          <w:sz w:val="18"/>
          <w:szCs w:val="18"/>
          <w:color w:val="auto"/>
        </w:rPr>
        <w:t>Lighting de Mexico S. de R.L. de C.V., and Castlight de Mexico SA de CV, with the understanding that the sole and exclusive employer of Grantee is the Mexican legal entity by whom he/she is employed.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(2) years prior to the date of the Date of Termination.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1(i) </w:t>
      </w:r>
      <w:r>
        <w:rPr>
          <w:rFonts w:ascii="Arial" w:cs="Arial" w:eastAsia="Arial" w:hAnsi="Arial"/>
          <w:sz w:val="18"/>
          <w:szCs w:val="18"/>
          <w:b w:val="1"/>
          <w:bCs w:val="1"/>
          <w:color w:val="auto"/>
        </w:rPr>
        <w:t>(“Termination for Cause” or “Terminated for Cause”</w:t>
      </w:r>
      <w:r>
        <w:rPr>
          <w:rFonts w:ascii="Arial" w:cs="Arial" w:eastAsia="Arial" w:hAnsi="Arial"/>
          <w:sz w:val="18"/>
          <w:szCs w:val="18"/>
          <w:color w:val="auto"/>
        </w:rPr>
        <w:t>) of the Confidentiality Provisions is hereby deleted.</w:t>
      </w:r>
    </w:p>
    <w:p>
      <w:pPr>
        <w:sectPr>
          <w:pgSz w:w="11900" w:h="16838" w:orient="portrait"/>
          <w:cols w:equalWidth="0" w:num="1">
            <w:col w:w="11240"/>
          </w:cols>
          <w:pgMar w:left="320" w:top="1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2(b), at the end of first paragraph:</w:t>
      </w:r>
    </w:p>
    <w:p>
      <w:pPr>
        <w:spacing w:after="0" w:line="171"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“Furthermore, Grantee expressly agrees and acknowledges that all Confidential Information and Trade Secrets, constitutes (i) an industrial secret under the Mexican Industrial Property Law and (ii) an industrial and trade secret under Articles 213 of the Criminal Code of the Federal District of Mexico, 210 and 211 of the Federal Criminal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2(b), at the end of the second paragraph:</w:t>
      </w:r>
    </w:p>
    <w:p>
      <w:pPr>
        <w:spacing w:after="0" w:line="171"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 Grantee during the course of his/her employment with former employers or during the course of former relationships with third parties. Likewise, Grantee will be responsible for paying any damages that he/she may cause to the Company due the breach of such confidentiality or trade secrets information obligations assumed with former employers and/or with third parties.”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2(d) of the Confidentiality Provisions:</w:t>
      </w:r>
    </w:p>
    <w:p>
      <w:pPr>
        <w:spacing w:after="0" w:line="171"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18"/>
          <w:szCs w:val="18"/>
          <w:color w:val="auto"/>
        </w:rPr>
        <w:t>“Grantee acknowledges that any Invention he/she may conceive or reduce to practice during his/her employment with the Company and that relate to the Company’s current or future business are and shall be the Company’s sole and exclusive property and that Grantee shall not have any patrimonial or other ownership rights in the work developed, expressly agreeing that he/she will not be entitled to the payment of royalties or any other right derived from such work, as they are already included in Grantee’s compensation referred to in his/her employment contract with the Company. In addition, Grantee expressly authorizes the modification, adaptation, transport, translation, representation, exhibition and any use, total or partial, of the developed work, with the sole exception of his/her non-economic or moral rights. Grantee will take all necessary steps to assign any property right to the Company at the Company’s expense, but without further compensation to Grantee.”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replaced Section 2(i)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accepts that if he/she breaches any of the obligations set out in Sections 2(a), (b), (c), (d) related to the disclosure of Confidential Information, he/she shall be liable under applicable laws, including criminal liability referred to in Article 223(IV), (V), and (VI) of the Industrial Property Law.</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breach of any of the obligations assumed by virtue of Section 2(e), (f), (g), and (h), during the term of the employment relationship between the parties, will be considered disobedience to work, and therefore, a cause for termination of the employment relationship of Grantee, without any liability for the</w:t>
      </w:r>
    </w:p>
    <w:p>
      <w:pPr>
        <w:sectPr>
          <w:pgSz w:w="11900" w:h="16838" w:orient="portrait"/>
          <w:cols w:equalWidth="0" w:num="1">
            <w:col w:w="11240"/>
          </w:cols>
          <w:pgMar w:left="320" w:top="11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Company, whatsoever. Both parties agree that if Grantee breaches any of the obligations, terms or conditions set out in Section 2 (e), (f), (g), and (h), after the termination of his/her employment relationship with the Company, Grantee:</w:t>
      </w:r>
    </w:p>
    <w:p>
      <w:pPr>
        <w:spacing w:after="0" w:line="144" w:lineRule="exact"/>
        <w:rPr>
          <w:sz w:val="20"/>
          <w:szCs w:val="20"/>
          <w:color w:val="auto"/>
        </w:rPr>
      </w:pPr>
    </w:p>
    <w:p>
      <w:pPr>
        <w:jc w:val="both"/>
        <w:ind w:firstLine="1615"/>
        <w:spacing w:after="0" w:line="254" w:lineRule="auto"/>
        <w:tabs>
          <w:tab w:leader="none" w:pos="18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will have no right to the Payment referred in Section 2(j) of </w:t>
      </w:r>
      <w:r>
        <w:rPr>
          <w:rFonts w:ascii="Arial" w:cs="Arial" w:eastAsia="Arial" w:hAnsi="Arial"/>
          <w:sz w:val="18"/>
          <w:szCs w:val="18"/>
          <w:u w:val="single" w:color="auto"/>
          <w:color w:val="auto"/>
        </w:rPr>
        <w:t>Exhibit D</w:t>
      </w:r>
      <w:r>
        <w:rPr>
          <w:rFonts w:ascii="Arial" w:cs="Arial" w:eastAsia="Arial" w:hAnsi="Arial"/>
          <w:sz w:val="18"/>
          <w:szCs w:val="18"/>
          <w:color w:val="auto"/>
        </w:rPr>
        <w:t>,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49" w:lineRule="exact"/>
        <w:rPr>
          <w:rFonts w:ascii="Arial" w:cs="Arial" w:eastAsia="Arial" w:hAnsi="Arial"/>
          <w:sz w:val="18"/>
          <w:szCs w:val="18"/>
          <w:color w:val="auto"/>
        </w:rPr>
      </w:pPr>
    </w:p>
    <w:p>
      <w:pPr>
        <w:jc w:val="both"/>
        <w:ind w:firstLine="1615"/>
        <w:spacing w:after="0" w:line="254" w:lineRule="auto"/>
        <w:tabs>
          <w:tab w:leader="none" w:pos="19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are added as Section 2(j) to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Consideration for Non-Competition and Non-Solicitation Obligations.</w:t>
      </w:r>
    </w:p>
    <w:p>
      <w:pPr>
        <w:spacing w:after="0" w:line="193" w:lineRule="exact"/>
        <w:rPr>
          <w:sz w:val="20"/>
          <w:szCs w:val="20"/>
          <w:color w:val="auto"/>
        </w:rPr>
      </w:pPr>
    </w:p>
    <w:p>
      <w:pPr>
        <w:jc w:val="both"/>
        <w:ind w:firstLine="1279"/>
        <w:spacing w:after="0" w:line="254"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149" w:lineRule="exact"/>
        <w:rPr>
          <w:rFonts w:ascii="Arial" w:cs="Arial" w:eastAsia="Arial" w:hAnsi="Arial"/>
          <w:sz w:val="18"/>
          <w:szCs w:val="18"/>
          <w:color w:val="auto"/>
        </w:rPr>
      </w:pPr>
    </w:p>
    <w:p>
      <w:pPr>
        <w:jc w:val="both"/>
        <w:ind w:firstLine="1279"/>
        <w:spacing w:after="0" w:line="252" w:lineRule="auto"/>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52" w:lineRule="exact"/>
        <w:rPr>
          <w:rFonts w:ascii="Arial" w:cs="Arial" w:eastAsia="Arial" w:hAnsi="Arial"/>
          <w:sz w:val="18"/>
          <w:szCs w:val="18"/>
          <w:color w:val="auto"/>
        </w:rPr>
      </w:pPr>
    </w:p>
    <w:p>
      <w:pPr>
        <w:jc w:val="both"/>
        <w:ind w:firstLine="1279"/>
        <w:spacing w:after="0" w:line="252" w:lineRule="auto"/>
        <w:tabs>
          <w:tab w:leader="none" w:pos="15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as applicable under local law in the event that either party initiates legal proceedings that relate in any way to this Confidentiality Provisions, including any action brought by either party seeking to enforce any provision set forth herein.</w:t>
      </w:r>
    </w:p>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Grantee from his/her obligations under this Agreement. If the Company, at its sole discretion, decides to waive or reduce the restricted period of the obligations assumed in Section 2(e), (f), (g), and (h), for any reason, it will inform Grantee in writing, with the understanding that the Company will not be responsible to pay or make further payments of any compensation, as set forth in Section 2(j)(ii), for the entire restricted period or the remaining restricted period, as applicable, at the time the Company waives enforcement. If the Company waives the entire enforcement of the restrictive period established after the term of the labor relationship, no compensation will be paid to Grantee under this Agreement, and Grantee acknowledges that the Company will not be liable as a consequence of such non-payment.”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 concerning or arising from the Confidentiality Provisions, or relating to, concerning or arising from the relationship between the parties evidenced by the Confidentiality Provisions, shall be brought and heard exclusively in competent courts of Mexico City, expressly waiving any other jurisdiction that may correspond to them by reason of their present or future domiciles or for any other cause.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applicable local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1(i)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“Termination for Cause” or “Terminated for Cause” </w:t>
      </w:r>
      <w:r>
        <w:rPr>
          <w:rFonts w:ascii="Arial" w:cs="Arial" w:eastAsia="Arial" w:hAnsi="Arial"/>
          <w:sz w:val="18"/>
          <w:szCs w:val="18"/>
          <w:color w:val="auto"/>
        </w:rPr>
        <w:t>shall entail any reasonable grounds the Company may have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article 7:669 paragraph 3 subsection (d), (e), (g), and (i) of the Dutch Civil Code and article 7:678 of the Dutch Civil Code. Examples of this involuntary termination of Grantee by the Company are the following reasons:</w:t>
      </w:r>
    </w:p>
    <w:p>
      <w:pPr>
        <w:spacing w:after="0" w:line="139" w:lineRule="exact"/>
        <w:rPr>
          <w:sz w:val="20"/>
          <w:szCs w:val="20"/>
          <w:color w:val="auto"/>
        </w:rPr>
      </w:pPr>
    </w:p>
    <w:p>
      <w:pPr>
        <w:jc w:val="both"/>
        <w:ind w:firstLine="1271"/>
        <w:spacing w:after="0" w:line="261" w:lineRule="auto"/>
        <w:rPr>
          <w:sz w:val="20"/>
          <w:szCs w:val="20"/>
          <w:color w:val="auto"/>
        </w:rPr>
      </w:pPr>
      <w:r>
        <w:rPr>
          <w:rFonts w:ascii="Arial" w:cs="Arial" w:eastAsia="Arial" w:hAnsi="Arial"/>
          <w:sz w:val="18"/>
          <w:szCs w:val="18"/>
          <w:color w:val="auto"/>
        </w:rPr>
        <w:t>i. If termination shall have been the result of an act or acts by Grantee which constitute an indictable offense, a felony or any crime involving dishonesty, theft, fraud or moral turpitude;</w:t>
      </w:r>
    </w:p>
    <w:p>
      <w:pPr>
        <w:spacing w:after="0" w:line="144" w:lineRule="exact"/>
        <w:rPr>
          <w:sz w:val="20"/>
          <w:szCs w:val="20"/>
          <w:color w:val="auto"/>
        </w:rPr>
      </w:pPr>
    </w:p>
    <w:p>
      <w:pPr>
        <w:ind w:firstLine="1279"/>
        <w:spacing w:after="0" w:line="261" w:lineRule="auto"/>
        <w:tabs>
          <w:tab w:leader="none" w:pos="14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are determined, in the good faith judgment of the Company, to be in violation of written policies of the Company;</w:t>
      </w:r>
    </w:p>
    <w:p>
      <w:pPr>
        <w:spacing w:after="0" w:line="143" w:lineRule="exact"/>
        <w:rPr>
          <w:rFonts w:ascii="Arial" w:cs="Arial" w:eastAsia="Arial" w:hAnsi="Arial"/>
          <w:sz w:val="18"/>
          <w:szCs w:val="18"/>
          <w:color w:val="auto"/>
        </w:rPr>
      </w:pPr>
    </w:p>
    <w:p>
      <w:pPr>
        <w:ind w:firstLine="1279"/>
        <w:spacing w:after="0" w:line="261" w:lineRule="auto"/>
        <w:tabs>
          <w:tab w:leader="none" w:pos="14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dishonesty by Grantee resulting or intended to result directly or indirectly in gain or personal enrichment to Grantee at the expense of the Company;</w:t>
      </w:r>
    </w:p>
    <w:p>
      <w:pPr>
        <w:sectPr>
          <w:pgSz w:w="11900" w:h="16838" w:orient="portrait"/>
          <w:cols w:equalWidth="0" w:num="1">
            <w:col w:w="11240"/>
          </w:cols>
          <w:pgMar w:left="32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1279"/>
        <w:spacing w:after="0" w:line="254" w:lineRule="auto"/>
        <w:tabs>
          <w:tab w:leader="none" w:pos="14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49" w:lineRule="exact"/>
        <w:rPr>
          <w:rFonts w:ascii="Arial" w:cs="Arial" w:eastAsia="Arial" w:hAnsi="Arial"/>
          <w:sz w:val="18"/>
          <w:szCs w:val="18"/>
          <w:color w:val="auto"/>
        </w:rPr>
      </w:pPr>
    </w:p>
    <w:p>
      <w:pPr>
        <w:ind w:firstLine="1279"/>
        <w:spacing w:after="0" w:line="261" w:lineRule="auto"/>
        <w:tabs>
          <w:tab w:leader="none" w:pos="14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termination shall have been the result of the unauthorized disclosure by Grantee of the Company’s Confidential Information or violation of any other provision of the Confidentiality Provisions.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in made in Section 2(e) of the Confidentiality Provisions: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References to “Confidential Severance Agreement and Release” will be replaced by “settlement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2(i)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instead of any other rights or remedies the Company may have.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5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Provisions Severable</w:t>
      </w:r>
      <w:r>
        <w:rPr>
          <w:rFonts w:ascii="Arial" w:cs="Arial" w:eastAsia="Arial" w:hAnsi="Arial"/>
          <w:sz w:val="18"/>
          <w:szCs w:val="18"/>
          <w:color w:val="auto"/>
        </w:rPr>
        <w:t>. If any provision or covenant, or any part thereof, contained in the Confidentiality Provisions is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applicable local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ectPr>
          <w:pgSz w:w="11900" w:h="16838" w:orient="portrait"/>
          <w:cols w:equalWidth="0" w:num="1">
            <w:col w:w="11240"/>
          </w:cols>
          <w:pgMar w:left="320" w:top="11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information which meets all of the following requirements:</w:t>
      </w:r>
    </w:p>
    <w:p>
      <w:pPr>
        <w:spacing w:after="0" w:line="193" w:lineRule="exact"/>
        <w:rPr>
          <w:sz w:val="20"/>
          <w:szCs w:val="20"/>
          <w:color w:val="auto"/>
        </w:rPr>
      </w:pPr>
    </w:p>
    <w:p>
      <w:pPr>
        <w:ind w:firstLine="1279"/>
        <w:spacing w:after="0" w:line="261" w:lineRule="auto"/>
        <w:tabs>
          <w:tab w:leader="none" w:pos="15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43" w:lineRule="exact"/>
        <w:rPr>
          <w:rFonts w:ascii="Arial" w:cs="Arial" w:eastAsia="Arial" w:hAnsi="Arial"/>
          <w:sz w:val="18"/>
          <w:szCs w:val="18"/>
          <w:color w:val="auto"/>
        </w:rPr>
      </w:pPr>
    </w:p>
    <w:p>
      <w:pPr>
        <w:ind w:left="1540" w:hanging="261"/>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has commercial value because it is secret; and</w:t>
      </w:r>
    </w:p>
    <w:p>
      <w:pPr>
        <w:spacing w:after="0" w:line="171" w:lineRule="exact"/>
        <w:rPr>
          <w:rFonts w:ascii="Arial" w:cs="Arial" w:eastAsia="Arial" w:hAnsi="Arial"/>
          <w:sz w:val="18"/>
          <w:szCs w:val="18"/>
          <w:color w:val="auto"/>
        </w:rPr>
      </w:pPr>
    </w:p>
    <w:p>
      <w:pPr>
        <w:ind w:left="1560" w:hanging="281"/>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has been subject to reasonable steps under the circumstances, by the person lawfully in control of the information, to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keep it secret.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1(c)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twelve-month period referenced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material contact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1(i) (“Termination for Cause” or “Terminated for Cause”) of the Confidentiality Provisions is hereby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1(j) of the Confidentiality Provisions: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“Inventions” and “Intellectual Property” </w:t>
      </w:r>
      <w:r>
        <w:rPr>
          <w:rFonts w:ascii="Arial" w:cs="Arial" w:eastAsia="Arial" w:hAnsi="Arial"/>
          <w:sz w:val="18"/>
          <w:szCs w:val="18"/>
          <w:color w:val="auto"/>
        </w:rPr>
        <w:t>The term “Invention” means contributions, discoveries, improvements, ideas,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methods, modifications, improvements, processes, algorithms, databases, computer programs, formulae, techniques, trade secrets, graphics or images, and audio or visual works, written text, software, code, and other works of authorship, whether or not patentable or copyrightable, whether or not recorded in any medium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w:t>
      </w:r>
    </w:p>
    <w:p>
      <w:pPr>
        <w:sectPr>
          <w:pgSz w:w="11900" w:h="16838" w:orient="portrait"/>
          <w:cols w:equalWidth="0" w:num="1">
            <w:col w:w="11240"/>
          </w:cols>
          <w:pgMar w:left="32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or extensions of, and rights to claim priority from, such rights for their full term and the right to sue for damages for past and current infringement in respect of any of the same.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and transfer to the Company and its successors and assigns the entire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any Invention which is or was made or conceived, either solely or jointly with others, during his/her employment with the Company, including after the Date of Termination. To the extent that any Intellectual Property which is or was created or conceived, either solely or jointly with others, during his/her employment with the Company does not vest in the Company automatically and/or pending any assignment of such Intellectual Property, Grantee shall hold such Intellectual Property on trust for the Company. Grantee hereby irrevocably and unconditionally waives all claims to any moral rights or other special rights which it may have or accrue in any Inventions or Intellectual Property. Grantee attests that he/she has disclosed (or promptly will disclose, if after the Date of Termination) to the Company all Inventions. Grantee will, if requested, promptly execute and deliver to the Company a specific assignment of title for any such Invention or Intellectual Property right and will at the expense of the Company, take all reasonably required action by the Company to patent, copyright or otherwise protect the Invention.”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2(f)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twelve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Arial" w:cs="Arial" w:eastAsia="Arial" w:hAnsi="Arial"/>
          <w:sz w:val="18"/>
          <w:szCs w:val="18"/>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2(g)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2(h) of the Confidentiality Provisions: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twelve</w:t>
      </w:r>
    </w:p>
    <w:p>
      <w:pPr>
        <w:spacing w:after="0" w:line="31" w:lineRule="exact"/>
        <w:rPr>
          <w:sz w:val="20"/>
          <w:szCs w:val="20"/>
          <w:color w:val="auto"/>
        </w:rPr>
      </w:pPr>
    </w:p>
    <w:p>
      <w:pPr>
        <w:jc w:val="both"/>
        <w:ind w:firstLine="8"/>
        <w:spacing w:after="0" w:line="253" w:lineRule="auto"/>
        <w:tabs>
          <w:tab w:leader="none" w:pos="3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with which Grantee was materially concerned in the period of twelve (12) months prior to the Date of Termination. For purposes of this Section 2, a “Sales Agent” is any third-party agency, and/or its representatives, with which or whom the Company has contracted for the purpose of facilitating the sale of the Company’s products during the last</w:t>
      </w:r>
    </w:p>
    <w:p>
      <w:pPr>
        <w:sectPr>
          <w:pgSz w:w="11900" w:h="16838" w:orient="portrait"/>
          <w:cols w:equalWidth="0" w:num="1">
            <w:col w:w="11240"/>
          </w:cols>
          <w:pgMar w:left="320" w:top="118" w:right="339" w:bottom="1440" w:gutter="0" w:footer="0" w:header="0"/>
        </w:sectPr>
      </w:pPr>
    </w:p>
    <w:bookmarkStart w:id="106" w:name="page107"/>
    <w:bookmarkEnd w:id="106"/>
    <w:p>
      <w:pPr>
        <w:ind w:left="10060"/>
        <w:spacing w:after="0"/>
        <w:rPr>
          <w:sz w:val="20"/>
          <w:szCs w:val="20"/>
          <w:color w:val="auto"/>
        </w:rPr>
      </w:pPr>
      <w:r>
        <w:rPr>
          <w:rFonts w:ascii="Arial" w:cs="Arial" w:eastAsia="Arial" w:hAnsi="Arial"/>
          <w:sz w:val="17"/>
          <w:szCs w:val="17"/>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twelve (12) months of Grantee’s employment with the Company and with whom Grantee had material contact or responsibility in his capacity as an employee of the Company during that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England and Wales. Any and all disputes relating to, concerning or arising from the Confidentiality Provisions, or relating to, concerning or arising from the relationship between the parties evidenced by the Confidentiality Provisions, shall be brought and heard exclusively in the Courts of England and Wales.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provisions are deleted in their entirety: Sections 10 </w:t>
      </w:r>
      <w:r>
        <w:rPr>
          <w:rFonts w:ascii="Arial" w:cs="Arial" w:eastAsia="Arial" w:hAnsi="Arial"/>
          <w:sz w:val="18"/>
          <w:szCs w:val="18"/>
          <w:b w:val="1"/>
          <w:bCs w:val="1"/>
          <w:color w:val="auto"/>
        </w:rPr>
        <w:t>(“Tender Back Provision”</w:t>
      </w:r>
      <w:r>
        <w:rPr>
          <w:rFonts w:ascii="Arial" w:cs="Arial" w:eastAsia="Arial" w:hAnsi="Arial"/>
          <w:sz w:val="18"/>
          <w:szCs w:val="18"/>
          <w:color w:val="auto"/>
        </w:rPr>
        <w:t xml:space="preserve">) and Section 11 </w:t>
      </w:r>
      <w:r>
        <w:rPr>
          <w:rFonts w:ascii="Arial" w:cs="Arial" w:eastAsia="Arial" w:hAnsi="Arial"/>
          <w:sz w:val="18"/>
          <w:szCs w:val="18"/>
          <w:b w:val="1"/>
          <w:bCs w:val="1"/>
          <w:color w:val="auto"/>
        </w:rPr>
        <w:t>(“Tolling Period”</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following new Section 13 is inserted as follows: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The provisions of Sections 2(e) through Section 2(h) shall only apply in respect of those subsidiaries to whom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his services, for whom he was responsible or with whom he was otherwise materially concerned in the period of twelve (12) 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11220" w:type="dxa"/>
            <w:vAlign w:val="bottom"/>
            <w:gridSpan w:val="4"/>
          </w:tcPr>
          <w:p>
            <w:pPr>
              <w:ind w:left="1440"/>
              <w:spacing w:after="0"/>
              <w:rPr>
                <w:sz w:val="20"/>
                <w:szCs w:val="20"/>
                <w:color w:val="auto"/>
              </w:rPr>
            </w:pPr>
            <w:r>
              <w:rPr>
                <w:rFonts w:ascii="Arial" w:cs="Arial" w:eastAsia="Arial" w:hAnsi="Arial"/>
                <w:sz w:val="18"/>
                <w:szCs w:val="18"/>
                <w:b w:val="1"/>
                <w:bCs w:val="1"/>
                <w:color w:val="auto"/>
              </w:rPr>
              <w:t>ACUITY BRANDS, INC. Amended and Restated 2012 Omnibus Stock Incentive Compensation Plan</w:t>
            </w:r>
          </w:p>
        </w:tc>
      </w:tr>
      <w:tr>
        <w:trPr>
          <w:trHeight w:val="378"/>
        </w:trPr>
        <w:tc>
          <w:tcPr>
            <w:tcW w:w="2160" w:type="dxa"/>
            <w:vAlign w:val="bottom"/>
          </w:tcPr>
          <w:p>
            <w:pPr>
              <w:spacing w:after="0"/>
              <w:rPr>
                <w:sz w:val="24"/>
                <w:szCs w:val="24"/>
                <w:color w:val="auto"/>
              </w:rPr>
            </w:pPr>
          </w:p>
        </w:tc>
        <w:tc>
          <w:tcPr>
            <w:tcW w:w="9060" w:type="dxa"/>
            <w:vAlign w:val="bottom"/>
            <w:gridSpan w:val="3"/>
          </w:tcPr>
          <w:p>
            <w:pPr>
              <w:ind w:left="760"/>
              <w:spacing w:after="0"/>
              <w:rPr>
                <w:sz w:val="20"/>
                <w:szCs w:val="20"/>
                <w:color w:val="auto"/>
              </w:rPr>
            </w:pPr>
            <w:r>
              <w:rPr>
                <w:rFonts w:ascii="Arial" w:cs="Arial" w:eastAsia="Arial" w:hAnsi="Arial"/>
                <w:sz w:val="18"/>
                <w:szCs w:val="18"/>
                <w:b w:val="1"/>
                <w:bCs w:val="1"/>
                <w:color w:val="auto"/>
              </w:rPr>
              <w:t>Global Restricted Stock Unit Notification and Award Agreement</w:t>
            </w:r>
          </w:p>
        </w:tc>
      </w:tr>
      <w:tr>
        <w:trPr>
          <w:trHeight w:val="189"/>
        </w:trPr>
        <w:tc>
          <w:tcPr>
            <w:tcW w:w="216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tcPr>
          <w:p>
            <w:pPr>
              <w:spacing w:after="0"/>
              <w:rPr>
                <w:sz w:val="16"/>
                <w:szCs w:val="16"/>
                <w:color w:val="auto"/>
              </w:rPr>
            </w:pPr>
          </w:p>
        </w:tc>
      </w:tr>
      <w:tr>
        <w:trPr>
          <w:trHeight w:val="222"/>
        </w:trPr>
        <w:tc>
          <w:tcPr>
            <w:tcW w:w="21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Grantee:</w:t>
            </w:r>
          </w:p>
        </w:tc>
        <w:tc>
          <w:tcPr>
            <w:tcW w:w="906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/$ParticipantName$/</w:t>
            </w:r>
          </w:p>
        </w:tc>
      </w:tr>
      <w:tr>
        <w:trPr>
          <w:trHeight w:val="203"/>
        </w:trPr>
        <w:tc>
          <w:tcPr>
            <w:tcW w:w="216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Type:</w:t>
            </w:r>
          </w:p>
        </w:tc>
        <w:tc>
          <w:tcPr>
            <w:tcW w:w="90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/$GrantType$/</w:t>
            </w:r>
          </w:p>
        </w:tc>
      </w:tr>
      <w:tr>
        <w:trPr>
          <w:trHeight w:val="203"/>
        </w:trPr>
        <w:tc>
          <w:tcPr>
            <w:tcW w:w="216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ID:</w:t>
            </w:r>
          </w:p>
        </w:tc>
        <w:tc>
          <w:tcPr>
            <w:tcW w:w="90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/$GrantID$/</w:t>
            </w:r>
          </w:p>
        </w:tc>
      </w:tr>
      <w:tr>
        <w:trPr>
          <w:trHeight w:val="203"/>
        </w:trPr>
        <w:tc>
          <w:tcPr>
            <w:tcW w:w="216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Grant Date:</w:t>
            </w:r>
          </w:p>
        </w:tc>
        <w:tc>
          <w:tcPr>
            <w:tcW w:w="90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/$GrantDate$/</w:t>
            </w:r>
          </w:p>
        </w:tc>
      </w:tr>
      <w:tr>
        <w:trPr>
          <w:trHeight w:val="203"/>
        </w:trPr>
        <w:tc>
          <w:tcPr>
            <w:tcW w:w="216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Award Amount:</w:t>
            </w:r>
          </w:p>
        </w:tc>
        <w:tc>
          <w:tcPr>
            <w:tcW w:w="90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/$AwardsGranted$/</w:t>
            </w:r>
          </w:p>
        </w:tc>
      </w:tr>
      <w:tr>
        <w:trPr>
          <w:trHeight w:val="203"/>
        </w:trPr>
        <w:tc>
          <w:tcPr>
            <w:tcW w:w="2160" w:type="dxa"/>
            <w:vAlign w:val="bottom"/>
            <w:tcBorders>
              <w:left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Vest Schedule:</w:t>
            </w:r>
          </w:p>
        </w:tc>
        <w:tc>
          <w:tcPr>
            <w:tcW w:w="9060" w:type="dxa"/>
            <w:vAlign w:val="bottom"/>
            <w:tcBorders>
              <w:righ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rPr>
              <w:t>/$VestingDescription$/</w:t>
            </w:r>
          </w:p>
        </w:tc>
      </w:tr>
      <w:tr>
        <w:trPr>
          <w:trHeight w:val="176"/>
        </w:trPr>
        <w:tc>
          <w:tcPr>
            <w:tcW w:w="2160" w:type="dxa"/>
            <w:vAlign w:val="bottom"/>
            <w:tcBorders>
              <w:left w:val="single" w:sz="8" w:color="auto"/>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Grantee Level:</w:t>
            </w:r>
          </w:p>
        </w:tc>
        <w:tc>
          <w:tcPr>
            <w:tcW w:w="9060" w:type="dxa"/>
            <w:vAlign w:val="bottom"/>
            <w:tcBorders>
              <w:right w:val="single" w:sz="8" w:color="auto"/>
            </w:tcBorders>
            <w:gridSpan w:val="3"/>
          </w:tcPr>
          <w:p>
            <w:pPr>
              <w:ind w:left="240"/>
              <w:spacing w:after="0" w:line="176" w:lineRule="exact"/>
              <w:rPr>
                <w:sz w:val="20"/>
                <w:szCs w:val="20"/>
                <w:color w:val="auto"/>
              </w:rPr>
            </w:pPr>
            <w:r>
              <w:rPr>
                <w:rFonts w:ascii="Arial" w:cs="Arial" w:eastAsia="Arial" w:hAnsi="Arial"/>
                <w:sz w:val="18"/>
                <w:szCs w:val="18"/>
                <w:color w:val="auto"/>
              </w:rPr>
              <w:t>/$UserCode2$/ for Stock Ownership Guidelines (Exhibit A)</w:t>
            </w:r>
          </w:p>
        </w:tc>
      </w:tr>
      <w:tr>
        <w:trPr>
          <w:trHeight w:val="230"/>
        </w:trPr>
        <w:tc>
          <w:tcPr>
            <w:tcW w:w="21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Accept by Date:</w:t>
            </w:r>
          </w:p>
        </w:tc>
        <w:tc>
          <w:tcPr>
            <w:tcW w:w="41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/$AcceptByDate$/</w:t>
            </w:r>
          </w:p>
        </w:tc>
        <w:tc>
          <w:tcPr>
            <w:tcW w:w="700" w:type="dxa"/>
            <w:vAlign w:val="bottom"/>
            <w:tcBorders>
              <w:top w:val="single" w:sz="8" w:color="auto"/>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r>
    </w:tbl>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Acuity Brands, Inc. (the “Company”) maintains the Amended and Restated Acuity Brands, Inc. 2012 Omnibus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 (the “Plan”) under which the Compensation Committee of the Company’s Board of Directors (the “Committee”) has authority to grant Restricted Stock Units (the “RSUs”); and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 of the Company and its stockholders to grant this RSU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identified above, subject to the terms and conditions set forth in the Plan and this Global Restricted Stock Unit Notification and Award Agreement, together with its exhibits (the “Agreement”).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the parties agree as follows:</w:t>
      </w:r>
    </w:p>
    <w:p>
      <w:pPr>
        <w:spacing w:after="0" w:line="171" w:lineRule="exact"/>
        <w:rPr>
          <w:sz w:val="20"/>
          <w:szCs w:val="20"/>
          <w:color w:val="auto"/>
        </w:rPr>
      </w:pPr>
    </w:p>
    <w:p>
      <w:pPr>
        <w:jc w:val="both"/>
        <w:ind w:left="660" w:hanging="328"/>
        <w:spacing w:after="0" w:line="257"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Incorporation of the Plan</w:t>
      </w:r>
      <w:r>
        <w:rPr>
          <w:rFonts w:ascii="Arial" w:cs="Arial" w:eastAsia="Arial" w:hAnsi="Arial"/>
          <w:sz w:val="18"/>
          <w:szCs w:val="18"/>
          <w:color w:val="auto"/>
        </w:rPr>
        <w:t>. The provisions of the Plan are hereby incorporated by reference. Except as otherwise expressly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Grant of Restricted Stock Unit Award</w:t>
      </w:r>
      <w:r>
        <w:rPr>
          <w:rFonts w:ascii="Arial" w:cs="Arial" w:eastAsia="Arial" w:hAnsi="Arial"/>
          <w:sz w:val="18"/>
          <w:szCs w:val="18"/>
          <w:color w:val="auto"/>
        </w:rPr>
        <w:t>. The Committee, on behalf of the Company, hereby grants to Grantee,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RSUs equal to the Award Amount set forth above, on the terms and conditions set forth in this Agreement, including the specific vesting requirements set forth above under the Vest Schedule, and as otherwise provided in the Plan.</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Acceptance of Restricted Stock Unit Award</w:t>
      </w:r>
      <w:r>
        <w:rPr>
          <w:rFonts w:ascii="Arial" w:cs="Arial" w:eastAsia="Arial" w:hAnsi="Arial"/>
          <w:sz w:val="18"/>
          <w:szCs w:val="18"/>
          <w:color w:val="auto"/>
        </w:rPr>
        <w:t>. This award of RSUs is conditioned upon Grantee’s acceptance of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RSUs may be cancelled.</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Vesting of Restricted Stock Unit Award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300" w:hanging="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 General</w:t>
      </w:r>
      <w:r>
        <w:rPr>
          <w:rFonts w:ascii="Arial" w:cs="Arial" w:eastAsia="Arial" w:hAnsi="Arial"/>
          <w:sz w:val="18"/>
          <w:szCs w:val="18"/>
          <w:color w:val="auto"/>
        </w:rPr>
        <w:t>. Provided that Grantee remains continuously employed by the Company, a Subsidiary or Affiliate, subject to the other terms of this Agreement, the RSUs shall vest pursuant to the Vest Schedule set forth above. For purposes of this Agreement, providing active services as an Employee or as a member of the Board shall be considered as employment.</w:t>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8" w:hanging="320"/>
        <w:spacing w:after="0" w:line="253" w:lineRule="auto"/>
        <w:tabs>
          <w:tab w:leader="none" w:pos="956"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Termination due to Death or Disability</w:t>
      </w:r>
      <w:r>
        <w:rPr>
          <w:rFonts w:ascii="Arial" w:cs="Arial" w:eastAsia="Arial" w:hAnsi="Arial"/>
          <w:sz w:val="18"/>
          <w:szCs w:val="18"/>
          <w:color w:val="auto"/>
        </w:rPr>
        <w:t>. Notwithstanding Section 4(a) above, if prior to the date on which the RSUs (or a portion thereof) vest and the restrictions with respect to the RSUs lapse (the “Vesting Date”), (i) Grantee dies while actively employed by the Company or a Subsidiary or an Affiliate, or (ii) Grantee’s employment terminates by reason of Grantee’s Disability, any unvested RSUs shall become fully vested and non-forfeitable as of the date of Grantee’s death or Disability.</w:t>
      </w:r>
    </w:p>
    <w:p>
      <w:pPr>
        <w:spacing w:after="0" w:line="151" w:lineRule="exact"/>
        <w:rPr>
          <w:rFonts w:ascii="Arial" w:cs="Arial" w:eastAsia="Arial" w:hAnsi="Arial"/>
          <w:sz w:val="18"/>
          <w:szCs w:val="18"/>
          <w:color w:val="auto"/>
        </w:rPr>
      </w:pPr>
    </w:p>
    <w:p>
      <w:pPr>
        <w:jc w:val="both"/>
        <w:ind w:left="968" w:hanging="320"/>
        <w:spacing w:after="0" w:line="251" w:lineRule="auto"/>
        <w:tabs>
          <w:tab w:leader="none" w:pos="95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Any Other Reason</w:t>
      </w:r>
      <w:r>
        <w:rPr>
          <w:rFonts w:ascii="Arial" w:cs="Arial" w:eastAsia="Arial" w:hAnsi="Arial"/>
          <w:sz w:val="18"/>
          <w:szCs w:val="18"/>
          <w:color w:val="auto"/>
        </w:rPr>
        <w:t xml:space="preserve">. Except for death or Termination due to Disability, as provided in Section 4(b) above, or except as otherwise provided in a duly approved severance agreement with Grantee, if Grantee terminates his or her employment or if the Company or if different, the Subsidiary or an Affiliate employing Grantee (the “Employer”) terminates Grantee’s employment prior to the Vesting Date (even in the case of unfair dismissal and whether or not later to be found invalid or in breach of employment laws in the jurisdiction where Grantee is employed or the terms of Grantee’s employment agreement, if any) Grantee expressly acknowledges that the RSUs shall cease to vest further, the unvested RSUs shall be immediately forfeited, and Grantee shall be entitled only to the Shares issued as a result of RSUs that had vested prior to the Date of Termination. “Date of Termination” means the last day of Grantee’s active employment with the Employer. </w:t>
      </w:r>
      <w:r>
        <w:rPr>
          <w:rFonts w:ascii="Arial" w:cs="Arial" w:eastAsia="Arial" w:hAnsi="Arial"/>
          <w:sz w:val="18"/>
          <w:szCs w:val="18"/>
          <w:color w:val="0000FF"/>
        </w:rPr>
        <w:t>For greater certainty, Grantee’s Date</w:t>
      </w:r>
      <w:r>
        <w:rPr>
          <w:rFonts w:ascii="Arial" w:cs="Arial" w:eastAsia="Arial" w:hAnsi="Arial"/>
          <w:sz w:val="18"/>
          <w:szCs w:val="18"/>
          <w:color w:val="auto"/>
        </w:rPr>
        <w:t xml:space="preserve"> of </w:t>
      </w:r>
      <w:r>
        <w:rPr>
          <w:rFonts w:ascii="Arial" w:cs="Arial" w:eastAsia="Arial" w:hAnsi="Arial"/>
          <w:sz w:val="18"/>
          <w:szCs w:val="18"/>
          <w:color w:val="0000FF"/>
        </w:rPr>
        <w:t>Termination</w:t>
      </w:r>
      <w:r>
        <w:rPr>
          <w:rFonts w:ascii="Arial" w:cs="Arial" w:eastAsia="Arial" w:hAnsi="Arial"/>
          <w:sz w:val="18"/>
          <w:szCs w:val="18"/>
          <w:color w:val="auto"/>
        </w:rPr>
        <w:t xml:space="preserve">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RSU grant (including whether Grantee may still be considered to be providing services while on a leave of absence).</w:t>
      </w:r>
    </w:p>
    <w:p>
      <w:pPr>
        <w:spacing w:after="0" w:line="154" w:lineRule="exact"/>
        <w:rPr>
          <w:rFonts w:ascii="Arial" w:cs="Arial" w:eastAsia="Arial" w:hAnsi="Arial"/>
          <w:sz w:val="18"/>
          <w:szCs w:val="18"/>
          <w:color w:val="auto"/>
        </w:rPr>
      </w:pPr>
    </w:p>
    <w:p>
      <w:pPr>
        <w:jc w:val="both"/>
        <w:ind w:left="968" w:hanging="320"/>
        <w:spacing w:after="0" w:line="256" w:lineRule="auto"/>
        <w:tabs>
          <w:tab w:leader="none" w:pos="956"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Vesting Acceleration Upon a Change in Control</w:t>
      </w:r>
      <w:r>
        <w:rPr>
          <w:rFonts w:ascii="Arial" w:cs="Arial" w:eastAsia="Arial" w:hAnsi="Arial"/>
          <w:sz w:val="18"/>
          <w:szCs w:val="18"/>
          <w:color w:val="auto"/>
        </w:rPr>
        <w:t>. Notwithstanding the other provisions of this Agreement, in the event of a Change in Control prior to the Vesting Date, all RSUs shall become fully vested and non-forfeitable as of the date of the Change in Control.</w:t>
      </w:r>
    </w:p>
    <w:p>
      <w:pPr>
        <w:spacing w:after="0" w:line="125" w:lineRule="exact"/>
        <w:rPr>
          <w:rFonts w:ascii="Arial" w:cs="Arial" w:eastAsia="Arial" w:hAnsi="Arial"/>
          <w:sz w:val="18"/>
          <w:szCs w:val="18"/>
          <w:color w:val="auto"/>
        </w:rPr>
      </w:pPr>
    </w:p>
    <w:p>
      <w:pPr>
        <w:jc w:val="both"/>
        <w:ind w:left="328" w:hanging="328"/>
        <w:spacing w:after="0" w:line="257" w:lineRule="auto"/>
        <w:tabs>
          <w:tab w:leader="none" w:pos="31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During the period that Grantee holds RSUs granted pursuant to this Agreement, on each date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pays a cash dividend to holders of its Common Stock, the Company shall credit to a non-interest bearing account on its books for Grantee an amount equal to the United States (“U.S.”) Dollar amount paid per share of the Company’s Common Stock for each unvested RSU held by Grantee under this Agreement (the “Dividend Equivalents”). The Dividend Equivalents credited to Grantee’s non-interest bearing account shall vest only to the extent that the RSUs vest and shall be paid in accordance with Section 6 below. The Dividend Equivalents shall be forfeited in the event that the RSUs are forfeited.</w:t>
      </w:r>
    </w:p>
    <w:p>
      <w:pPr>
        <w:spacing w:after="0" w:line="128" w:lineRule="exact"/>
        <w:rPr>
          <w:rFonts w:ascii="Arial" w:cs="Arial" w:eastAsia="Arial" w:hAnsi="Arial"/>
          <w:sz w:val="18"/>
          <w:szCs w:val="18"/>
          <w:color w:val="auto"/>
        </w:rPr>
      </w:pPr>
    </w:p>
    <w:p>
      <w:pPr>
        <w:jc w:val="both"/>
        <w:ind w:left="328" w:hanging="328"/>
        <w:spacing w:after="0" w:line="255" w:lineRule="auto"/>
        <w:tabs>
          <w:tab w:leader="none" w:pos="31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Issuance of Shares upon Vesting</w:t>
      </w:r>
      <w:r>
        <w:rPr>
          <w:rFonts w:ascii="Arial" w:cs="Arial" w:eastAsia="Arial" w:hAnsi="Arial"/>
          <w:sz w:val="18"/>
          <w:szCs w:val="18"/>
          <w:color w:val="auto"/>
        </w:rPr>
        <w:t>. No Shares shall be issued to Grantee prior to the date that the RSUs vest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soon as practical and in any event within sixty (60) days after the date that the RSUs vest pursuant to Section 4 (or within such longer period as may be permitted under Section 409A upon Grantee’s death), and subject to the Company’s Incentive-Based Compensation Recoupment Policy (described in Section 10 below) and the applicable terms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the Company will cause Shares to be issued to an unrestricted account in Grantee’s name in payment of such vested RSUs and will cause any Dividend Equivalents attributed to such vested RSUs to be paid in cash to Grantee or, in the event of death, to Grantee’s heirs, subject to the applicable laws of descent and distribution. Notwithstanding the foregoing, (a) in the event of vesting of the RSUs upon a Change in Control, the RSUs and any Dividend Equivalents shall be paid in accordance with Section 15.2 of the Plan, and (b) to the extent that (i) the RSUs constitute “nonqualified deferred compensation”</w:t>
      </w:r>
    </w:p>
    <w:p>
      <w:pPr>
        <w:sectPr>
          <w:pgSz w:w="11900" w:h="16838" w:orient="portrait"/>
          <w:cols w:equalWidth="0" w:num="1">
            <w:col w:w="10908"/>
          </w:cols>
          <w:pgMar w:left="652"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8" w:right="20"/>
        <w:spacing w:after="0" w:line="261" w:lineRule="auto"/>
        <w:rPr>
          <w:sz w:val="20"/>
          <w:szCs w:val="20"/>
          <w:color w:val="auto"/>
        </w:rPr>
      </w:pPr>
      <w:r>
        <w:rPr>
          <w:rFonts w:ascii="Arial" w:cs="Arial" w:eastAsia="Arial" w:hAnsi="Arial"/>
          <w:sz w:val="18"/>
          <w:szCs w:val="18"/>
          <w:color w:val="auto"/>
        </w:rPr>
        <w:t>subject to Section 409A, (ii) Grantee is subject to U.S. federal taxation and (iii) the aforementioned sixty (60) day period spans two calendar years, the RSUs and any Dividend Equivalents will be paid in the second of such calendar years.</w:t>
      </w:r>
    </w:p>
    <w:p>
      <w:pPr>
        <w:spacing w:after="0" w:line="122" w:lineRule="exact"/>
        <w:rPr>
          <w:sz w:val="20"/>
          <w:szCs w:val="20"/>
          <w:color w:val="auto"/>
        </w:rPr>
      </w:pPr>
    </w:p>
    <w:p>
      <w:pPr>
        <w:jc w:val="both"/>
        <w:ind w:left="328" w:hanging="328"/>
        <w:spacing w:after="0" w:line="268" w:lineRule="auto"/>
        <w:tabs>
          <w:tab w:leader="none" w:pos="31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RSUs may not be sold, assigned, transferred, pledged, or otherwise encumbered in any manner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by will or the laws of descent and distribution, unless and until the shares of Common Stock underlying the vested RSUs have been issued.</w:t>
      </w:r>
    </w:p>
    <w:p>
      <w:pPr>
        <w:spacing w:after="0" w:line="116" w:lineRule="exact"/>
        <w:rPr>
          <w:rFonts w:ascii="Arial" w:cs="Arial" w:eastAsia="Arial" w:hAnsi="Arial"/>
          <w:sz w:val="18"/>
          <w:szCs w:val="18"/>
          <w:color w:val="auto"/>
        </w:rPr>
      </w:pPr>
    </w:p>
    <w:p>
      <w:pPr>
        <w:jc w:val="both"/>
        <w:ind w:left="328" w:right="20" w:hanging="328"/>
        <w:spacing w:after="0" w:line="268" w:lineRule="auto"/>
        <w:tabs>
          <w:tab w:leader="none" w:pos="31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The RSUs granted pursuant to this Agreement do not and shall not entitle Grantee to any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of the Company’s Common Stock. Grantee’s rights with respect to the RSUs shall remain forfeitable at all times prior to the Vesting Date or such other date on which the RSUs vest pursuant to Section 4.</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Adjustments Upon Specified Events</w:t>
      </w:r>
      <w:r>
        <w:rPr>
          <w:rFonts w:ascii="Arial" w:cs="Arial" w:eastAsia="Arial" w:hAnsi="Arial"/>
          <w:sz w:val="18"/>
          <w:szCs w:val="18"/>
          <w:color w:val="auto"/>
        </w:rPr>
        <w:t>. In the event of a Share Change (as defined in the Plan), the number and class of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22"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All Awards of RSUs, whether unvested or vested, shall be subject to the Company’s Incentive-Based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125" w:lineRule="exact"/>
        <w:rPr>
          <w:rFonts w:ascii="Arial" w:cs="Arial" w:eastAsia="Arial" w:hAnsi="Arial"/>
          <w:sz w:val="18"/>
          <w:szCs w:val="18"/>
          <w:color w:val="auto"/>
        </w:rPr>
      </w:pPr>
    </w:p>
    <w:p>
      <w:pPr>
        <w:jc w:val="both"/>
        <w:ind w:left="328" w:hanging="328"/>
        <w:spacing w:after="0" w:line="252" w:lineRule="auto"/>
        <w:tabs>
          <w:tab w:leader="none" w:pos="32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 for U.S. Taxpayers</w:t>
      </w:r>
      <w:r>
        <w:rPr>
          <w:rFonts w:ascii="Arial" w:cs="Arial" w:eastAsia="Arial" w:hAnsi="Arial"/>
          <w:sz w:val="18"/>
          <w:szCs w:val="18"/>
          <w:color w:val="auto"/>
        </w:rPr>
        <w:t>. The parties intend that this Agreement and the benefits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be exempt from the requirements of Section 409A of the Code (together with any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 adopt such amendments to the Plan or this Agreement, or adopt other policies and procedures (including amendments, policies and procedures with retroactive effect), or take any other actions, as the Committee determines are necessary or appropriate either for the RSUs to be exempt from the application of Section 409A or to comply with the requirements of Section 409A. Nothing in this Agreement or the Plan shall provide a basis for any person to take action against the Company or any Subsidiary based on matters covered by Section 409A of the Code, including the tax treatment of any amount paid or RSUs granted under this Agreement, and neither the Company nor any of its Subsidiaries shall under any circumstances have any liability to Grantee or his or her estate or any other party for any taxes, penalties or interest due on amounts paid or payable under this Agreement, including taxes, penalties or interest imposed under Section 409A.</w:t>
      </w:r>
    </w:p>
    <w:p>
      <w:pPr>
        <w:spacing w:after="0" w:line="139" w:lineRule="exact"/>
        <w:rPr>
          <w:rFonts w:ascii="Arial" w:cs="Arial" w:eastAsia="Arial" w:hAnsi="Arial"/>
          <w:sz w:val="18"/>
          <w:szCs w:val="18"/>
          <w:color w:val="auto"/>
        </w:rPr>
      </w:pPr>
    </w:p>
    <w:p>
      <w:pPr>
        <w:jc w:val="both"/>
        <w:ind w:left="328" w:hanging="328"/>
        <w:spacing w:after="0" w:line="262" w:lineRule="auto"/>
        <w:tabs>
          <w:tab w:leader="none" w:pos="321"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Securities Law and other Legal Compliance</w:t>
      </w:r>
      <w:r>
        <w:rPr>
          <w:rFonts w:ascii="Arial" w:cs="Arial" w:eastAsia="Arial" w:hAnsi="Arial"/>
          <w:sz w:val="18"/>
          <w:szCs w:val="18"/>
          <w:color w:val="auto"/>
        </w:rPr>
        <w:t>. Notwithstanding any other provision of the Plan or this Agreement, unless there is an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exemption from any registration, qualification or other legal requirement applicable to the Common Stock, the Company shall not be required to deliver any Common Stock issuable upon settlement of the RSUs prior to the completion of any registration or qualification of the Common Stock under any local, state, federal or foreign</w:t>
      </w:r>
    </w:p>
    <w:p>
      <w:pPr>
        <w:sectPr>
          <w:pgSz w:w="11900" w:h="16838" w:orient="portrait"/>
          <w:cols w:equalWidth="0" w:num="1">
            <w:col w:w="10908"/>
          </w:cols>
          <w:pgMar w:left="652" w:top="11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8"/>
        <w:spacing w:after="0" w:line="252" w:lineRule="auto"/>
        <w:rPr>
          <w:sz w:val="20"/>
          <w:szCs w:val="20"/>
          <w:color w:val="auto"/>
        </w:rPr>
      </w:pPr>
      <w:r>
        <w:rPr>
          <w:rFonts w:ascii="Arial" w:cs="Arial" w:eastAsia="Arial" w:hAnsi="Arial"/>
          <w:sz w:val="18"/>
          <w:szCs w:val="18"/>
          <w:color w:val="auto"/>
        </w:rPr>
        <w:t>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31" w:lineRule="exact"/>
        <w:rPr>
          <w:sz w:val="20"/>
          <w:szCs w:val="20"/>
          <w:color w:val="auto"/>
        </w:rPr>
      </w:pPr>
    </w:p>
    <w:p>
      <w:pPr>
        <w:ind w:left="328" w:right="20" w:hanging="328"/>
        <w:spacing w:after="0" w:line="287" w:lineRule="auto"/>
        <w:tabs>
          <w:tab w:leader="none" w:pos="32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Grantee’s Representation</w:t>
      </w:r>
      <w:r>
        <w:rPr>
          <w:rFonts w:ascii="Arial" w:cs="Arial" w:eastAsia="Arial" w:hAnsi="Arial"/>
          <w:sz w:val="18"/>
          <w:szCs w:val="18"/>
          <w:color w:val="auto"/>
        </w:rPr>
        <w:t>. Grantee represents and warrants that he or she is acquiring the RSUs for investment purposes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with a view to distribution thereof.</w:t>
      </w:r>
    </w:p>
    <w:p>
      <w:pPr>
        <w:spacing w:after="0" w:line="98"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Confidentiality, Inventions, Non-Solicitation and Non-Competition; Stock Ownership Guidelines</w:t>
      </w:r>
      <w:r>
        <w:rPr>
          <w:rFonts w:ascii="Arial" w:cs="Arial" w:eastAsia="Arial" w:hAnsi="Arial"/>
          <w:sz w:val="18"/>
          <w:szCs w:val="18"/>
          <w:color w:val="auto"/>
        </w:rPr>
        <w:t>. In exchange for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consideration in the form of the RSU award pursuant to this Agreement and other good and valuable consideration, Grantee agrees that he/she shall comply with the confidentiality, inventions, non-solicitation and non-competition provisions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color w:val="0000FF"/>
        </w:rPr>
        <w:t>Grantee acknowledges its obligations, if and as applicable to Grantee’s position, described in the Company’s Stock</w:t>
      </w:r>
      <w:r>
        <w:rPr>
          <w:rFonts w:ascii="Arial" w:cs="Arial" w:eastAsia="Arial" w:hAnsi="Arial"/>
          <w:sz w:val="18"/>
          <w:szCs w:val="18"/>
          <w:color w:val="auto"/>
        </w:rPr>
        <w:t xml:space="preserve"> </w:t>
      </w:r>
      <w:r>
        <w:rPr>
          <w:rFonts w:ascii="Arial" w:cs="Arial" w:eastAsia="Arial" w:hAnsi="Arial"/>
          <w:sz w:val="18"/>
          <w:szCs w:val="18"/>
          <w:color w:val="0000FF"/>
        </w:rPr>
        <w:t xml:space="preserve">Ownership Guidelines in effect from time to time, as summarized in </w:t>
      </w:r>
      <w:r>
        <w:rPr>
          <w:rFonts w:ascii="Arial" w:cs="Arial" w:eastAsia="Arial" w:hAnsi="Arial"/>
          <w:sz w:val="18"/>
          <w:szCs w:val="18"/>
          <w:u w:val="single" w:color="auto"/>
          <w:color w:val="0000FF"/>
        </w:rPr>
        <w:t>Exhibit A</w:t>
      </w:r>
      <w:r>
        <w:rPr>
          <w:rFonts w:ascii="Arial" w:cs="Arial" w:eastAsia="Arial" w:hAnsi="Arial"/>
          <w:sz w:val="18"/>
          <w:szCs w:val="18"/>
          <w:color w:val="0000FF"/>
        </w:rPr>
        <w:t>.</w:t>
      </w:r>
    </w:p>
    <w:p>
      <w:pPr>
        <w:spacing w:after="0" w:line="200" w:lineRule="exact"/>
        <w:rPr>
          <w:sz w:val="20"/>
          <w:szCs w:val="20"/>
          <w:color w:val="auto"/>
        </w:rPr>
      </w:pPr>
    </w:p>
    <w:p>
      <w:pPr>
        <w:spacing w:after="0" w:line="330" w:lineRule="exact"/>
        <w:rPr>
          <w:sz w:val="20"/>
          <w:szCs w:val="20"/>
          <w:color w:val="auto"/>
        </w:rPr>
      </w:pPr>
    </w:p>
    <w:p>
      <w:pPr>
        <w:ind w:left="308" w:hanging="308"/>
        <w:spacing w:after="0"/>
        <w:tabs>
          <w:tab w:leader="none" w:pos="30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the grant, Grantee acknowledges, understands and agrees that:</w:t>
      </w:r>
    </w:p>
    <w:p>
      <w:pPr>
        <w:spacing w:after="0" w:line="193" w:lineRule="exact"/>
        <w:rPr>
          <w:rFonts w:ascii="Arial" w:cs="Arial" w:eastAsia="Arial" w:hAnsi="Arial"/>
          <w:sz w:val="18"/>
          <w:szCs w:val="18"/>
          <w:color w:val="auto"/>
        </w:rPr>
      </w:pPr>
    </w:p>
    <w:p>
      <w:pPr>
        <w:ind w:left="968" w:right="20" w:hanging="320"/>
        <w:spacing w:after="0" w:line="261" w:lineRule="auto"/>
        <w:tabs>
          <w:tab w:leader="none" w:pos="95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43" w:lineRule="exact"/>
        <w:rPr>
          <w:rFonts w:ascii="Arial" w:cs="Arial" w:eastAsia="Arial" w:hAnsi="Arial"/>
          <w:sz w:val="18"/>
          <w:szCs w:val="18"/>
          <w:color w:val="auto"/>
        </w:rPr>
      </w:pPr>
    </w:p>
    <w:p>
      <w:pPr>
        <w:ind w:left="968" w:hanging="320"/>
        <w:spacing w:after="0" w:line="261" w:lineRule="auto"/>
        <w:tabs>
          <w:tab w:leader="none" w:pos="95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grant of RSUs is exceptional, voluntary and occasional and does not create any contractual or other right to receive future grants of RSUs, or benefits in lieu of RSUs, even if RSUs have been granted in the past;</w:t>
      </w:r>
    </w:p>
    <w:p>
      <w:pPr>
        <w:spacing w:after="0" w:line="143" w:lineRule="exact"/>
        <w:rPr>
          <w:rFonts w:ascii="Arial" w:cs="Arial" w:eastAsia="Arial" w:hAnsi="Arial"/>
          <w:sz w:val="18"/>
          <w:szCs w:val="18"/>
          <w:color w:val="auto"/>
        </w:rPr>
      </w:pPr>
    </w:p>
    <w:p>
      <w:pPr>
        <w:ind w:left="968" w:hanging="320"/>
        <w:spacing w:after="0"/>
        <w:tabs>
          <w:tab w:leader="none" w:pos="9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171" w:lineRule="exact"/>
        <w:rPr>
          <w:rFonts w:ascii="Arial" w:cs="Arial" w:eastAsia="Arial" w:hAnsi="Arial"/>
          <w:sz w:val="18"/>
          <w:szCs w:val="18"/>
          <w:color w:val="auto"/>
        </w:rPr>
      </w:pPr>
    </w:p>
    <w:p>
      <w:pPr>
        <w:jc w:val="both"/>
        <w:ind w:left="968" w:hanging="320"/>
        <w:spacing w:after="0" w:line="256" w:lineRule="auto"/>
        <w:tabs>
          <w:tab w:leader="none" w:pos="95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RSU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47" w:lineRule="exact"/>
        <w:rPr>
          <w:rFonts w:ascii="Arial" w:cs="Arial" w:eastAsia="Arial" w:hAnsi="Arial"/>
          <w:sz w:val="18"/>
          <w:szCs w:val="18"/>
          <w:color w:val="auto"/>
        </w:rPr>
      </w:pPr>
    </w:p>
    <w:p>
      <w:pPr>
        <w:ind w:left="968" w:hanging="320"/>
        <w:spacing w:after="0"/>
        <w:tabs>
          <w:tab w:leader="none" w:pos="9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Grantee is voluntarily participating in the Plan;</w:t>
      </w:r>
    </w:p>
    <w:p>
      <w:pPr>
        <w:spacing w:after="0" w:line="171" w:lineRule="exact"/>
        <w:rPr>
          <w:rFonts w:ascii="Arial" w:cs="Arial" w:eastAsia="Arial" w:hAnsi="Arial"/>
          <w:sz w:val="18"/>
          <w:szCs w:val="18"/>
          <w:color w:val="auto"/>
        </w:rPr>
      </w:pPr>
    </w:p>
    <w:p>
      <w:pPr>
        <w:ind w:left="968" w:right="20" w:hanging="320"/>
        <w:spacing w:after="0" w:line="261" w:lineRule="auto"/>
        <w:tabs>
          <w:tab w:leader="none" w:pos="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RSUs and the Shares subject to the RSUs, and any related income and value, are not intended to replace any pension rights or compensation;</w:t>
      </w:r>
    </w:p>
    <w:p>
      <w:pPr>
        <w:spacing w:after="0" w:line="143" w:lineRule="exact"/>
        <w:rPr>
          <w:rFonts w:ascii="Arial" w:cs="Arial" w:eastAsia="Arial" w:hAnsi="Arial"/>
          <w:sz w:val="18"/>
          <w:szCs w:val="18"/>
          <w:color w:val="auto"/>
        </w:rPr>
      </w:pPr>
    </w:p>
    <w:p>
      <w:pPr>
        <w:jc w:val="both"/>
        <w:ind w:left="968" w:hanging="320"/>
        <w:spacing w:after="0" w:line="254" w:lineRule="auto"/>
        <w:tabs>
          <w:tab w:leader="none" w:pos="95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RSUs and the Shares subject to the RSUs,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149" w:lineRule="exact"/>
        <w:rPr>
          <w:rFonts w:ascii="Arial" w:cs="Arial" w:eastAsia="Arial" w:hAnsi="Arial"/>
          <w:sz w:val="18"/>
          <w:szCs w:val="18"/>
          <w:color w:val="auto"/>
        </w:rPr>
      </w:pPr>
    </w:p>
    <w:p>
      <w:pPr>
        <w:ind w:left="968" w:hanging="320"/>
        <w:spacing w:after="0"/>
        <w:tabs>
          <w:tab w:leader="none" w:pos="9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ectPr>
          <w:pgSz w:w="11900" w:h="16838" w:orient="portrait"/>
          <w:cols w:equalWidth="0" w:num="1">
            <w:col w:w="10908"/>
          </w:cols>
          <w:pgMar w:left="652"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68" w:hanging="320"/>
        <w:spacing w:after="0" w:line="254" w:lineRule="auto"/>
        <w:tabs>
          <w:tab w:leader="none" w:pos="9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any loss of any right or benefit, or prospective right or benefit, including the forfeiture of RSUs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w:t>
      </w:r>
    </w:p>
    <w:p>
      <w:pPr>
        <w:spacing w:after="0" w:line="149" w:lineRule="exact"/>
        <w:rPr>
          <w:rFonts w:ascii="Arial" w:cs="Arial" w:eastAsia="Arial" w:hAnsi="Arial"/>
          <w:sz w:val="18"/>
          <w:szCs w:val="18"/>
          <w:color w:val="auto"/>
        </w:rPr>
      </w:pPr>
    </w:p>
    <w:p>
      <w:pPr>
        <w:jc w:val="both"/>
        <w:ind w:left="968" w:hanging="320"/>
        <w:spacing w:after="0" w:line="256" w:lineRule="auto"/>
        <w:tabs>
          <w:tab w:leader="none" w:pos="9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unless otherwise agreed with the Company, the RSUs and Shares subject to the RSUs, and any related income and value, are not granted as consideration for, or in connection with, the service Grantee may provide as a director of a Subsidiary; and</w:t>
      </w:r>
    </w:p>
    <w:p>
      <w:pPr>
        <w:spacing w:after="0" w:line="147" w:lineRule="exact"/>
        <w:rPr>
          <w:rFonts w:ascii="Arial" w:cs="Arial" w:eastAsia="Arial" w:hAnsi="Arial"/>
          <w:sz w:val="18"/>
          <w:szCs w:val="18"/>
          <w:color w:val="auto"/>
        </w:rPr>
      </w:pPr>
    </w:p>
    <w:p>
      <w:pPr>
        <w:jc w:val="both"/>
        <w:ind w:left="968" w:hanging="320"/>
        <w:spacing w:after="0" w:line="256" w:lineRule="auto"/>
        <w:tabs>
          <w:tab w:leader="none" w:pos="9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shall not be liable for any foreign exchange rate fluctuation between Grantee’s local currency and the U.S. Dollar that may affect the value of the RSUs or of any amounts due to Grantee pursuant to the settlement of the RSUs or the subsequent sale of any Shares acquired upon settlement.</w:t>
      </w:r>
    </w:p>
    <w:p>
      <w:pPr>
        <w:spacing w:after="0" w:line="125" w:lineRule="exact"/>
        <w:rPr>
          <w:rFonts w:ascii="Arial" w:cs="Arial" w:eastAsia="Arial" w:hAnsi="Arial"/>
          <w:sz w:val="18"/>
          <w:szCs w:val="18"/>
          <w:color w:val="auto"/>
        </w:rPr>
      </w:pPr>
    </w:p>
    <w:p>
      <w:pPr>
        <w:ind w:left="308" w:hanging="308"/>
        <w:spacing w:after="0"/>
        <w:tabs>
          <w:tab w:leader="none" w:pos="30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Responsibility for Taxes.</w:t>
      </w:r>
    </w:p>
    <w:p>
      <w:pPr>
        <w:spacing w:after="0" w:line="193" w:lineRule="exact"/>
        <w:rPr>
          <w:rFonts w:ascii="Arial" w:cs="Arial" w:eastAsia="Arial" w:hAnsi="Arial"/>
          <w:sz w:val="18"/>
          <w:szCs w:val="18"/>
          <w:color w:val="auto"/>
        </w:rPr>
      </w:pPr>
    </w:p>
    <w:p>
      <w:pPr>
        <w:jc w:val="both"/>
        <w:ind w:left="968" w:hanging="320"/>
        <w:spacing w:after="0" w:line="251"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RSUs or the Dividend Equivalents, including, but not limited to, the grant, vesting or settlement of the RSUs, the subsequent sale of Shares acquired pursuant to such settlement and the receipt or payment of any dividends or any Dividend Equivalents and (2) do not commit to and are under no obligation to structure the terms of the grant or any aspect of the RSUs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56" w:lineRule="exact"/>
        <w:rPr>
          <w:rFonts w:ascii="Arial" w:cs="Arial" w:eastAsia="Arial" w:hAnsi="Arial"/>
          <w:sz w:val="18"/>
          <w:szCs w:val="18"/>
          <w:color w:val="auto"/>
        </w:rPr>
      </w:pPr>
    </w:p>
    <w:p>
      <w:pPr>
        <w:jc w:val="both"/>
        <w:ind w:left="968" w:hanging="320"/>
        <w:spacing w:after="0" w:line="254" w:lineRule="auto"/>
        <w:tabs>
          <w:tab w:leader="none" w:pos="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49" w:lineRule="exact"/>
        <w:rPr>
          <w:rFonts w:ascii="Arial" w:cs="Arial" w:eastAsia="Arial" w:hAnsi="Arial"/>
          <w:sz w:val="18"/>
          <w:szCs w:val="18"/>
          <w:color w:val="auto"/>
        </w:rPr>
      </w:pPr>
    </w:p>
    <w:p>
      <w:pPr>
        <w:ind w:left="1628" w:hanging="422"/>
        <w:spacing w:after="0" w:line="261" w:lineRule="auto"/>
        <w:tabs>
          <w:tab w:leader="none" w:pos="1628"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payable to Grantee by the Company and/or the Employer; or</w:t>
      </w:r>
    </w:p>
    <w:p>
      <w:pPr>
        <w:spacing w:after="0" w:line="143" w:lineRule="exact"/>
        <w:rPr>
          <w:rFonts w:ascii="Arial" w:cs="Arial" w:eastAsia="Arial" w:hAnsi="Arial"/>
          <w:sz w:val="18"/>
          <w:szCs w:val="18"/>
          <w:color w:val="auto"/>
        </w:rPr>
      </w:pPr>
    </w:p>
    <w:p>
      <w:pPr>
        <w:jc w:val="both"/>
        <w:ind w:left="1628" w:hanging="462"/>
        <w:spacing w:after="0" w:line="256" w:lineRule="auto"/>
        <w:tabs>
          <w:tab w:leader="none" w:pos="1628"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upon vesting/settlement of the RSU either through a voluntary sale or through a mandatory sale arranged by the Company (on Grantee’s behalf pursuant to this authorization); or</w:t>
      </w:r>
    </w:p>
    <w:p>
      <w:pPr>
        <w:spacing w:after="0" w:line="147" w:lineRule="exact"/>
        <w:rPr>
          <w:rFonts w:ascii="Arial" w:cs="Arial" w:eastAsia="Arial" w:hAnsi="Arial"/>
          <w:sz w:val="18"/>
          <w:szCs w:val="18"/>
          <w:color w:val="auto"/>
        </w:rPr>
      </w:pPr>
    </w:p>
    <w:p>
      <w:pPr>
        <w:ind w:left="1628" w:hanging="502"/>
        <w:spacing w:after="0"/>
        <w:tabs>
          <w:tab w:leader="none" w:pos="1628"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in Shares to be issued pursuant to the RSUs.</w:t>
      </w:r>
    </w:p>
    <w:p>
      <w:pPr>
        <w:spacing w:after="0" w:line="171" w:lineRule="exact"/>
        <w:rPr>
          <w:rFonts w:ascii="Arial" w:cs="Arial" w:eastAsia="Arial" w:hAnsi="Arial"/>
          <w:sz w:val="18"/>
          <w:szCs w:val="18"/>
          <w:color w:val="auto"/>
        </w:rPr>
      </w:pPr>
    </w:p>
    <w:p>
      <w:pPr>
        <w:jc w:val="both"/>
        <w:ind w:left="968" w:hanging="320"/>
        <w:spacing w:after="0" w:line="256" w:lineRule="auto"/>
        <w:tabs>
          <w:tab w:leader="none" w:pos="9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Section 16(b) above or Section 16(g) below, if Grantee is subject to the reporting requirements of Section 16(a) of the Exchange Act, then any applicable withholding obligations will be satisfied by withholding in Shares to be issued pursuant to</w:t>
      </w:r>
    </w:p>
    <w:p>
      <w:pPr>
        <w:sectPr>
          <w:pgSz w:w="11900" w:h="16838" w:orient="portrait"/>
          <w:cols w:equalWidth="0" w:num="1">
            <w:col w:w="10908"/>
          </w:cols>
          <w:pgMar w:left="652"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color w:val="auto"/>
        </w:rPr>
        <w:t>the RSUs, unless such withholding is not feasible under applicable tax or securities law or has materially adverse accounting consequences, in which case, the Company may satisfy any withholding obligations for Tax-Related Items in accordance with Section 16(b)(i) or (ii).</w:t>
      </w:r>
    </w:p>
    <w:p>
      <w:pPr>
        <w:spacing w:after="0" w:line="148" w:lineRule="exact"/>
        <w:rPr>
          <w:sz w:val="20"/>
          <w:szCs w:val="20"/>
          <w:color w:val="auto"/>
        </w:rPr>
      </w:pPr>
    </w:p>
    <w:p>
      <w:pPr>
        <w:jc w:val="both"/>
        <w:ind w:left="1300" w:hanging="320"/>
        <w:spacing w:after="0" w:line="252"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Section 17.2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 the Common Stock equivalent or (ii) minimum rates or such other applicable rates, in which case Grantee may be solely responsible for paying any additional Tax-Related Items to the applicable tax authorities.</w:t>
      </w:r>
    </w:p>
    <w:p>
      <w:pPr>
        <w:spacing w:after="0" w:line="154"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obligation for Tax-Related Items is satisfied by withholding in Shares, for tax purposes, Grantee is deemed to have been issued the full number of Shares subject to the vested RSUs, notwithstanding that a number of the Shares is held back solely for the purpose of paying the Tax-Related Items.</w:t>
      </w:r>
    </w:p>
    <w:p>
      <w:pPr>
        <w:spacing w:after="0" w:line="147" w:lineRule="exact"/>
        <w:rPr>
          <w:rFonts w:ascii="Arial" w:cs="Arial" w:eastAsia="Arial" w:hAnsi="Arial"/>
          <w:sz w:val="18"/>
          <w:szCs w:val="18"/>
          <w:color w:val="auto"/>
        </w:rPr>
      </w:pPr>
    </w:p>
    <w:p>
      <w:pPr>
        <w:ind w:left="1300" w:hanging="320"/>
        <w:spacing w:after="0" w:line="261" w:lineRule="auto"/>
        <w:tabs>
          <w:tab w:leader="none" w:pos="12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may refuse to issue or deliver the Shares or the proceeds of the sale of Shares, if Grantee fails to comply with Grantee’s obligations in connection with the Tax-Related Items.</w:t>
      </w:r>
    </w:p>
    <w:p>
      <w:pPr>
        <w:spacing w:after="0" w:line="143" w:lineRule="exact"/>
        <w:rPr>
          <w:rFonts w:ascii="Arial" w:cs="Arial" w:eastAsia="Arial" w:hAnsi="Arial"/>
          <w:sz w:val="18"/>
          <w:szCs w:val="18"/>
          <w:color w:val="auto"/>
        </w:rPr>
      </w:pPr>
    </w:p>
    <w:p>
      <w:pPr>
        <w:jc w:val="both"/>
        <w:ind w:left="1300" w:hanging="320"/>
        <w:spacing w:after="0" w:line="251"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the extent that a withholding obligation for Tax-Related Items arises prior to the scheduled Vesting Date or such other vesting event hereunder, the Company may accelerate the vesting of RSUs to the extent necessary to satisfy such Tax-Related Items in the manner set forth in Section 16(b)(ii) or (iii). However, notwithstanding anything in this Section 16 to the contrary, to the extent that the RSUs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RSUs effected to cover Tax-Related Items pursuant to this Section 16(g) shall apply only to the applicable number of RSUs and not to any associated Dividend Equivalents thereon, which shall remain subject to vesting on the dates or events set forth in Section 4 and payable pursuant to Section 6 of this Agreement.</w:t>
      </w:r>
    </w:p>
    <w:p>
      <w:pPr>
        <w:spacing w:after="0" w:line="135"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 electronic 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 form, of Grantee’s personal data as described in this Agreement and any other RSU grant materials (“Data”) by and among, as applicable, the Company and its other Subsidiaries and Affiliates for the exclusive purpose of implementing, administering and managing Grantee’s participation in the Plan.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Grantee understands that the Company may hold certain personal information about Grantee, including, but not limited to, Grantee’s name, home address, email address, telephone number, date of birth, social insurance number, passport or other identification number, salary, nationality, job title, any Shares of stock or directorships held in the Company, details of all RSUs or any other entitlement to Shares awarded, canceled, exercised, vested, unvested or outstanding in Grantee’s favor, for the exclusive purpose of implementing, administering and managing the Plan.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 management of the Plan. Grantee understands that the recipients of the Data may be located in the U.S. or elsewhere, and that the recipients’ country (e.g., the U.S.) may have different data privacy laws</w:t>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and protections than Grantee’s country. Grantee understands that he or she may request a list with the names and addresses of any potential recipients of the Data by contacting his or her local human resources representative. Grantee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will not be adversely affected; the only consequence of refusing or withdrawing Grantee’s consent is that the Company would not be able to grant RSUs or other equity awards to Grantee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129" w:lineRule="exact"/>
        <w:rPr>
          <w:sz w:val="20"/>
          <w:szCs w:val="20"/>
          <w:color w:val="auto"/>
        </w:rPr>
      </w:pPr>
    </w:p>
    <w:p>
      <w:pPr>
        <w:jc w:val="both"/>
        <w:ind w:left="660" w:hanging="328"/>
        <w:spacing w:after="0" w:line="262"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122"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Insider Trading/Market Abuse Restrictions</w:t>
      </w:r>
      <w:r>
        <w:rPr>
          <w:rFonts w:ascii="Arial" w:cs="Arial" w:eastAsia="Arial" w:hAnsi="Arial"/>
          <w:sz w:val="18"/>
          <w:szCs w:val="18"/>
          <w:color w:val="auto"/>
        </w:rPr>
        <w:t>. Grantee may be subject to insider trading restriction and/or market abuse laws in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jurisdictions including, but not limited to, the U.S. and Grantee’s country of residence, which may affect Grantee’s ability to accept, acquire sell or otherwise dispose of Shares or rights to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RSUs)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28"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Foreign Asset / Account or Tax Reporting; Exchange Control</w:t>
      </w:r>
      <w:r>
        <w:rPr>
          <w:rFonts w:ascii="Arial" w:cs="Arial" w:eastAsia="Arial" w:hAnsi="Arial"/>
          <w:sz w:val="18"/>
          <w:szCs w:val="18"/>
          <w:color w:val="auto"/>
        </w:rPr>
        <w:t>. Grantee acknowledges that there may be certain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30"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Electronic Delivery and Participation</w:t>
      </w:r>
      <w:r>
        <w:rPr>
          <w:rFonts w:ascii="Arial" w:cs="Arial" w:eastAsia="Arial" w:hAnsi="Arial"/>
          <w:sz w:val="18"/>
          <w:szCs w:val="18"/>
          <w:color w:val="auto"/>
        </w:rPr>
        <w:t>. The Company may, in its sole discretion, decide to deliver any documents related to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w:t>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8"/>
        <w:spacing w:after="0" w:line="261" w:lineRule="auto"/>
        <w:rPr>
          <w:sz w:val="20"/>
          <w:szCs w:val="20"/>
          <w:color w:val="auto"/>
        </w:rPr>
      </w:pPr>
      <w:r>
        <w:rPr>
          <w:rFonts w:ascii="Arial" w:cs="Arial" w:eastAsia="Arial" w:hAnsi="Arial"/>
          <w:sz w:val="18"/>
          <w:szCs w:val="18"/>
          <w:color w:val="auto"/>
        </w:rPr>
        <w:t>representative, Grantee and the Company agree that this RSU is granted under and governed by the terms and conditions of the Plan and this Agreement.</w:t>
      </w:r>
    </w:p>
    <w:p>
      <w:pPr>
        <w:spacing w:after="0" w:line="122" w:lineRule="exact"/>
        <w:rPr>
          <w:sz w:val="20"/>
          <w:szCs w:val="20"/>
          <w:color w:val="auto"/>
        </w:rPr>
      </w:pPr>
    </w:p>
    <w:p>
      <w:pPr>
        <w:jc w:val="both"/>
        <w:ind w:left="328" w:hanging="328"/>
        <w:spacing w:after="0" w:line="259"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Notwithstanding any provisions in this Agreement, the RSU grant shall be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terms and conditions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 for Grantee’s country. Moreover, if Grantee relocates to one of the countries included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constitutes part of this Agreement.</w:t>
      </w:r>
    </w:p>
    <w:p>
      <w:pPr>
        <w:spacing w:after="0" w:line="125"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Grantee acknowledges that he or she is sufficiently proficient in English, or has consulted with an advisor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Imposition of Other Requirements</w:t>
      </w:r>
      <w:r>
        <w:rPr>
          <w:rFonts w:ascii="Arial" w:cs="Arial" w:eastAsia="Arial" w:hAnsi="Arial"/>
          <w:sz w:val="18"/>
          <w:szCs w:val="18"/>
          <w:color w:val="auto"/>
        </w:rPr>
        <w:t>. The Company reserves the right to impose other requirements on Grantee’s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on the RSUs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22" w:lineRule="exact"/>
        <w:rPr>
          <w:rFonts w:ascii="Arial" w:cs="Arial" w:eastAsia="Arial" w:hAnsi="Arial"/>
          <w:sz w:val="18"/>
          <w:szCs w:val="18"/>
          <w:color w:val="auto"/>
        </w:rPr>
      </w:pPr>
    </w:p>
    <w:p>
      <w:pPr>
        <w:jc w:val="both"/>
        <w:ind w:left="328" w:hanging="328"/>
        <w:spacing w:after="0" w:line="254"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Except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the RSU grant and the provisions of this Agreement and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RSUs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rFonts w:ascii="Arial" w:cs="Arial" w:eastAsia="Arial" w:hAnsi="Arial"/>
          <w:sz w:val="18"/>
          <w:szCs w:val="18"/>
          <w:color w:val="auto"/>
        </w:rPr>
      </w:pPr>
    </w:p>
    <w:p>
      <w:pPr>
        <w:ind w:left="328" w:hanging="328"/>
        <w:spacing w:after="0" w:line="287" w:lineRule="auto"/>
        <w:tabs>
          <w:tab w:leader="none" w:pos="316"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are severable and if any one or more provisions are determined to be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unenforceable, in whole or in part, the remaining provisions shall nevertheless be binding and enforceable.</w:t>
      </w:r>
    </w:p>
    <w:p>
      <w:pPr>
        <w:spacing w:after="0" w:line="98"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Grantee acknowledges that a waiver by the Company of any provision, or breach thereof, of this Agreement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16" w:lineRule="exact"/>
        <w:rPr>
          <w:rFonts w:ascii="Arial" w:cs="Arial" w:eastAsia="Arial" w:hAnsi="Arial"/>
          <w:sz w:val="18"/>
          <w:szCs w:val="18"/>
          <w:color w:val="auto"/>
        </w:rPr>
      </w:pPr>
    </w:p>
    <w:p>
      <w:pPr>
        <w:ind w:left="328" w:right="20" w:hanging="328"/>
        <w:spacing w:after="0" w:line="287"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Pronouns; Including</w:t>
      </w:r>
      <w:r>
        <w:rPr>
          <w:rFonts w:ascii="Arial" w:cs="Arial" w:eastAsia="Arial" w:hAnsi="Arial"/>
          <w:sz w:val="18"/>
          <w:szCs w:val="18"/>
          <w:color w:val="auto"/>
        </w:rPr>
        <w:t>. Wherever appropriate in this Agreement, personal pronouns shall be deemed to include the other genders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singular to include the plural. Wherever used in this Agreement, the term “including” means “including, without limitation.”</w:t>
      </w:r>
    </w:p>
    <w:p>
      <w:pPr>
        <w:spacing w:after="0" w:line="98"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Successors in Interest</w:t>
      </w:r>
      <w:r>
        <w:rPr>
          <w:rFonts w:ascii="Arial" w:cs="Arial" w:eastAsia="Arial" w:hAnsi="Arial"/>
          <w:sz w:val="18"/>
          <w:szCs w:val="18"/>
          <w:color w:val="auto"/>
        </w:rPr>
        <w:t>. This Agreement shall inure to the benefit of, and be binding upon, the Company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whether by merger, consolidation, reorganization, sale of assets, or otherwise. This Agreement shall inure to the benefit of Grantee’s legal representatives. All obligations imposed upon Grantee and all rights granted to the Company</w:t>
      </w:r>
    </w:p>
    <w:p>
      <w:pPr>
        <w:sectPr>
          <w:pgSz w:w="11900" w:h="16838" w:orient="portrait"/>
          <w:cols w:equalWidth="0" w:num="1">
            <w:col w:w="10908"/>
          </w:cols>
          <w:pgMar w:left="652"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this Agreement shall be final, binding, and conclusive upon Grantee’s heirs, executors, administrators, and successors.</w:t>
      </w:r>
    </w:p>
    <w:p>
      <w:pPr>
        <w:spacing w:after="0" w:line="149" w:lineRule="exact"/>
        <w:rPr>
          <w:sz w:val="20"/>
          <w:szCs w:val="20"/>
          <w:color w:val="auto"/>
        </w:rPr>
      </w:pPr>
    </w:p>
    <w:p>
      <w:pPr>
        <w:jc w:val="both"/>
        <w:ind w:left="660" w:hanging="328"/>
        <w:spacing w:after="0" w:line="259" w:lineRule="auto"/>
        <w:tabs>
          <w:tab w:leader="none" w:pos="653"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Agreement, along with any Exhibit hereto, encompasses the entire agreement of the parties related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matter of this Agreement, and supersedes all previous understandings and agreements between them, whether oral or written, except as otherwise described specifically in </w:t>
      </w:r>
      <w:r>
        <w:rPr>
          <w:rFonts w:ascii="Arial" w:cs="Arial" w:eastAsia="Arial" w:hAnsi="Arial"/>
          <w:sz w:val="18"/>
          <w:szCs w:val="18"/>
          <w:u w:val="single" w:color="auto"/>
          <w:color w:val="auto"/>
        </w:rPr>
        <w:t>Exhibit C</w:t>
      </w:r>
      <w:r>
        <w:rPr>
          <w:rFonts w:ascii="Arial" w:cs="Arial" w:eastAsia="Arial" w:hAnsi="Arial"/>
          <w:sz w:val="18"/>
          <w:szCs w:val="18"/>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3"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Committee shall have the sole and absolute authority to interpret, construe and apply the terms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to make any and all determinations under them. Any determination or decision by the Committee shall be final, binding and conclusive upon Grantee, Grantee’s legal representative and the Company for all purposes.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By completing the online acceptance process, Grantee accepts the grant of RSUs and agrees to all the terms and conditions described in this Agreement and in the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STOCK OWNERSHIP GUIDELINES AND RETENTION REQUIREMENT</w:t>
      </w:r>
    </w:p>
    <w:p>
      <w:pPr>
        <w:spacing w:after="0" w:line="200" w:lineRule="exact"/>
        <w:rPr>
          <w:sz w:val="20"/>
          <w:szCs w:val="20"/>
          <w:color w:val="auto"/>
        </w:rPr>
      </w:pPr>
    </w:p>
    <w:p>
      <w:pPr>
        <w:spacing w:after="0" w:line="398"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48" w:lineRule="exact"/>
        <w:rPr>
          <w:sz w:val="20"/>
          <w:szCs w:val="20"/>
          <w:color w:val="auto"/>
        </w:rPr>
      </w:pPr>
    </w:p>
    <w:p>
      <w:pPr>
        <w:jc w:val="both"/>
        <w:ind w:firstLine="635"/>
        <w:spacing w:after="0" w:line="261" w:lineRule="auto"/>
        <w:rPr>
          <w:sz w:val="20"/>
          <w:szCs w:val="20"/>
          <w:color w:val="auto"/>
        </w:rPr>
      </w:pPr>
      <w:r>
        <w:rPr>
          <w:rFonts w:ascii="Arial" w:cs="Arial" w:eastAsia="Arial" w:hAnsi="Arial"/>
          <w:sz w:val="18"/>
          <w:szCs w:val="18"/>
          <w:color w:val="auto"/>
        </w:rPr>
        <w:t>Your stock ownership level and retention requirements are set forth below based on the Grantee Level stated on the first page of this Agreement.</w:t>
      </w:r>
    </w:p>
    <w:p>
      <w:pPr>
        <w:sectPr>
          <w:pgSz w:w="11900" w:h="16838" w:orient="portrait"/>
          <w:cols w:equalWidth="0" w:num="1">
            <w:col w:w="11240"/>
          </w:cols>
          <w:pgMar w:left="320"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w w:val="98"/>
              </w:rPr>
              <w:t>Grantee Level / Title</w:t>
            </w:r>
          </w:p>
        </w:tc>
        <w:tc>
          <w:tcPr>
            <w:tcW w:w="2800" w:type="dxa"/>
            <w:vAlign w:val="bottom"/>
          </w:tcPr>
          <w:p>
            <w:pPr>
              <w:spacing w:after="0"/>
              <w:rPr>
                <w:sz w:val="17"/>
                <w:szCs w:val="17"/>
                <w:color w:val="auto"/>
              </w:rPr>
            </w:pPr>
          </w:p>
        </w:tc>
        <w:tc>
          <w:tcPr>
            <w:tcW w:w="3680" w:type="dxa"/>
            <w:vAlign w:val="bottom"/>
            <w:gridSpan w:val="5"/>
          </w:tcPr>
          <w:p>
            <w:pPr>
              <w:jc w:val="center"/>
              <w:ind w:left="630"/>
              <w:spacing w:after="0"/>
              <w:rPr>
                <w:sz w:val="20"/>
                <w:szCs w:val="20"/>
                <w:color w:val="auto"/>
              </w:rPr>
            </w:pPr>
            <w:r>
              <w:rPr>
                <w:rFonts w:ascii="Arial" w:cs="Arial" w:eastAsia="Arial" w:hAnsi="Arial"/>
                <w:sz w:val="18"/>
                <w:szCs w:val="18"/>
                <w:color w:val="auto"/>
                <w:w w:val="99"/>
              </w:rPr>
              <w:t>Ownership Multiple of Annual Base</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w w:val="99"/>
              </w:rPr>
              <w:t>Retention Requirement Percentag</w:t>
            </w:r>
          </w:p>
        </w:tc>
      </w:tr>
      <w:tr>
        <w:trPr>
          <w:trHeight w:val="183"/>
        </w:trPr>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4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9"/>
              </w:rPr>
              <w:t>Salar</w:t>
            </w: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77"/>
        </w:trPr>
        <w:tc>
          <w:tcPr>
            <w:tcW w:w="140" w:type="dxa"/>
            <w:vAlign w:val="bottom"/>
          </w:tcPr>
          <w:p>
            <w:pPr>
              <w:spacing w:after="0"/>
              <w:rPr>
                <w:sz w:val="20"/>
                <w:szCs w:val="20"/>
                <w:color w:val="auto"/>
              </w:rPr>
            </w:pPr>
            <w:r>
              <w:rPr>
                <w:rFonts w:ascii="Arial" w:cs="Arial" w:eastAsia="Arial" w:hAnsi="Arial"/>
                <w:sz w:val="18"/>
                <w:szCs w:val="18"/>
                <w:color w:val="auto"/>
              </w:rPr>
              <w:t>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 CEO</w:t>
            </w:r>
          </w:p>
        </w:tc>
        <w:tc>
          <w:tcPr>
            <w:tcW w:w="198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jc w:val="center"/>
              <w:ind w:left="89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4"/>
                <w:szCs w:val="24"/>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1</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 Other Named Executive Officers (NEOs)</w:t>
            </w:r>
          </w:p>
        </w:tc>
        <w:tc>
          <w:tcPr>
            <w:tcW w:w="2400" w:type="dxa"/>
            <w:vAlign w:val="bottom"/>
            <w:gridSpan w:val="2"/>
          </w:tcPr>
          <w:p>
            <w:pPr>
              <w:jc w:val="center"/>
              <w:ind w:left="189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tcPr>
          <w:p>
            <w:pPr>
              <w:jc w:val="center"/>
              <w:ind w:left="89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2"/>
                <w:szCs w:val="22"/>
                <w:color w:val="auto"/>
              </w:rPr>
            </w:pPr>
          </w:p>
        </w:tc>
      </w:tr>
      <w:tr>
        <w:trPr>
          <w:trHeight w:val="256"/>
        </w:trPr>
        <w:tc>
          <w:tcPr>
            <w:tcW w:w="140" w:type="dxa"/>
            <w:vAlign w:val="bottom"/>
          </w:tcPr>
          <w:p>
            <w:pPr>
              <w:spacing w:after="0"/>
              <w:rPr>
                <w:sz w:val="20"/>
                <w:szCs w:val="20"/>
                <w:color w:val="auto"/>
              </w:rPr>
            </w:pPr>
            <w:r>
              <w:rPr>
                <w:rFonts w:ascii="Arial" w:cs="Arial" w:eastAsia="Arial" w:hAnsi="Arial"/>
                <w:sz w:val="18"/>
                <w:szCs w:val="18"/>
                <w:color w:val="auto"/>
              </w:rPr>
              <w:t>2</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 Senior Vice Presidents (other than NEOs)</w:t>
            </w:r>
          </w:p>
        </w:tc>
        <w:tc>
          <w:tcPr>
            <w:tcW w:w="2400" w:type="dxa"/>
            <w:vAlign w:val="bottom"/>
            <w:gridSpan w:val="2"/>
          </w:tcPr>
          <w:p>
            <w:pPr>
              <w:jc w:val="center"/>
              <w:ind w:left="189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tcPr>
          <w:p>
            <w:pPr>
              <w:jc w:val="center"/>
              <w:ind w:left="890"/>
              <w:spacing w:after="0"/>
              <w:rPr>
                <w:sz w:val="20"/>
                <w:szCs w:val="20"/>
                <w:color w:val="auto"/>
              </w:rPr>
            </w:pPr>
            <w:r>
              <w:rPr>
                <w:rFonts w:ascii="Arial" w:cs="Arial" w:eastAsia="Arial" w:hAnsi="Arial"/>
                <w:sz w:val="18"/>
                <w:szCs w:val="18"/>
                <w:color w:val="auto"/>
                <w:w w:val="99"/>
              </w:rPr>
              <w:t>50%</w:t>
            </w:r>
          </w:p>
        </w:tc>
        <w:tc>
          <w:tcPr>
            <w:tcW w:w="880" w:type="dxa"/>
            <w:vAlign w:val="bottom"/>
          </w:tcPr>
          <w:p>
            <w:pPr>
              <w:spacing w:after="0"/>
              <w:rPr>
                <w:sz w:val="22"/>
                <w:szCs w:val="22"/>
                <w:color w:val="auto"/>
              </w:rPr>
            </w:pPr>
          </w:p>
        </w:tc>
      </w:tr>
      <w:tr>
        <w:trPr>
          <w:trHeight w:val="257"/>
        </w:trPr>
        <w:tc>
          <w:tcPr>
            <w:tcW w:w="140" w:type="dxa"/>
            <w:vAlign w:val="bottom"/>
          </w:tcPr>
          <w:p>
            <w:pPr>
              <w:spacing w:after="0"/>
              <w:rPr>
                <w:sz w:val="20"/>
                <w:szCs w:val="20"/>
                <w:color w:val="auto"/>
              </w:rPr>
            </w:pPr>
            <w:r>
              <w:rPr>
                <w:rFonts w:ascii="Arial" w:cs="Arial" w:eastAsia="Arial" w:hAnsi="Arial"/>
                <w:sz w:val="18"/>
                <w:szCs w:val="18"/>
                <w:color w:val="auto"/>
              </w:rPr>
              <w:t>3</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 All Other Associates/Participants</w:t>
            </w:r>
          </w:p>
        </w:tc>
        <w:tc>
          <w:tcPr>
            <w:tcW w:w="2400" w:type="dxa"/>
            <w:vAlign w:val="bottom"/>
            <w:gridSpan w:val="2"/>
          </w:tcPr>
          <w:p>
            <w:pPr>
              <w:jc w:val="center"/>
              <w:ind w:left="189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tcPr>
          <w:p>
            <w:pPr>
              <w:jc w:val="center"/>
              <w:ind w:left="870"/>
              <w:spacing w:after="0"/>
              <w:rPr>
                <w:sz w:val="20"/>
                <w:szCs w:val="20"/>
                <w:color w:val="auto"/>
              </w:rPr>
            </w:pPr>
            <w:r>
              <w:rPr>
                <w:rFonts w:ascii="Arial" w:cs="Arial" w:eastAsia="Arial" w:hAnsi="Arial"/>
                <w:sz w:val="18"/>
                <w:szCs w:val="18"/>
                <w:color w:val="auto"/>
                <w:w w:val="99"/>
              </w:rPr>
              <w:t>0%</w:t>
            </w:r>
          </w:p>
        </w:tc>
        <w:tc>
          <w:tcPr>
            <w:tcW w:w="8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FOR GRANTEES OUTSIDE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additional terms and conditions that govern the RSUs granted to Grantee under the Plan if Grantee resides in one of the countries listed below. These terms and conditions are in addition to, or if so indicated, in place of the terms and conditions in the Agreement. If Grantee is a citizen or resident of a country other than the one in which he or she is currently working, transferred employment and/or residency after the RSUs were granted, or is considered a resident of another country for local law purposes, the Company shall, in its discretion, determine to what extent the terms and conditions contained herein shall be applicable to Grantee.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 countries as of October 2020. Such laws are often complex and change frequently. As a result, the Company strongly recommends that Grantee not rely on the information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the only source of information relating to the consequences of Grantee’s participation in the Plan because the information may be out of date at the time that the RSUs vest or Grantee sells Shares.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Grantee is a citizen or resident of a country other than the one in which he or she is currently working, transferred employment and/or residency after the RSUs were granted, or is considered a resident of another country for local law purposes, the notifications contained herein may not be applicable to Grantee.</w:t>
      </w:r>
    </w:p>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00"/>
        <w:spacing w:after="0"/>
        <w:rPr>
          <w:sz w:val="20"/>
          <w:szCs w:val="20"/>
          <w:color w:val="auto"/>
        </w:rPr>
      </w:pPr>
      <w:r>
        <w:rPr>
          <w:rFonts w:ascii="Arial" w:cs="Arial" w:eastAsia="Arial" w:hAnsi="Arial"/>
          <w:sz w:val="17"/>
          <w:szCs w:val="17"/>
          <w:color w:val="auto"/>
        </w:rPr>
        <w:t xml:space="preserve">Certain capitalized terms used but not defined in this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the meanings set forth in the Plan and the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EUROPEAN UNION/EUROPEAN ECONOMIC AREA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United Kingdom)</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The provisions below replace Section 17 of the Agreement if Grantee is located in the European Union/European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Area (including the United Kingdom).</w:t>
      </w:r>
    </w:p>
    <w:p>
      <w:pPr>
        <w:spacing w:after="0" w:line="99" w:lineRule="exact"/>
        <w:rPr>
          <w:sz w:val="20"/>
          <w:szCs w:val="20"/>
          <w:color w:val="auto"/>
        </w:rPr>
      </w:pPr>
    </w:p>
    <w:p>
      <w:pPr>
        <w:jc w:val="both"/>
        <w:ind w:left="1300" w:hanging="410"/>
        <w:spacing w:after="0" w:line="252"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RSUs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139" w:lineRule="exact"/>
        <w:rPr>
          <w:rFonts w:ascii="Arial" w:cs="Arial" w:eastAsia="Arial" w:hAnsi="Arial"/>
          <w:sz w:val="18"/>
          <w:szCs w:val="18"/>
          <w:color w:val="auto"/>
        </w:rPr>
      </w:pPr>
    </w:p>
    <w:p>
      <w:pPr>
        <w:jc w:val="both"/>
        <w:ind w:left="1300" w:hanging="450"/>
        <w:spacing w:after="0" w:line="255"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26" w:lineRule="exact"/>
        <w:rPr>
          <w:rFonts w:ascii="Arial" w:cs="Arial" w:eastAsia="Arial" w:hAnsi="Arial"/>
          <w:sz w:val="18"/>
          <w:szCs w:val="18"/>
          <w:color w:val="auto"/>
        </w:rPr>
      </w:pPr>
    </w:p>
    <w:p>
      <w:pPr>
        <w:jc w:val="both"/>
        <w:ind w:left="1300" w:hanging="490"/>
        <w:spacing w:after="0" w:line="25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Bank of America Merrill Lynch are based in the United State</w:t>
      </w:r>
      <w:r>
        <w:rPr>
          <w:rFonts w:ascii="Arial" w:cs="Arial" w:eastAsia="Arial" w:hAnsi="Arial"/>
          <w:sz w:val="18"/>
          <w:szCs w:val="18"/>
          <w:color w:val="auto"/>
        </w:rPr>
        <w:t>s</w:t>
      </w:r>
      <w:r>
        <w:rPr>
          <w:rFonts w:ascii="Arial" w:cs="Arial" w:eastAsia="Arial" w:hAnsi="Arial"/>
          <w:sz w:val="18"/>
          <w:szCs w:val="18"/>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w:t>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00" w:right="20"/>
        <w:spacing w:after="0" w:line="287" w:lineRule="auto"/>
        <w:rPr>
          <w:sz w:val="20"/>
          <w:szCs w:val="20"/>
          <w:color w:val="auto"/>
        </w:rPr>
      </w:pPr>
      <w:r>
        <w:rPr>
          <w:rFonts w:ascii="Arial" w:cs="Arial" w:eastAsia="Arial" w:hAnsi="Arial"/>
          <w:sz w:val="18"/>
          <w:szCs w:val="18"/>
          <w:b w:val="1"/>
          <w:bCs w:val="1"/>
          <w:i w:val="1"/>
          <w:iCs w:val="1"/>
          <w:color w:val="auto"/>
        </w:rPr>
        <w:t>substantive data processing principles or supervision by data protection authorities. In addition, Grantee might not have enforceable rights regarding the processing of his or her Personal Data in such countries.</w:t>
      </w:r>
    </w:p>
    <w:p>
      <w:pPr>
        <w:spacing w:after="0" w:line="9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i w:val="1"/>
          <w:iCs w:val="1"/>
          <w:color w:val="auto"/>
        </w:rPr>
        <w:t>The Company provides appropriate safeguards for protecting Personal Data that it receives in the United States through its adherence to EU Standard Contractual Clauses entered into between the Company and its Subsidiaries and Affiliates within the EU, the EEA and the United Kingdom. Grantee can ask for copies of such EU Standard Contractual Clauses using the following contact details: Rob Selker at rob.selker@eldoled.com, Loic Mrissa at lmrissa@distech-controls.com, or Ian Doyle at IDoyle@holophane.co.UK. Bank of America Merrill Lynch has not implemented appropriate safeguards such as the EU Standard Contractual Clauses. As a consequence, if Grantee is located in the EU, the EEA or the United Kingdom, Personal Data is transferred by the Company to Bank of America Merrill Lynch solely based on Grantee’s consent provided to the Company as follows: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 Section 17(c) above. Grantee understands that granting such consent is voluntary and that Grantee may, at any time and with future effect, refuse to provide such consent or withdraw such consent by contacting Rob Selker at rob.selker@eldoled.com, Loic Mrissa at lmrissa@distech-controls.com, or Ian Doyle at IDoyle@holophane.co.UK. If Grantee does not consent or later withdraws consent, Grantee’s employment status or service with the Employer will not be affected. The only consequence of not providing or withdrawing consent is that the Company would not be able to grant RSUs or other equity awards to Grantee or administer or maintain such awards. Therefore, Grantee understands that refusing or withdrawing consent may affect his or her ability to participate in the Plan. For more information on the consequences of refusal or withdrawal of consent, Grantee may contact Rob Selker at rob.selker@eldoled.com, Loic Mrissa at lmrissa@distech-controls.com, or Ian Doyle at IDoyle@holophane.co.UK.</w:t>
      </w:r>
    </w:p>
    <w:p>
      <w:pPr>
        <w:spacing w:after="0" w:line="131" w:lineRule="exact"/>
        <w:rPr>
          <w:sz w:val="20"/>
          <w:szCs w:val="20"/>
          <w:color w:val="auto"/>
        </w:rPr>
      </w:pPr>
    </w:p>
    <w:p>
      <w:pPr>
        <w:jc w:val="both"/>
        <w:ind w:left="1300" w:hanging="410"/>
        <w:spacing w:after="0" w:line="25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Retentio</w:t>
      </w:r>
      <w:r>
        <w:rPr>
          <w:rFonts w:ascii="Arial" w:cs="Arial" w:eastAsia="Arial" w:hAnsi="Arial"/>
          <w:sz w:val="18"/>
          <w:szCs w:val="18"/>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with the Employer.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128" w:lineRule="exact"/>
        <w:rPr>
          <w:rFonts w:ascii="Arial" w:cs="Arial" w:eastAsia="Arial" w:hAnsi="Arial"/>
          <w:sz w:val="18"/>
          <w:szCs w:val="18"/>
          <w:color w:val="auto"/>
        </w:rPr>
      </w:pPr>
    </w:p>
    <w:p>
      <w:pPr>
        <w:jc w:val="both"/>
        <w:ind w:left="1300" w:hanging="450"/>
        <w:spacing w:after="0" w:line="258"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 Personal Data the Company processes, (b) rectification of incorrect or incomplete data,</w:t>
      </w:r>
    </w:p>
    <w:p>
      <w:pPr>
        <w:spacing w:after="0" w:line="2"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8"/>
          <w:szCs w:val="18"/>
          <w:b w:val="1"/>
          <w:bCs w:val="1"/>
          <w:i w:val="1"/>
          <w:iCs w:val="1"/>
          <w:color w:val="auto"/>
        </w:rPr>
        <w:t>(c) deletion of data, (d) restrictions on processing, (e) 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129" w:lineRule="exact"/>
        <w:rPr>
          <w:rFonts w:ascii="Arial" w:cs="Arial" w:eastAsia="Arial" w:hAnsi="Arial"/>
          <w:sz w:val="18"/>
          <w:szCs w:val="18"/>
          <w:color w:val="auto"/>
        </w:rPr>
      </w:pPr>
    </w:p>
    <w:p>
      <w:pPr>
        <w:jc w:val="both"/>
        <w:ind w:left="1300" w:hanging="490"/>
        <w:spacing w:after="0" w:line="268"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Controller and Authorized EU Representative</w:t>
      </w:r>
      <w:r>
        <w:rPr>
          <w:rFonts w:ascii="Arial" w:cs="Arial" w:eastAsia="Arial" w:hAnsi="Arial"/>
          <w:sz w:val="18"/>
          <w:szCs w:val="18"/>
          <w:b w:val="1"/>
          <w:bCs w:val="1"/>
          <w:i w:val="1"/>
          <w:iCs w:val="1"/>
          <w:color w:val="auto"/>
        </w:rPr>
        <w:t>. The Company is the controller responsible for the processing of Grantee's Personal Data as described in this Section 17. The Company’s authorized representative in the EU is Rob Selker, eldoLED B.V., Science Park Eindhoven 5125, 5692 ED Son, The Netherlands, and</w:t>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Loic Mrissa, Distech Controls, ZAC de Sacuny, 558 avenue Marcel Mérieux Brignais, France.</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CANADA (Quebec Only)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Grantee acknowledges that it is the express wish of the parties that this Agreement, as well as all documents,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proceedings entered into, given or instituted pursuant hereto or relating directly or indirectly hereto, be written in English.</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Consentement linguistique</w:t>
      </w:r>
      <w:r>
        <w:rPr>
          <w:rFonts w:ascii="Arial" w:cs="Arial" w:eastAsia="Arial" w:hAnsi="Arial"/>
          <w:sz w:val="18"/>
          <w:szCs w:val="18"/>
          <w:i w:val="1"/>
          <w:iCs w:val="1"/>
          <w:color w:val="auto"/>
        </w:rPr>
        <w:t>. Le participant reconnaît que c’est son souhait exprès d’avoir exigé la rédaction en anglais de cette convention,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ainsi que de tous documents exécutés, avis donnés et procédures judiciaries intentées, directement ou indirectement, relativement à ou suite à la présente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The following provision supplements Section 17 of the Agreement: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any Subsidiary or Affiliate to disclose and discuss the Plan with their advisors. Grantee further authorizes the Company and any Subsidiary or Affiliate to record such information and to keep such information in Grantee’s employee file.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 (All Provinces, Including Quebec)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following provision supplements Section 4(c) of the Agreement: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Section 4(c) of the Agreement, if applicable employment standards legislation explicitly requires continued entitlement to vesting during a statutory notice period, Grantee’s right to vest in the RSUs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color w:val="auto"/>
        </w:rPr>
        <w:t>. Grantee acknowledges that he or she is permitted to sell the Shares acquired under the Plan through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Merrill Lynch or other such stock plan service provider as may be selected by the Company in the future, provided the sale of the Shares takes place outside of Canada through facilities of a stock exchange on which the Shares are listed. The Shares are currently listed on the New York Stock Exchange.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Canadian residents may be required to report foreign specified property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T1135 (Foreign Income Verification Statement) if the total cost of the foreign specified property exceeds C$100,000 at any time in the year. Foreign specified property includes Shares acquired under the Plan and may include the RSUs, and their cost generally is the adjusted cost base (“ACB”) of the Shares. The ACB ordinarily would equal the fair market value of the Shares at the time of acquisition, but if the Canadian resident owns other Shares, whether acquired under the Plan or outside of it, the ACB of Shares acquired pursuant to this Agreement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FRANCE</w:t>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Restricted Stock Units Not French-qualified</w:t>
      </w:r>
      <w:r>
        <w:rPr>
          <w:rFonts w:ascii="Arial" w:cs="Arial" w:eastAsia="Arial" w:hAnsi="Arial"/>
          <w:sz w:val="18"/>
          <w:szCs w:val="18"/>
          <w:color w:val="auto"/>
        </w:rPr>
        <w:t>. The RSUs granted under this Agreement are not intended to qualify for specific tax and</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security treatment pursuant to Sections L. 225-197-1 to L. 225-197-6 of the French Commercial Code, as amended.</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Language Consent</w:t>
      </w:r>
      <w:r>
        <w:rPr>
          <w:rFonts w:ascii="Arial" w:cs="Arial" w:eastAsia="Arial" w:hAnsi="Arial"/>
          <w:sz w:val="18"/>
          <w:szCs w:val="18"/>
          <w:color w:val="auto"/>
        </w:rPr>
        <w:t>. By accepting the grant, Grantee confirms having read and understood the Plan and Agreement which were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English language. Grantee accepts the terms of those documents accordingly.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Consentement linguistique</w:t>
      </w:r>
      <w:r>
        <w:rPr>
          <w:rFonts w:ascii="Arial" w:cs="Arial" w:eastAsia="Arial" w:hAnsi="Arial"/>
          <w:sz w:val="18"/>
          <w:szCs w:val="18"/>
          <w:i w:val="1"/>
          <w:iCs w:val="1"/>
          <w:color w:val="auto"/>
        </w:rPr>
        <w:t>. En acceptant l’attribution, le Participant confirme avoir lu et compris le Plan et le Contrat, qui ont été</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communiqués en langue anglaise. Le Participant accepte les termes de ces documents en connaissance de cause.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Foreign Asset and Account Reporting Information</w:t>
      </w:r>
      <w:r>
        <w:rPr>
          <w:rFonts w:ascii="Arial" w:cs="Arial" w:eastAsia="Arial" w:hAnsi="Arial"/>
          <w:sz w:val="18"/>
          <w:szCs w:val="18"/>
          <w:color w:val="auto"/>
        </w:rPr>
        <w:t>. French residents holding cash or Shares outside France must declare all foreign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brokerage accounts (including any accounts that were closed during the tax year) on an annual basis, together with their income tax return.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Bundesbank</w:t>
      </w:r>
      <w:r>
        <w:rPr>
          <w:rFonts w:ascii="Arial" w:cs="Arial" w:eastAsia="Arial" w:hAnsi="Arial"/>
          <w:sz w:val="18"/>
          <w:szCs w:val="18"/>
          <w:color w:val="auto"/>
        </w:rPr>
        <w:t xml:space="preserve">) by the fifth day of the month following the month in which the payment is received or made. If Grantee receives a payment in excess of € 12,500 in connection with the sale of Shares and/or the receipt of dividends or Dividends Equivalents, Grantee must report the payment to </w:t>
      </w:r>
      <w:r>
        <w:rPr>
          <w:rFonts w:ascii="Arial" w:cs="Arial" w:eastAsia="Arial" w:hAnsi="Arial"/>
          <w:sz w:val="18"/>
          <w:szCs w:val="18"/>
          <w:i w:val="1"/>
          <w:iCs w:val="1"/>
          <w:color w:val="auto"/>
        </w:rPr>
        <w:t>Bundesbank</w:t>
      </w:r>
      <w:r>
        <w:rPr>
          <w:rFonts w:ascii="Arial" w:cs="Arial" w:eastAsia="Arial" w:hAnsi="Arial"/>
          <w:sz w:val="18"/>
          <w:szCs w:val="18"/>
          <w:color w:val="auto"/>
        </w:rPr>
        <w:t xml:space="preserve">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xml:space="preserve">) available via </w:t>
      </w:r>
      <w:r>
        <w:rPr>
          <w:rFonts w:ascii="Arial" w:cs="Arial" w:eastAsia="Arial" w:hAnsi="Arial"/>
          <w:sz w:val="18"/>
          <w:szCs w:val="18"/>
          <w:i w:val="1"/>
          <w:iCs w:val="1"/>
          <w:color w:val="auto"/>
        </w:rPr>
        <w:t>Bundesbank</w:t>
      </w:r>
      <w:r>
        <w:rPr>
          <w:rFonts w:ascii="Arial" w:cs="Arial" w:eastAsia="Arial" w:hAnsi="Arial"/>
          <w:sz w:val="18"/>
          <w:szCs w:val="18"/>
          <w:color w:val="auto"/>
        </w:rPr>
        <w:t>’s website.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If Grantee’s acquisition of Shares under the Plan leads to a “qualified participation”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point during the calendar year, Grantee will need to report the acquisition of Shares when Grantee files his or her tax return for the relevant year. A qualified participation is attained if (i) the value of the Shares acquired exceeds €150,000 or (ii) the Shares held exceed 10% of the Company’s total Common Stock. However, provided the Common Stock is listed on a recognized stock exchange (</w:t>
      </w:r>
      <w:r>
        <w:rPr>
          <w:rFonts w:ascii="Arial" w:cs="Arial" w:eastAsia="Arial" w:hAnsi="Arial"/>
          <w:sz w:val="18"/>
          <w:szCs w:val="18"/>
          <w:i w:val="1"/>
          <w:iCs w:val="1"/>
          <w:color w:val="auto"/>
        </w:rPr>
        <w:t>e.g.</w:t>
      </w:r>
      <w:r>
        <w:rPr>
          <w:rFonts w:ascii="Arial" w:cs="Arial" w:eastAsia="Arial" w:hAnsi="Arial"/>
          <w:sz w:val="18"/>
          <w:szCs w:val="18"/>
          <w:color w:val="auto"/>
        </w:rPr>
        <w:t>, the New York Stock Exchange) and Grantee owns less than 1% of the Company, this requirement will not apply. Grantee should consult with his or her personal tax advisor to ensure Grantee complies with applicable reporting obligations.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Terms of Grant</w:t>
      </w:r>
      <w:r>
        <w:rPr>
          <w:rFonts w:ascii="Arial" w:cs="Arial" w:eastAsia="Arial" w:hAnsi="Arial"/>
          <w:sz w:val="18"/>
          <w:szCs w:val="18"/>
          <w:color w:val="auto"/>
        </w:rPr>
        <w:t>. By accepting the RSUs, Grantee acknowledges that (a) Grantee has received a copy of the Plan, the Agreement 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(b) Grantee has reviewed those documents in their entirety and fully understands the contents thereof; and (c) Grantee accepts all provisions of the Plan and the Agreement, including this </w:t>
      </w:r>
      <w:r>
        <w:rPr>
          <w:rFonts w:ascii="Arial" w:cs="Arial" w:eastAsia="Arial" w:hAnsi="Arial"/>
          <w:sz w:val="18"/>
          <w:szCs w:val="18"/>
          <w:u w:val="single" w:color="auto"/>
          <w:color w:val="auto"/>
        </w:rPr>
        <w:t>Exhibit B</w:t>
      </w:r>
      <w:r>
        <w:rPr>
          <w:rFonts w:ascii="Arial" w:cs="Arial" w:eastAsia="Arial" w:hAnsi="Arial"/>
          <w:sz w:val="18"/>
          <w:szCs w:val="18"/>
          <w:color w:val="auto"/>
        </w:rPr>
        <w:t>. Grantee further acknowledges that Grantee has read and specifically and expressly approves, without limitation, the following sections of the Agreement: Section 3 (Acceptance of Restricted Stock Unit Award); Section 4 (Vesting of Restricted Stock Unit Award); Section 13 (Grantee’s Representation); Section 14 (Confidentiality, Inventions, Non-Solicitation and Non-Competition); Section 15 (Nature of Grant); Section 16 (Responsibility for Taxes); Section 17 (Data Privacy); Section 19 (Insider Trading/Market Abuse Restrictions); Section 23 (Language) and Section 25 (Governing Law and 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Foreign Asset / Account Reporting Requirement</w:t>
      </w:r>
      <w:r>
        <w:rPr>
          <w:rFonts w:ascii="Arial" w:cs="Arial" w:eastAsia="Arial" w:hAnsi="Arial"/>
          <w:sz w:val="18"/>
          <w:szCs w:val="18"/>
          <w:color w:val="auto"/>
        </w:rPr>
        <w:t>. Italian residents who, during any fiscal year, hold investments or financial assets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Italy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cash, Shares) which may generate income taxable in Italy must report such investments or assets in their annual tax return or on a special form if no tax return is due. These reporting obligations also apply if an Italian resident is the beneficial owner of foreign financial assets under Italian money laundering provisions.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Labor Law Policy and Acknowledgment. </w:t>
      </w:r>
      <w:r>
        <w:rPr>
          <w:rFonts w:ascii="Arial" w:cs="Arial" w:eastAsia="Arial" w:hAnsi="Arial"/>
          <w:sz w:val="18"/>
          <w:szCs w:val="18"/>
          <w:color w:val="auto"/>
        </w:rPr>
        <w:t>By participating in the Plan, Grantee expressly recognizes that Acuity Brands Inc.,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at 1170 Peachtree Street, NE Suite 2300, Atlanta, GA 30309, U.S., is solely responsible for the administration of the Plan and that Grantee’s participation in the Plan and acquisition of Shares does not constitute a relationship as an Employee with the Company since Grantee is participating in the Plan on a wholly commercial basis and the sole Employer is a Subsidiary or Affiliate of the Company (“Acuity-Mexico”). Based on the foregoing, Grantee expressly recognizes that the Plan and the benefits that may be derived from participation in the Plan do not establish any rights between Grantee and the Employer, Acuity-Mexico, and do not form part of the employment conditions and/or benefits provided by Acuity-Mexico and any modification of the Plan or its termination shall not constitute a change or impairment of the terms and conditions of Grantee’s relationship as an Employee.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Grantee further understands that Grantee’s participation in the Plan is as a result of a unilateral and discretionary decision of the Company. Therefore, the Company reserves the absolute right to amend and/or discontinue Grantee’s participation at any time without any liability to Grantee.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 grants a full and broad release to the Company, the Employer, its Subsidiaries and Affiliates, branches, representation offices, its stockholders, officers, agents or legal representatives with respect to any claim that may arise.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Política de Ley Laboral y Reconocimiento. </w:t>
      </w:r>
      <w:r>
        <w:rPr>
          <w:rFonts w:ascii="Arial" w:cs="Arial" w:eastAsia="Arial" w:hAnsi="Arial"/>
          <w:sz w:val="18"/>
          <w:szCs w:val="18"/>
          <w:i w:val="1"/>
          <w:iCs w:val="1"/>
          <w:color w:val="auto"/>
        </w:rPr>
        <w:t>Participando en el Plan, el Participante reconoce expresamente 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Acuity Brands Inc.</w:t>
      </w:r>
      <w:r>
        <w:rPr>
          <w:rFonts w:ascii="Arial" w:cs="Arial" w:eastAsia="Arial" w:hAnsi="Arial"/>
          <w:sz w:val="18"/>
          <w:szCs w:val="18"/>
          <w:i w:val="1"/>
          <w:iCs w:val="1"/>
          <w:color w:val="auto"/>
        </w:rPr>
        <w:t>, con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oficinas registradas en 1170 Peachtree Street, NE Suite 2300, Atlanta, GA 30309, U.S., es el único responsable de la administración del Plan y que la participación del Participante en el mismo y la compra de acciones bursátiles no constituye de ninguna manera una relación laboral entre Usted y la Compañía dado que su participación en el Plan deriva únicamente de una relación comercial y que su único empleador es una Subsidiaria o Afiliada del la Compañía (“Acuity-Mexico”). Derivado de lo anterior, el Participante expresamente reconoce que el Plan y los beneficios que pudieran derivar del mismo no establecen ningún derecho entre el Participante y el empleador, Acuity-Mexico, y no forman parte de las condiciones laborales y/o prestaciones otorgadas por Acuity-Mexico, y cualquier modificación al Plan o la terminación del mismo no podrá ser interpretada como una modificación o degradación de los términos y condiciones de su trabajo.</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 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NETHERLANDS</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 specific provisions.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Issuance of Shares upon Vesting. </w:t>
      </w:r>
      <w:r>
        <w:rPr>
          <w:rFonts w:ascii="Arial" w:cs="Arial" w:eastAsia="Arial" w:hAnsi="Arial"/>
          <w:sz w:val="18"/>
          <w:szCs w:val="18"/>
          <w:color w:val="auto"/>
        </w:rPr>
        <w:t>The following supplements Section 6 of the Agreement: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anything to the contrary in the Plan or the Agreement, RSUs granted to Grantees resident in the United Kingdom (“U.K.”) shall be paid in Shares only.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Responsibility for Taxes. </w:t>
      </w:r>
      <w:r>
        <w:rPr>
          <w:rFonts w:ascii="Arial" w:cs="Arial" w:eastAsia="Arial" w:hAnsi="Arial"/>
          <w:sz w:val="18"/>
          <w:szCs w:val="18"/>
          <w:color w:val="auto"/>
        </w:rPr>
        <w:t>The following supplements Section 16 of the Agreement: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Without limitation to Section 16 of the Agreement, Grantee hereby agrees that he or she is liable for all Tax-Related Items and hereby covenants to pay all such Tax-Related Items, as and when requested by the Company, the Employer or by Her Majesty’s Revenue &amp; Customs (“HMRC”) (or any other tax authority or any other relevant authority). Grantee also hereby agrees to indemnify and keep indemnified the Company and (if different) the Employer against any Tax-Related Items that they are required to pay or withhold or have paid or will pay to HMRC (or any other tax authority or any other relevant authority) on Grantee’s behalf.</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 ninety (90) days of the end of the U.K. tax year in which an event giving rise to the Tax-Related Items occurs may constitute a benefit to Grantee on which additional income tax and National Insurance contributions (“NICs”) may be payable. Grantee understands that he or she will be responsible for reporting any income tax due on this additional benefit directly to HMRC under the self-assessment regime and for paying the Company or the Employer, as applicable, for the value of any employee NICs due on this additional benefit, which may be recovered from Grantee by the Company or the Employer at any time thereafter by any of the means referred to in Section 16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INVENTIONS, NON-SOLICITATION AND NON-COMPETITION PROVISIONS</w:t>
      </w:r>
    </w:p>
    <w:p>
      <w:pPr>
        <w:spacing w:after="0" w:line="171"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“Confidential Information” means the following:</w:t>
      </w:r>
    </w:p>
    <w:p>
      <w:pPr>
        <w:spacing w:after="0" w:line="193" w:lineRule="exact"/>
        <w:rPr>
          <w:rFonts w:ascii="Arial" w:cs="Arial" w:eastAsia="Arial" w:hAnsi="Arial"/>
          <w:sz w:val="18"/>
          <w:szCs w:val="18"/>
          <w:color w:val="auto"/>
        </w:rPr>
      </w:pPr>
    </w:p>
    <w:p>
      <w:pPr>
        <w:jc w:val="both"/>
        <w:ind w:left="1960" w:hanging="422"/>
        <w:spacing w:after="0" w:line="268" w:lineRule="auto"/>
        <w:tabs>
          <w:tab w:leader="none" w:pos="1960" w:val="left"/>
        </w:tabs>
        <w:numPr>
          <w:ilvl w:val="2"/>
          <w:numId w:val="86"/>
        </w:numPr>
        <w:rPr>
          <w:rFonts w:ascii="Arial" w:cs="Arial" w:eastAsia="Arial" w:hAnsi="Arial"/>
          <w:sz w:val="17"/>
          <w:szCs w:val="17"/>
          <w:color w:val="auto"/>
        </w:rPr>
      </w:pPr>
      <w:r>
        <w:rPr>
          <w:rFonts w:ascii="Arial" w:cs="Arial" w:eastAsia="Arial" w:hAnsi="Arial"/>
          <w:sz w:val="17"/>
          <w:szCs w:val="17"/>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80"/>
        <w:spacing w:after="0" w:line="251" w:lineRule="auto"/>
        <w:rPr>
          <w:sz w:val="20"/>
          <w:szCs w:val="20"/>
          <w:color w:val="auto"/>
        </w:rPr>
      </w:pPr>
      <w:r>
        <w:rPr>
          <w:rFonts w:ascii="Arial" w:cs="Arial" w:eastAsia="Arial" w:hAnsi="Arial"/>
          <w:sz w:val="18"/>
          <w:szCs w:val="18"/>
          <w:color w:val="auto"/>
        </w:rPr>
        <w:t>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55" w:lineRule="exact"/>
        <w:rPr>
          <w:sz w:val="20"/>
          <w:szCs w:val="20"/>
          <w:color w:val="auto"/>
        </w:rPr>
      </w:pPr>
    </w:p>
    <w:p>
      <w:pPr>
        <w:ind w:left="980" w:hanging="462"/>
        <w:spacing w:after="0"/>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Confidential Information shall not include:</w:t>
      </w:r>
    </w:p>
    <w:p>
      <w:pPr>
        <w:spacing w:after="0" w:line="171" w:lineRule="exact"/>
        <w:rPr>
          <w:rFonts w:ascii="Arial" w:cs="Arial" w:eastAsia="Arial" w:hAnsi="Arial"/>
          <w:sz w:val="18"/>
          <w:szCs w:val="18"/>
          <w:color w:val="auto"/>
        </w:rPr>
      </w:pPr>
    </w:p>
    <w:p>
      <w:pPr>
        <w:ind w:left="1600" w:hanging="304"/>
        <w:spacing w:after="0"/>
        <w:tabs>
          <w:tab w:leader="none" w:pos="16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Information generally available to the public other than as a result of improper disclosure by Grantee;</w:t>
      </w:r>
    </w:p>
    <w:p>
      <w:pPr>
        <w:spacing w:after="0" w:line="171" w:lineRule="exact"/>
        <w:rPr>
          <w:rFonts w:ascii="Arial" w:cs="Arial" w:eastAsia="Arial" w:hAnsi="Arial"/>
          <w:sz w:val="18"/>
          <w:szCs w:val="18"/>
          <w:color w:val="auto"/>
        </w:rPr>
      </w:pPr>
    </w:p>
    <w:p>
      <w:pPr>
        <w:ind w:left="1620" w:hanging="324"/>
        <w:spacing w:after="0" w:line="261" w:lineRule="auto"/>
        <w:tabs>
          <w:tab w:leader="none" w:pos="1608" w:val="left"/>
        </w:tabs>
        <w:numPr>
          <w:ilvl w:val="2"/>
          <w:numId w:val="87"/>
        </w:numPr>
        <w:rPr>
          <w:rFonts w:ascii="Arial" w:cs="Arial" w:eastAsia="Arial" w:hAnsi="Arial"/>
          <w:sz w:val="18"/>
          <w:szCs w:val="18"/>
          <w:color w:val="auto"/>
        </w:rPr>
      </w:pPr>
      <w:r>
        <w:rPr>
          <w:rFonts w:ascii="Arial" w:cs="Arial" w:eastAsia="Arial" w:hAnsi="Arial"/>
          <w:sz w:val="18"/>
          <w:szCs w:val="18"/>
          <w:color w:val="auto"/>
        </w:rPr>
        <w:t>Information that becomes available to Grantee from a source other than the Company (provided Grantee has no knowledge that such information was obtained from a source in breach of a duty to the Company);</w:t>
      </w:r>
    </w:p>
    <w:p>
      <w:pPr>
        <w:spacing w:after="0" w:line="143" w:lineRule="exact"/>
        <w:rPr>
          <w:rFonts w:ascii="Arial" w:cs="Arial" w:eastAsia="Arial" w:hAnsi="Arial"/>
          <w:sz w:val="18"/>
          <w:szCs w:val="18"/>
          <w:color w:val="auto"/>
        </w:rPr>
      </w:pPr>
    </w:p>
    <w:p>
      <w:pPr>
        <w:ind w:left="1620" w:hanging="324"/>
        <w:spacing w:after="0" w:line="261" w:lineRule="auto"/>
        <w:tabs>
          <w:tab w:leader="none" w:pos="1608" w:val="left"/>
        </w:tabs>
        <w:numPr>
          <w:ilvl w:val="2"/>
          <w:numId w:val="87"/>
        </w:numPr>
        <w:rPr>
          <w:rFonts w:ascii="Arial" w:cs="Arial" w:eastAsia="Arial" w:hAnsi="Arial"/>
          <w:sz w:val="18"/>
          <w:szCs w:val="18"/>
          <w:color w:val="auto"/>
        </w:rPr>
      </w:pPr>
      <w:r>
        <w:rPr>
          <w:rFonts w:ascii="Arial" w:cs="Arial" w:eastAsia="Arial" w:hAnsi="Arial"/>
          <w:sz w:val="18"/>
          <w:szCs w:val="18"/>
          <w:color w:val="auto"/>
        </w:rPr>
        <w:t>Information disclosed pursuant to law, regulations or pursuant to a subpoena, court order or legal process; and/or</w:t>
      </w:r>
    </w:p>
    <w:p>
      <w:pPr>
        <w:spacing w:after="0" w:line="143" w:lineRule="exact"/>
        <w:rPr>
          <w:rFonts w:ascii="Arial" w:cs="Arial" w:eastAsia="Arial" w:hAnsi="Arial"/>
          <w:sz w:val="18"/>
          <w:szCs w:val="18"/>
          <w:color w:val="auto"/>
        </w:rPr>
      </w:pPr>
    </w:p>
    <w:p>
      <w:pPr>
        <w:ind w:left="1600" w:hanging="304"/>
        <w:spacing w:after="0"/>
        <w:tabs>
          <w:tab w:leader="none" w:pos="16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Information obtained in filings with the Securities and Exchange Commission.</w:t>
      </w:r>
    </w:p>
    <w:p>
      <w:pPr>
        <w:spacing w:after="0" w:line="149" w:lineRule="exact"/>
        <w:rPr>
          <w:rFonts w:ascii="Arial" w:cs="Arial" w:eastAsia="Arial" w:hAnsi="Arial"/>
          <w:sz w:val="18"/>
          <w:szCs w:val="18"/>
          <w:color w:val="auto"/>
        </w:rPr>
      </w:pPr>
    </w:p>
    <w:p>
      <w:pPr>
        <w:ind w:left="320" w:hanging="320"/>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Georgia law, O.C.G.A. §§ 10-1-760, et seq.</w:t>
      </w:r>
    </w:p>
    <w:p>
      <w:pPr>
        <w:spacing w:after="0" w:line="171" w:lineRule="exact"/>
        <w:rPr>
          <w:rFonts w:ascii="Arial" w:cs="Arial" w:eastAsia="Arial" w:hAnsi="Arial"/>
          <w:sz w:val="18"/>
          <w:szCs w:val="18"/>
          <w:color w:val="auto"/>
        </w:rPr>
      </w:pPr>
    </w:p>
    <w:p>
      <w:pPr>
        <w:jc w:val="both"/>
        <w:ind w:left="320" w:hanging="320"/>
        <w:spacing w:after="0" w:line="256" w:lineRule="auto"/>
        <w:tabs>
          <w:tab w:leader="none" w:pos="311"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two-year period preceding the Date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that 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128" w:lineRule="exact"/>
        <w:rPr>
          <w:rFonts w:ascii="Arial" w:cs="Arial" w:eastAsia="Arial" w:hAnsi="Arial"/>
          <w:sz w:val="18"/>
          <w:szCs w:val="18"/>
          <w:color w:val="auto"/>
        </w:rPr>
      </w:pPr>
    </w:p>
    <w:p>
      <w:pPr>
        <w:ind w:left="320" w:hanging="320"/>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w:t>
      </w:r>
    </w:p>
    <w:p>
      <w:pPr>
        <w:spacing w:after="0" w:line="171" w:lineRule="exact"/>
        <w:rPr>
          <w:rFonts w:ascii="Arial" w:cs="Arial" w:eastAsia="Arial" w:hAnsi="Arial"/>
          <w:sz w:val="18"/>
          <w:szCs w:val="18"/>
          <w:color w:val="auto"/>
        </w:rPr>
      </w:pPr>
    </w:p>
    <w:p>
      <w:pPr>
        <w:jc w:val="both"/>
        <w:ind w:left="320" w:hanging="320"/>
        <w:spacing w:after="0" w:line="268" w:lineRule="auto"/>
        <w:tabs>
          <w:tab w:leader="none" w:pos="30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“Company’s Business” </w:t>
      </w:r>
      <w:r>
        <w:rPr>
          <w:rFonts w:ascii="Arial" w:cs="Arial" w:eastAsia="Arial" w:hAnsi="Arial"/>
          <w:sz w:val="18"/>
          <w:szCs w:val="18"/>
          <w:color w:val="auto"/>
        </w:rPr>
        <w:t>means the design, manufacture, installation, servicing, and/or sale of one or more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related products and/or services: lighting fixtures and systems; lighting control components and systems (including but not limited</w:t>
      </w:r>
    </w:p>
    <w:p>
      <w:pPr>
        <w:sectPr>
          <w:pgSz w:w="11900" w:h="16838" w:orient="portrait"/>
          <w:cols w:equalWidth="0" w:num="1">
            <w:col w:w="10260"/>
          </w:cols>
          <w:pgMar w:left="130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20"/>
        <w:spacing w:after="0" w:line="251" w:lineRule="auto"/>
        <w:rPr>
          <w:sz w:val="20"/>
          <w:szCs w:val="20"/>
          <w:color w:val="auto"/>
        </w:rPr>
      </w:pPr>
      <w:r>
        <w:rPr>
          <w:rFonts w:ascii="Arial" w:cs="Arial" w:eastAsia="Arial" w:hAnsi="Arial"/>
          <w:sz w:val="18"/>
          <w:szCs w:val="18"/>
          <w:color w:val="auto"/>
        </w:rPr>
        <w:t>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32" w:lineRule="exact"/>
        <w:rPr>
          <w:sz w:val="20"/>
          <w:szCs w:val="20"/>
          <w:color w:val="auto"/>
        </w:rPr>
      </w:pPr>
    </w:p>
    <w:p>
      <w:pPr>
        <w:jc w:val="both"/>
        <w:ind w:left="320" w:hanging="320"/>
        <w:spacing w:after="0" w:line="278" w:lineRule="auto"/>
        <w:tabs>
          <w:tab w:leader="none" w:pos="31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“Employee Services” </w:t>
      </w:r>
      <w:r>
        <w:rPr>
          <w:rFonts w:ascii="Arial" w:cs="Arial" w:eastAsia="Arial" w:hAnsi="Arial"/>
          <w:sz w:val="18"/>
          <w:szCs w:val="18"/>
          <w:color w:val="auto"/>
        </w:rPr>
        <w:t>shall mean the duties and services of the type conducted, authorized, offered, or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in his/her capacity as an Employee on behalf of the Company within twelve (12) months prior to the Date of Termination.</w:t>
      </w:r>
    </w:p>
    <w:p>
      <w:pPr>
        <w:spacing w:after="0" w:line="330" w:lineRule="exact"/>
        <w:rPr>
          <w:rFonts w:ascii="Arial" w:cs="Arial" w:eastAsia="Arial" w:hAnsi="Arial"/>
          <w:sz w:val="18"/>
          <w:szCs w:val="18"/>
          <w:color w:val="auto"/>
        </w:rPr>
      </w:pPr>
    </w:p>
    <w:p>
      <w:pPr>
        <w:jc w:val="both"/>
        <w:ind w:left="320" w:hanging="320"/>
        <w:spacing w:after="0" w:line="255"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country in which Grantee is employed by the Company (the “Country”). Grantee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26" w:lineRule="exact"/>
        <w:rPr>
          <w:rFonts w:ascii="Arial" w:cs="Arial" w:eastAsia="Arial" w:hAnsi="Arial"/>
          <w:sz w:val="18"/>
          <w:szCs w:val="18"/>
          <w:color w:val="auto"/>
        </w:rPr>
      </w:pPr>
    </w:p>
    <w:p>
      <w:pPr>
        <w:jc w:val="both"/>
        <w:ind w:left="320" w:hanging="320"/>
        <w:spacing w:after="0" w:line="257"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have the meaning set forth in O.C.G.A. § 13-8-51(10), which includes contact between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28" w:lineRule="exact"/>
        <w:rPr>
          <w:rFonts w:ascii="Arial" w:cs="Arial" w:eastAsia="Arial" w:hAnsi="Arial"/>
          <w:sz w:val="18"/>
          <w:szCs w:val="18"/>
          <w:color w:val="auto"/>
        </w:rPr>
      </w:pPr>
    </w:p>
    <w:p>
      <w:pPr>
        <w:ind w:left="320" w:hanging="320"/>
        <w:spacing w:after="0" w:line="287" w:lineRule="auto"/>
        <w:tabs>
          <w:tab w:leader="none" w:pos="31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or</w:t>
      </w:r>
      <w:r>
        <w:rPr>
          <w:rFonts w:ascii="Arial" w:cs="Arial" w:eastAsia="Arial" w:hAnsi="Arial"/>
          <w:sz w:val="18"/>
          <w:szCs w:val="18"/>
          <w:b w:val="1"/>
          <w:bCs w:val="1"/>
          <w:color w:val="auto"/>
        </w:rPr>
        <w:t xml:space="preserve"> “Terminated for Cause” </w:t>
      </w:r>
      <w:r>
        <w:rPr>
          <w:rFonts w:ascii="Arial" w:cs="Arial" w:eastAsia="Arial" w:hAnsi="Arial"/>
          <w:sz w:val="18"/>
          <w:szCs w:val="18"/>
          <w:color w:val="auto"/>
        </w:rPr>
        <w:t>shall mean the involuntary termination of Grantee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following reasons:</w:t>
      </w:r>
    </w:p>
    <w:p>
      <w:pPr>
        <w:spacing w:after="0" w:line="120" w:lineRule="exact"/>
        <w:rPr>
          <w:rFonts w:ascii="Arial" w:cs="Arial" w:eastAsia="Arial" w:hAnsi="Arial"/>
          <w:sz w:val="18"/>
          <w:szCs w:val="18"/>
          <w:color w:val="auto"/>
        </w:rPr>
      </w:pPr>
    </w:p>
    <w:p>
      <w:pPr>
        <w:ind w:left="980" w:right="20" w:hanging="422"/>
        <w:spacing w:after="0" w:line="261"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constitute an indictable offense, a felony or any crime involving dishonesty, theft, fraud or moral turpitude;</w:t>
      </w:r>
    </w:p>
    <w:p>
      <w:pPr>
        <w:sectPr>
          <w:pgSz w:w="11900" w:h="16838" w:orient="portrait"/>
          <w:cols w:equalWidth="0" w:num="1">
            <w:col w:w="10260"/>
          </w:cols>
          <w:pgMar w:left="130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8" w:right="20" w:hanging="462"/>
        <w:spacing w:after="0" w:line="261" w:lineRule="auto"/>
        <w:tabs>
          <w:tab w:leader="none" w:pos="1628" w:val="left"/>
        </w:tabs>
        <w:numPr>
          <w:ilvl w:val="4"/>
          <w:numId w:val="90"/>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are determined, in the good faith judgment of the Company, to be in violation of written policies of the Company;</w:t>
      </w:r>
    </w:p>
    <w:p>
      <w:pPr>
        <w:spacing w:after="0" w:line="143" w:lineRule="exact"/>
        <w:rPr>
          <w:rFonts w:ascii="Arial" w:cs="Arial" w:eastAsia="Arial" w:hAnsi="Arial"/>
          <w:sz w:val="18"/>
          <w:szCs w:val="18"/>
          <w:color w:val="auto"/>
        </w:rPr>
      </w:pPr>
    </w:p>
    <w:p>
      <w:pPr>
        <w:ind w:left="1628" w:hanging="502"/>
        <w:spacing w:after="0" w:line="261" w:lineRule="auto"/>
        <w:tabs>
          <w:tab w:leader="none" w:pos="1628" w:val="left"/>
        </w:tabs>
        <w:numPr>
          <w:ilvl w:val="4"/>
          <w:numId w:val="90"/>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dishonesty by Grantee resulting or intended to result directly or indirectly in gain or personal enrichment to Grantee at the expense of the Company;</w:t>
      </w:r>
    </w:p>
    <w:p>
      <w:pPr>
        <w:spacing w:after="0" w:line="143" w:lineRule="exact"/>
        <w:rPr>
          <w:rFonts w:ascii="Arial" w:cs="Arial" w:eastAsia="Arial" w:hAnsi="Arial"/>
          <w:sz w:val="18"/>
          <w:szCs w:val="18"/>
          <w:color w:val="auto"/>
        </w:rPr>
      </w:pPr>
    </w:p>
    <w:p>
      <w:pPr>
        <w:jc w:val="both"/>
        <w:ind w:left="1628" w:hanging="512"/>
        <w:spacing w:after="0" w:line="253" w:lineRule="auto"/>
        <w:tabs>
          <w:tab w:leader="none" w:pos="1615" w:val="left"/>
        </w:tabs>
        <w:numPr>
          <w:ilvl w:val="3"/>
          <w:numId w:val="91"/>
        </w:numPr>
        <w:rPr>
          <w:rFonts w:ascii="Arial" w:cs="Arial" w:eastAsia="Arial" w:hAnsi="Arial"/>
          <w:sz w:val="18"/>
          <w:szCs w:val="18"/>
          <w:color w:val="auto"/>
        </w:rPr>
      </w:pPr>
      <w:r>
        <w:rPr>
          <w:rFonts w:ascii="Arial" w:cs="Arial" w:eastAsia="Arial" w:hAnsi="Arial"/>
          <w:sz w:val="18"/>
          <w:szCs w:val="18"/>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51" w:lineRule="exact"/>
        <w:rPr>
          <w:rFonts w:ascii="Arial" w:cs="Arial" w:eastAsia="Arial" w:hAnsi="Arial"/>
          <w:sz w:val="18"/>
          <w:szCs w:val="18"/>
          <w:color w:val="auto"/>
        </w:rPr>
      </w:pPr>
    </w:p>
    <w:p>
      <w:pPr>
        <w:ind w:left="1628" w:right="20" w:hanging="472"/>
        <w:spacing w:after="0" w:line="261" w:lineRule="auto"/>
        <w:tabs>
          <w:tab w:leader="none" w:pos="1615" w:val="left"/>
        </w:tabs>
        <w:numPr>
          <w:ilvl w:val="3"/>
          <w:numId w:val="91"/>
        </w:numPr>
        <w:rPr>
          <w:rFonts w:ascii="Arial" w:cs="Arial" w:eastAsia="Arial" w:hAnsi="Arial"/>
          <w:sz w:val="18"/>
          <w:szCs w:val="18"/>
          <w:color w:val="auto"/>
        </w:rPr>
      </w:pPr>
      <w:r>
        <w:rPr>
          <w:rFonts w:ascii="Arial" w:cs="Arial" w:eastAsia="Arial" w:hAnsi="Arial"/>
          <w:sz w:val="18"/>
          <w:szCs w:val="18"/>
          <w:color w:val="auto"/>
        </w:rPr>
        <w:t>If termination shall have been the result of the unauthorized disclosure by Grantee of the Company’s Confidential Information or violation of any other provision of the Confidentiality Provisions.</w:t>
      </w:r>
    </w:p>
    <w:p>
      <w:pPr>
        <w:spacing w:after="0" w:line="121" w:lineRule="exact"/>
        <w:rPr>
          <w:rFonts w:ascii="Arial" w:cs="Arial" w:eastAsia="Arial" w:hAnsi="Arial"/>
          <w:sz w:val="18"/>
          <w:szCs w:val="18"/>
          <w:color w:val="auto"/>
        </w:rPr>
      </w:pPr>
    </w:p>
    <w:p>
      <w:pPr>
        <w:jc w:val="both"/>
        <w:ind w:left="968" w:hanging="320"/>
        <w:spacing w:after="0" w:line="263" w:lineRule="auto"/>
        <w:tabs>
          <w:tab w:leader="none" w:pos="963"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“Works For Hire.” </w:t>
      </w:r>
      <w:r>
        <w:rPr>
          <w:rFonts w:ascii="Arial" w:cs="Arial" w:eastAsia="Arial" w:hAnsi="Arial"/>
          <w:sz w:val="18"/>
          <w:szCs w:val="18"/>
          <w:color w:val="auto"/>
        </w:rPr>
        <w:t>The term “Invention” means contributions, discoveries, improvements and ideas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works of authorship, whether or not patentable or copyrightable, and: (i) which relate directly to the Company’s Business, or</w:t>
      </w:r>
    </w:p>
    <w:p>
      <w:pPr>
        <w:jc w:val="both"/>
        <w:ind w:left="968" w:firstLine="4"/>
        <w:spacing w:after="0" w:line="253" w:lineRule="auto"/>
        <w:tabs>
          <w:tab w:leader="none" w:pos="1235" w:val="left"/>
        </w:tabs>
        <w:numPr>
          <w:ilvl w:val="2"/>
          <w:numId w:val="92"/>
        </w:numPr>
        <w:rPr>
          <w:rFonts w:ascii="Arial" w:cs="Arial" w:eastAsia="Arial" w:hAnsi="Arial"/>
          <w:sz w:val="18"/>
          <w:szCs w:val="18"/>
          <w:color w:val="auto"/>
        </w:rPr>
      </w:pPr>
      <w:r>
        <w:rPr>
          <w:rFonts w:ascii="Arial" w:cs="Arial" w:eastAsia="Arial" w:hAnsi="Arial"/>
          <w:sz w:val="18"/>
          <w:szCs w:val="18"/>
          <w:color w:val="auto"/>
        </w:rPr>
        <w:t>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29" w:lineRule="exact"/>
        <w:rPr>
          <w:rFonts w:ascii="Arial" w:cs="Arial" w:eastAsia="Arial" w:hAnsi="Arial"/>
          <w:sz w:val="18"/>
          <w:szCs w:val="18"/>
          <w:color w:val="auto"/>
        </w:rPr>
      </w:pPr>
    </w:p>
    <w:p>
      <w:pPr>
        <w:ind w:left="308" w:hanging="308"/>
        <w:spacing w:after="0"/>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Confidentiality, Inventions, Non-Solicitation and Non-Competition.</w:t>
      </w:r>
    </w:p>
    <w:p>
      <w:pPr>
        <w:spacing w:after="0" w:line="171" w:lineRule="exact"/>
        <w:rPr>
          <w:rFonts w:ascii="Arial" w:cs="Arial" w:eastAsia="Arial" w:hAnsi="Arial"/>
          <w:sz w:val="18"/>
          <w:szCs w:val="18"/>
          <w:color w:val="auto"/>
        </w:rPr>
      </w:pPr>
    </w:p>
    <w:p>
      <w:pPr>
        <w:jc w:val="both"/>
        <w:ind w:left="968" w:hanging="320"/>
        <w:spacing w:after="0" w:line="255" w:lineRule="auto"/>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Grantee acknowledges that, during the term of his/her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26" w:lineRule="exact"/>
        <w:rPr>
          <w:rFonts w:ascii="Arial" w:cs="Arial" w:eastAsia="Arial" w:hAnsi="Arial"/>
          <w:sz w:val="18"/>
          <w:szCs w:val="18"/>
          <w:color w:val="auto"/>
        </w:rPr>
      </w:pPr>
    </w:p>
    <w:p>
      <w:pPr>
        <w:jc w:val="both"/>
        <w:ind w:left="968" w:hanging="320"/>
        <w:spacing w:after="0" w:line="255" w:lineRule="auto"/>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Grantee agrees that he/she shall protect the Company’s Trade Secrets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w:t>
      </w:r>
    </w:p>
    <w:p>
      <w:pPr>
        <w:sectPr>
          <w:pgSz w:w="11900" w:h="16838" w:orient="portrait"/>
          <w:cols w:equalWidth="0" w:num="1">
            <w:col w:w="10908"/>
          </w:cols>
          <w:pgMar w:left="652"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expiration or termination of the Confidentiality Provisions, so long as the information or material remains Confidential Information or a Trade Secret, as applicable.</w:t>
      </w:r>
    </w:p>
    <w:p>
      <w:pPr>
        <w:spacing w:after="0" w:line="144"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48"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28" w:lineRule="exact"/>
        <w:rPr>
          <w:sz w:val="20"/>
          <w:szCs w:val="20"/>
          <w:color w:val="auto"/>
        </w:rPr>
      </w:pPr>
    </w:p>
    <w:p>
      <w:pPr>
        <w:jc w:val="both"/>
        <w:ind w:left="1300" w:hanging="320"/>
        <w:spacing w:after="0" w:line="255" w:lineRule="auto"/>
        <w:tabs>
          <w:tab w:leader="none" w:pos="1288"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On or before the Date of Termination, Grantee agrees to deliver promptly to the Company all files,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 such property and to permanently delete such information residing in electronic format to the best of his/her ability and not to attempt to retrieve it. Grantee’s obligations under this Section 2(c) shall survive any expiration or termination of the Confidentiality Provisions.</w:t>
      </w:r>
    </w:p>
    <w:p>
      <w:pPr>
        <w:spacing w:after="0" w:line="130" w:lineRule="exact"/>
        <w:rPr>
          <w:rFonts w:ascii="Arial" w:cs="Arial" w:eastAsia="Arial" w:hAnsi="Arial"/>
          <w:sz w:val="18"/>
          <w:szCs w:val="18"/>
          <w:color w:val="auto"/>
        </w:rPr>
      </w:pPr>
    </w:p>
    <w:p>
      <w:pPr>
        <w:jc w:val="both"/>
        <w:ind w:left="1300" w:hanging="320"/>
        <w:spacing w:after="0" w:line="257" w:lineRule="auto"/>
        <w:tabs>
          <w:tab w:leader="none" w:pos="1288"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w:t>
      </w:r>
      <w:r>
        <w:rPr>
          <w:rFonts w:ascii="Arial" w:cs="Arial" w:eastAsia="Arial" w:hAnsi="Arial"/>
          <w:sz w:val="18"/>
          <w:szCs w:val="18"/>
          <w:b w:val="1"/>
          <w:bCs w:val="1"/>
          <w:color w:val="auto"/>
        </w:rPr>
        <w:t xml:space="preserve"> </w:t>
      </w:r>
      <w:r>
        <w:rPr>
          <w:rFonts w:ascii="Arial" w:cs="Arial" w:eastAsia="Arial" w:hAnsi="Arial"/>
          <w:sz w:val="18"/>
          <w:szCs w:val="18"/>
          <w:color w:val="auto"/>
        </w:rPr>
        <w:t>made or 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the event that Grantee,</w:t>
      </w:r>
    </w:p>
    <w:p>
      <w:pPr>
        <w:spacing w:after="0" w:line="193" w:lineRule="exact"/>
        <w:rPr>
          <w:rFonts w:ascii="Arial" w:cs="Arial" w:eastAsia="Arial" w:hAnsi="Arial"/>
          <w:sz w:val="18"/>
          <w:szCs w:val="18"/>
          <w:color w:val="auto"/>
        </w:rPr>
      </w:pPr>
    </w:p>
    <w:p>
      <w:pPr>
        <w:ind w:left="1960" w:hanging="422"/>
        <w:spacing w:after="0"/>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voluntarily resigns from the Company,</w:t>
      </w:r>
    </w:p>
    <w:p>
      <w:pPr>
        <w:spacing w:after="0" w:line="171" w:lineRule="exact"/>
        <w:rPr>
          <w:rFonts w:ascii="Arial" w:cs="Arial" w:eastAsia="Arial" w:hAnsi="Arial"/>
          <w:sz w:val="18"/>
          <w:szCs w:val="18"/>
          <w:color w:val="auto"/>
        </w:rPr>
      </w:pPr>
    </w:p>
    <w:p>
      <w:pPr>
        <w:ind w:left="1960" w:hanging="462"/>
        <w:spacing w:after="0"/>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Terminated for Cause (as defined above), or</w:t>
      </w:r>
    </w:p>
    <w:p>
      <w:pPr>
        <w:spacing w:after="0" w:line="171" w:lineRule="exact"/>
        <w:rPr>
          <w:rFonts w:ascii="Arial" w:cs="Arial" w:eastAsia="Arial" w:hAnsi="Arial"/>
          <w:sz w:val="18"/>
          <w:szCs w:val="18"/>
          <w:color w:val="auto"/>
        </w:rPr>
      </w:pPr>
    </w:p>
    <w:p>
      <w:pPr>
        <w:jc w:val="both"/>
        <w:ind w:left="1960" w:right="20" w:hanging="502"/>
        <w:spacing w:after="0" w:line="256" w:lineRule="auto"/>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48"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 Notwithstanding the foregoing, if the Company terminates Grantee’s employment for any reason other than a Termination for Cause (including, for example, as a result of a position elimination), and Grantee signs a Confidential Severance Agreement and Release offered by the Company, the period covered by this non-competition covenant will be reduced to either: (i) the time within which severance payments are scheduled to be paid to Grantee under such agreement, or (ii) if severance is paid to Grantee in a lump sum, the number of weeks of Grantee’s then-current regular salary that are used to calculate such lump sum payment;</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provided, however, that the restrictive period calculated hereunder shall not, in any event, exceed twelve (12) months following the Date of Termination.</w:t>
      </w:r>
    </w:p>
    <w:p>
      <w:pPr>
        <w:spacing w:after="0" w:line="122" w:lineRule="exact"/>
        <w:rPr>
          <w:sz w:val="20"/>
          <w:szCs w:val="20"/>
          <w:color w:val="auto"/>
        </w:rPr>
      </w:pPr>
    </w:p>
    <w:p>
      <w:pPr>
        <w:jc w:val="both"/>
        <w:ind w:left="1300" w:hanging="320"/>
        <w:spacing w:after="0" w:line="262" w:lineRule="auto"/>
        <w:tabs>
          <w:tab w:leader="none" w:pos="1288"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Grantee acknowledges and agrees that during his/her employment, and for twenty-four</w:t>
      </w:r>
      <w:r>
        <w:rPr>
          <w:rFonts w:ascii="Arial" w:cs="Arial" w:eastAsia="Arial" w:hAnsi="Arial"/>
          <w:sz w:val="18"/>
          <w:szCs w:val="18"/>
          <w:b w:val="1"/>
          <w:bCs w:val="1"/>
          <w:color w:val="auto"/>
        </w:rPr>
        <w:t xml:space="preserve"> </w:t>
      </w:r>
      <w:r>
        <w:rPr>
          <w:rFonts w:ascii="Arial" w:cs="Arial" w:eastAsia="Arial" w:hAnsi="Arial"/>
          <w:sz w:val="18"/>
          <w:szCs w:val="18"/>
          <w:color w:val="auto"/>
        </w:rPr>
        <w:t>(24) months 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22"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twenty-four (24) months after the Date of Termination, Grantee has not and will not, directly or indirectly, whether on behalf of Grantee or others, solicit, lure or attempt to hire away any of the Company’s employees or agents.</w:t>
      </w:r>
    </w:p>
    <w:p>
      <w:pPr>
        <w:spacing w:after="0" w:line="116" w:lineRule="exact"/>
        <w:rPr>
          <w:rFonts w:ascii="Arial" w:cs="Arial" w:eastAsia="Arial" w:hAnsi="Arial"/>
          <w:sz w:val="18"/>
          <w:szCs w:val="18"/>
          <w:color w:val="auto"/>
        </w:rPr>
      </w:pPr>
    </w:p>
    <w:p>
      <w:pPr>
        <w:jc w:val="both"/>
        <w:ind w:left="1300" w:hanging="320"/>
        <w:spacing w:after="0" w:line="256" w:lineRule="auto"/>
        <w:tabs>
          <w:tab w:leader="none" w:pos="1291"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28" w:lineRule="exact"/>
        <w:rPr>
          <w:rFonts w:ascii="Arial" w:cs="Arial" w:eastAsia="Arial" w:hAnsi="Arial"/>
          <w:sz w:val="18"/>
          <w:szCs w:val="18"/>
          <w:color w:val="auto"/>
        </w:rPr>
      </w:pPr>
    </w:p>
    <w:p>
      <w:pPr>
        <w:jc w:val="both"/>
        <w:ind w:left="1300" w:hanging="320"/>
        <w:spacing w:after="0" w:line="257" w:lineRule="auto"/>
        <w:tabs>
          <w:tab w:leader="none" w:pos="1288"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 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Non-Assignable by Grantee</w:t>
      </w:r>
      <w:r>
        <w:rPr>
          <w:rFonts w:ascii="Arial" w:cs="Arial" w:eastAsia="Arial" w:hAnsi="Arial"/>
          <w:sz w:val="18"/>
          <w:szCs w:val="18"/>
          <w:color w:val="auto"/>
        </w:rPr>
        <w:t>. The parties acknowledge that the Confidentiality Provisions have been entered into due to,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things, the special skills and knowledge of Grantee, and agree that the Confidentiality Provisions may not be assigned or transferred by Grantee.</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requests, demands and other communications required or permitted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seven days after mailing if mailed first class, certified mail, postage prepaid, addressed as follows:</w:t>
      </w:r>
    </w:p>
    <w:p>
      <w:pPr>
        <w:spacing w:after="0" w:line="13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If to the Company: Acuity Brands,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Attention: Corporate Secretary</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1170 Peachtree Street, NE, Suite 2300</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Atlanta, Georgia 30309-7676</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Grantee: To his or her last known address on file with the Company.</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22" w:lineRule="exact"/>
        <w:rPr>
          <w:sz w:val="20"/>
          <w:szCs w:val="20"/>
          <w:color w:val="auto"/>
        </w:rPr>
      </w:pPr>
    </w:p>
    <w:p>
      <w:pPr>
        <w:jc w:val="both"/>
        <w:ind w:left="660" w:hanging="328"/>
        <w:spacing w:after="0" w:line="259" w:lineRule="auto"/>
        <w:tabs>
          <w:tab w:leader="none" w:pos="64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Provisions Severabl</w:t>
      </w:r>
      <w:r>
        <w:rPr>
          <w:rFonts w:ascii="Arial" w:cs="Arial" w:eastAsia="Arial" w:hAnsi="Arial"/>
          <w:sz w:val="18"/>
          <w:szCs w:val="18"/>
          <w:color w:val="auto"/>
        </w:rPr>
        <w:t>e. If any provision or covenant, or any part thereof, contained in the Confidentiality Provisions is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4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shall not supersede those set forth in either: (a) any Executive Severance Agreement applicable to Grantee, if any,</w:t>
      </w:r>
    </w:p>
    <w:p>
      <w:pPr>
        <w:spacing w:after="0" w:line="1" w:lineRule="exact"/>
        <w:rPr>
          <w:sz w:val="20"/>
          <w:szCs w:val="20"/>
          <w:color w:val="auto"/>
        </w:rPr>
      </w:pPr>
    </w:p>
    <w:p>
      <w:pPr>
        <w:jc w:val="both"/>
        <w:ind w:firstLine="8"/>
        <w:spacing w:after="0" w:line="254" w:lineRule="auto"/>
        <w:tabs>
          <w:tab w:leader="none" w:pos="2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Confidentiality, Inventions and Non-Solicitation Agreement to which Grantee is a party, if any, or (c) any restrictive covenants to which Grantee is a party under any employment agreement or offer letter, if any. To the extent that any agreement applicable to Grantee include restrictive covenant provisions that conflict with the provisions contained in these Confidentiality Provisions, the provisions that are more restrictive on Grantee will control.</w:t>
      </w:r>
    </w:p>
    <w:p>
      <w:pPr>
        <w:spacing w:after="0" w:line="127"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Failure of either party to insist, in one or more instances, on performance by the other in strict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25" w:lineRule="exact"/>
        <w:rPr>
          <w:rFonts w:ascii="Arial" w:cs="Arial" w:eastAsia="Arial" w:hAnsi="Arial"/>
          <w:sz w:val="18"/>
          <w:szCs w:val="18"/>
          <w:color w:val="auto"/>
        </w:rPr>
      </w:pPr>
    </w:p>
    <w:p>
      <w:pPr>
        <w:jc w:val="both"/>
        <w:ind w:left="660" w:hanging="328"/>
        <w:spacing w:after="0" w:line="254"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rFonts w:ascii="Arial" w:cs="Arial" w:eastAsia="Arial" w:hAnsi="Arial"/>
          <w:sz w:val="18"/>
          <w:szCs w:val="18"/>
          <w:color w:val="auto"/>
        </w:rPr>
      </w:pPr>
    </w:p>
    <w:p>
      <w:pPr>
        <w:ind w:left="660" w:hanging="328"/>
        <w:spacing w:after="0" w:line="287"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Legal Fees. </w:t>
      </w:r>
      <w:r>
        <w:rPr>
          <w:rFonts w:ascii="Arial" w:cs="Arial" w:eastAsia="Arial" w:hAnsi="Arial"/>
          <w:sz w:val="18"/>
          <w:szCs w:val="18"/>
          <w:color w:val="auto"/>
        </w:rPr>
        <w:t>Each party shall pay its own legal fees and other expenses associated with any dispute under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or any Exhibit hereto.</w:t>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56"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Tender Back Provision. </w:t>
      </w:r>
      <w:r>
        <w:rPr>
          <w:rFonts w:ascii="Arial" w:cs="Arial" w:eastAsia="Arial" w:hAnsi="Arial"/>
          <w:sz w:val="18"/>
          <w:szCs w:val="18"/>
          <w:color w:val="auto"/>
        </w:rPr>
        <w:t>If, in the context of a lawsuit involving Grantee or any other person or entity arguing on Grantee’s behalf,</w:t>
      </w:r>
      <w:r>
        <w:rPr>
          <w:rFonts w:ascii="Arial" w:cs="Arial" w:eastAsia="Arial" w:hAnsi="Arial"/>
          <w:sz w:val="18"/>
          <w:szCs w:val="18"/>
          <w:b w:val="1"/>
          <w:bCs w:val="1"/>
          <w:color w:val="auto"/>
        </w:rPr>
        <w:t xml:space="preserve"> </w:t>
      </w:r>
      <w:r>
        <w:rPr>
          <w:rFonts w:ascii="Arial" w:cs="Arial" w:eastAsia="Arial" w:hAnsi="Arial"/>
          <w:sz w:val="18"/>
          <w:szCs w:val="18"/>
          <w:color w:val="auto"/>
        </w:rPr>
        <w:t>any court determines that any provisions of Section 2 are void, invalid, illegal, or otherwise unenforceable, Grantee shall be required to immediately return to the Company 70% of all monies paid out under Section 5 of the Restricted Stock Unit Agreement, or to return 70% of any unsold shares Grantee still owns of such RSUs awarded under Section 5 of the Restricted Stock Unit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Tolling Period. </w:t>
      </w:r>
      <w:r>
        <w:rPr>
          <w:rFonts w:ascii="Arial" w:cs="Arial" w:eastAsia="Arial" w:hAnsi="Arial"/>
          <w:sz w:val="18"/>
          <w:szCs w:val="18"/>
          <w:color w:val="auto"/>
        </w:rPr>
        <w:t>If Grantee is found by a court to have violated any restriction in Section 2 of the Confidentiality Provisions, he/she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time period for such restriction shall be extended by one day for each day that he/she is found to have violated the restriction, up to a maximum of 18 months.</w:t>
      </w:r>
    </w:p>
    <w:p>
      <w:pPr>
        <w:spacing w:after="0" w:line="116"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right="540"/>
        <w:spacing w:after="0" w:line="287" w:lineRule="auto"/>
        <w:rPr>
          <w:sz w:val="20"/>
          <w:szCs w:val="20"/>
          <w:color w:val="auto"/>
        </w:rPr>
      </w:pPr>
      <w:r>
        <w:rPr>
          <w:rFonts w:ascii="Arial" w:cs="Arial" w:eastAsia="Arial" w:hAnsi="Arial"/>
          <w:sz w:val="18"/>
          <w:szCs w:val="18"/>
          <w:b w:val="1"/>
          <w:bCs w:val="1"/>
          <w:color w:val="auto"/>
        </w:rPr>
        <w:t>SPECIAL TERMS AND CONDITIONS EXHIBIT TO THE CONFIDENTIALITY, INVENTIONS, NON-SOLICITATION AND NON-COMPETITION PROVISIONS FOR GRANTEES OUTSIDE THE U.S.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 of the Confidentiality Provisions and contains terms and conditions material to Grantee’s rights and obligations under the Confidentiality Provisions. Unless otherwise provided below, capitalized terms used but not defined herein shall have the same meanings assigned to them in the Plan and the Confidentiality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a list of actual or potential customers or suppliers, or any other proprietary information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1(i) as sub-section (vi):</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“or (vi) Any other act or omission, or a series of acts or omissions, of Grantee which, pursuant to applicable law, constitutes "good and sufficient reason" or "just cause" (either at common law or civil law) for termination of employment without notice, payment in lieu of notice or any indemnity whatsoever.”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1(j) of the Confidentiality Provisions: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“Works For Hire.” </w:t>
      </w:r>
      <w:r>
        <w:rPr>
          <w:rFonts w:ascii="Arial" w:cs="Arial" w:eastAsia="Arial" w:hAnsi="Arial"/>
          <w:sz w:val="18"/>
          <w:szCs w:val="18"/>
          <w:color w:val="auto"/>
        </w:rPr>
        <w:t>The term “Invention” means contributions, discoveries, improvements and ideas and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also known as “Work Made in the Course of Employment” under s. 13(3) of the Canadian </w:t>
      </w:r>
      <w:r>
        <w:rPr>
          <w:rFonts w:ascii="Arial" w:cs="Arial" w:eastAsia="Arial" w:hAnsi="Arial"/>
          <w:sz w:val="18"/>
          <w:szCs w:val="18"/>
          <w:i w:val="1"/>
          <w:iCs w:val="1"/>
          <w:color w:val="auto"/>
        </w:rPr>
        <w:t>Copyright Act</w:t>
      </w:r>
      <w:r>
        <w:rPr>
          <w:rFonts w:ascii="Arial" w:cs="Arial" w:eastAsia="Arial" w:hAnsi="Arial"/>
          <w:sz w:val="18"/>
          <w:szCs w:val="18"/>
          <w:color w:val="auto"/>
        </w:rPr>
        <w:t>,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to the Company the entire right, title and interest in any Invention which is or was made or</w:t>
      </w:r>
      <w:r>
        <w:rPr>
          <w:rFonts w:ascii="Arial" w:cs="Arial" w:eastAsia="Arial" w:hAnsi="Arial"/>
          <w:sz w:val="18"/>
          <w:szCs w:val="18"/>
          <w:b w:val="1"/>
          <w:bCs w:val="1"/>
          <w:color w:val="auto"/>
        </w:rPr>
        <w:t xml:space="preserve"> </w:t>
      </w:r>
      <w:r>
        <w:rPr>
          <w:rFonts w:ascii="Arial" w:cs="Arial" w:eastAsia="Arial" w:hAnsi="Arial"/>
          <w:sz w:val="18"/>
          <w:szCs w:val="18"/>
          <w:color w:val="auto"/>
        </w:rPr>
        <w:t>conceived, either solely or jointly with others, and does hereby waive any and all other rights in any Inventions that are non-assignable, including, but not limited to common law rights, moral rights or any non-economic rights,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Non-Competition.</w:t>
      </w:r>
    </w:p>
    <w:p>
      <w:pPr>
        <w:spacing w:after="0" w:line="193"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Grantee acknowledges and agrees that during his/her employment, and for twelve (12) months after the Date of Termination, he/she has not and will not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2(f)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Non-Solicitation of Customers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acknowledges and agrees that during his/her employment, and for eighteen (18) months after the Date of Termination, Grantee has not and will not solicit Customers (as defined in Section 1(c) above) with whom he/she had Material Contact (as defined in 1(h) above) for the purpose of providing goods and/or services competitive with the Company’s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2(g) of the Confidentiality Provisions: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Non-Solicitation of Employees and Agents.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lure or attempt to hire away any of the Company’s employees or agents.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2(h) of the Confidentiality Provisions:</w:t>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Non-Solicitation of Sales Agents.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Grantee acknowledges and agrees that during his/her employment, and for a period of eighteen (18) months after the Date of Termination, Grantee has not and will not,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12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English language. Les parties aux présentes reconnaissent avoir requis que la présente entente et les documents qui y sont relatifs soient rédigés en anglais.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the provisions hereafter, the Company means the local entity in France by whom Grantee is employed.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1(g)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means the location in which the non-competition restriction will apply, hereby defined as the region(s) in France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which results or resulted in compensation, commissions, or earnings for Grantee within two years prior to the date of the Date of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1(i)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1(j)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will make full and prompt disclosure to the Company of all inventions, discoveries, designs,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 anywhere in the world. In particular, in accordance with the provisions of article L. 113-9 of the Intellectual Property Code, Grantee acknowledge that the intellectual property rights to any software and their documentation developed by Grantee in the course of his/her employment contract belong as a matter of law to the Company. In accordance with the provisions of article L. 611-7 of the Intellectual Property Code, Grantee further acknowledges that the inventions made within the context of his/her employment providing for an “inventive mission” which corresponds to his/her actual duties, or, as part of studies or research which have been specifically entrusted to Grantee, belong to the Company as a right (“</w:t>
      </w:r>
      <w:r>
        <w:rPr>
          <w:rFonts w:ascii="Arial" w:cs="Arial" w:eastAsia="Arial" w:hAnsi="Arial"/>
          <w:sz w:val="18"/>
          <w:szCs w:val="18"/>
          <w:u w:val="single" w:color="auto"/>
          <w:color w:val="auto"/>
        </w:rPr>
        <w:t>Inventions of Mission</w:t>
      </w:r>
      <w:r>
        <w:rPr>
          <w:rFonts w:ascii="Arial" w:cs="Arial" w:eastAsia="Arial" w:hAnsi="Arial"/>
          <w:sz w:val="18"/>
          <w:szCs w:val="18"/>
          <w:color w:val="auto"/>
        </w:rPr>
        <w: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 be paid an additional remuneration only to the extent Grantee personally contributed to the inventive process which led to the perfection of the Invention of Mission. Such additional remuneration shall be determined by the Company, pursuant to local law, upon development of the Invention of Mission, upon patent filing of the Invention of Mission, and/or upon the granting of the patent on an Invention of Mission. In addition, after 5 years of exploitation of the Invention of Mission, the Company may decide to pay Grantee an additional award, which amount should be mutually agreed on between Grantee and the Company, by taking into consideration the economic and scientific interest of the invention of mission, the difficulties of development of the Invention of Mission, and Grantee’s personal contribution. Grantee further acknowledge that for all the other inventions created either (i) in the performance of Grantee’s duties,</w:t>
      </w:r>
    </w:p>
    <w:p>
      <w:pPr>
        <w:spacing w:after="0" w:line="4" w:lineRule="exact"/>
        <w:rPr>
          <w:sz w:val="20"/>
          <w:szCs w:val="20"/>
          <w:color w:val="auto"/>
        </w:rPr>
      </w:pPr>
    </w:p>
    <w:p>
      <w:pPr>
        <w:jc w:val="both"/>
        <w:ind w:firstLine="8"/>
        <w:spacing w:after="0" w:line="253" w:lineRule="auto"/>
        <w:tabs>
          <w:tab w:leader="none" w:pos="2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field of the Company’s activity, or (iii) by using knowledge or technologies or Company’s specific methods or information acquired by the Company, the Company may require that all rights to ownership and use of such inventions and the patents protecting such inventions be assigned to it. Grantee further undertake, in particular, to disclose to the Company any copyrightable works that he/she may create, either alone or with the assistance of a third party including notably (but without limitation) any drawings, logos, sketches, models, designs, articles, studies, reports and all documentation which are susceptible to be protected under copyright law (hereafter the “</w:t>
      </w:r>
      <w:r>
        <w:rPr>
          <w:rFonts w:ascii="Arial" w:cs="Arial" w:eastAsia="Arial" w:hAnsi="Arial"/>
          <w:sz w:val="18"/>
          <w:szCs w:val="18"/>
          <w:u w:val="single" w:color="auto"/>
          <w:color w:val="auto"/>
        </w:rPr>
        <w:t>Copyrightable Works</w:t>
      </w:r>
      <w:r>
        <w:rPr>
          <w:rFonts w:ascii="Arial" w:cs="Arial" w:eastAsia="Arial" w:hAnsi="Arial"/>
          <w:sz w:val="18"/>
          <w:szCs w:val="18"/>
          <w:color w:val="auto"/>
        </w:rPr>
        <w:t>”).</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Grantee hereby assigns to the Company, in consideration of a lump sum already included in his/her salary as provided in his/her employment contract the exploitation rights on the Copyrightable Works including (but without limitation) the rights of reproduction on any analogical or digital media, in any form and format (whether known at the execution date of the contract or discovered in the future), of communication to the public by any process (whether known at the execution date of my employment contract or discovered in the future), of distribution, rental, loan and sale, of filing any trademark, design or model applications on whole or any part of the Copyrightable Works with the relevant authorities</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around the world, and of adaptation, translation and modification of the Copyrightable Works for any commercial or advertising purpose whether public or private. Media and processes shall include without limitation, any means of communication, direct or indirect, spatial or terrestrial, by satellite, cable, or over the air and any wired or wireless network including the Internet. The assignment occurs as soon as the Copyrightable Works are created and is valid for the entire world for the duration of the copyright, including any legal prorogation for whatever reason. Grantee hereby assigns and transfer to the Company all results from the use of Proprietary Information, premises or personal property (“</w:t>
      </w:r>
      <w:r>
        <w:rPr>
          <w:rFonts w:ascii="Arial" w:cs="Arial" w:eastAsia="Arial" w:hAnsi="Arial"/>
          <w:sz w:val="18"/>
          <w:szCs w:val="18"/>
          <w:u w:val="single" w:color="auto"/>
          <w:color w:val="auto"/>
        </w:rPr>
        <w:t>Company Related Developments</w:t>
      </w:r>
      <w:r>
        <w:rPr>
          <w:rFonts w:ascii="Arial" w:cs="Arial" w:eastAsia="Arial" w:hAnsi="Arial"/>
          <w:sz w:val="18"/>
          <w:szCs w:val="18"/>
          <w:color w:val="auto"/>
        </w:rPr>
        <w:t>”). Grantee further undertake to execute all documents and take all additional actions as may be requested by the Company to give full and proper effect to the present assignment, whether during or after the term of his/her employment, and particularly to enter into a specific assignment agreement for each work, as soon as such work is created. To preclude any possible uncertainty, Grantee has set forth on Exhibit attached hereto a complete list of Developments that he/she has, alone or jointly with others, conceived, developed or reduced to practice prior to the commencement of his/her employment with the Company that he/she wishes to have excluded from the scope of this Agreement (“</w:t>
      </w:r>
      <w:r>
        <w:rPr>
          <w:rFonts w:ascii="Arial" w:cs="Arial" w:eastAsia="Arial" w:hAnsi="Arial"/>
          <w:sz w:val="18"/>
          <w:szCs w:val="18"/>
          <w:u w:val="single" w:color="auto"/>
          <w:color w:val="auto"/>
        </w:rPr>
        <w:t>Prior Inventions</w:t>
      </w:r>
      <w:r>
        <w:rPr>
          <w:rFonts w:ascii="Arial" w:cs="Arial" w:eastAsia="Arial" w:hAnsi="Arial"/>
          <w:sz w:val="18"/>
          <w:szCs w:val="18"/>
          <w:color w:val="auto"/>
        </w:rPr>
        <w:t>”). Grantee has also listed this Exhibit all patents and patent applications in which he/she is named as an inventor, other than those which have been assigned to the Company (“</w:t>
      </w:r>
      <w:r>
        <w:rPr>
          <w:rFonts w:ascii="Arial" w:cs="Arial" w:eastAsia="Arial" w:hAnsi="Arial"/>
          <w:sz w:val="18"/>
          <w:szCs w:val="18"/>
          <w:u w:val="single" w:color="auto"/>
          <w:color w:val="auto"/>
        </w:rPr>
        <w:t>Other Patent Rights</w:t>
      </w:r>
      <w:r>
        <w:rPr>
          <w:rFonts w:ascii="Arial" w:cs="Arial" w:eastAsia="Arial" w:hAnsi="Arial"/>
          <w:sz w:val="18"/>
          <w:szCs w:val="18"/>
          <w:color w:val="auto"/>
        </w:rPr>
        <w:t>”). If no such disclosure is attached, Grantee represents that there are no Prior Inventions or Other Patent Rights. If, in the course of Grantee’s employment with the Company, he/she incorporates a Prior Invention into a Company product, process or machine or other work done for the Company, Grantee hereby grant to the Company a nonexclusive, royalty-free, paid-up, worldwide license (with the full right to sublicense) for the duration of the rights to make, have made, modify, use, reproduce, sell, offer for sale, publicly display and perform, import and otherwise fully exercise and exploit such Prior Invention. Notwithstanding the foregoing, Grantee will not incorporate, or permit to be incorporated, Prior Inventions in any Company-Related Development without the Company’s prior written consent. Grantee will not incorporate into any Company product or otherwise deliver to the Company any open source software except as allowed pursuant to the Company’s open source software policy, which is available on the Company’s intranet.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Section 2(e) is re-titled as “Non-Competition and Non-Solicitation of Customers and Sales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2(e) replaces Section 2(e), Section 2(f), and Section 2(h) of the Confidentiality Provisions:</w:t>
      </w:r>
    </w:p>
    <w:p>
      <w:pPr>
        <w:spacing w:after="0" w:line="171" w:lineRule="exact"/>
        <w:rPr>
          <w:sz w:val="20"/>
          <w:szCs w:val="20"/>
          <w:color w:val="auto"/>
        </w:rPr>
      </w:pPr>
    </w:p>
    <w:p>
      <w:pPr>
        <w:jc w:val="both"/>
        <w:ind w:firstLine="332"/>
        <w:spacing w:after="0" w:line="256" w:lineRule="auto"/>
        <w:tabs>
          <w:tab w:leader="none" w:pos="5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147" w:lineRule="exact"/>
        <w:rPr>
          <w:rFonts w:ascii="Arial" w:cs="Arial" w:eastAsia="Arial" w:hAnsi="Arial"/>
          <w:sz w:val="18"/>
          <w:szCs w:val="18"/>
          <w:color w:val="auto"/>
        </w:rPr>
      </w:pPr>
    </w:p>
    <w:p>
      <w:pPr>
        <w:jc w:val="both"/>
        <w:ind w:firstLine="332"/>
        <w:spacing w:after="0" w:line="256" w:lineRule="auto"/>
        <w:tabs>
          <w:tab w:leader="none" w:pos="5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47" w:lineRule="exact"/>
        <w:rPr>
          <w:rFonts w:ascii="Arial" w:cs="Arial" w:eastAsia="Arial" w:hAnsi="Arial"/>
          <w:sz w:val="18"/>
          <w:szCs w:val="18"/>
          <w:color w:val="auto"/>
        </w:rPr>
      </w:pPr>
    </w:p>
    <w:p>
      <w:pPr>
        <w:jc w:val="both"/>
        <w:ind w:firstLine="332"/>
        <w:spacing w:after="0" w:line="252" w:lineRule="auto"/>
        <w:tabs>
          <w:tab w:leader="none" w:pos="6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53" w:lineRule="exact"/>
        <w:rPr>
          <w:rFonts w:ascii="Arial" w:cs="Arial" w:eastAsia="Arial" w:hAnsi="Arial"/>
          <w:sz w:val="18"/>
          <w:szCs w:val="18"/>
          <w:color w:val="auto"/>
        </w:rPr>
      </w:pPr>
    </w:p>
    <w:p>
      <w:pPr>
        <w:jc w:val="both"/>
        <w:ind w:firstLine="332"/>
        <w:spacing w:after="0" w:line="256" w:lineRule="auto"/>
        <w:tabs>
          <w:tab w:leader="none" w:pos="6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44" w:lineRule="exact"/>
        <w:rPr>
          <w:sz w:val="20"/>
          <w:szCs w:val="20"/>
          <w:color w:val="auto"/>
        </w:rPr>
      </w:pPr>
    </w:p>
    <w:p>
      <w:pPr>
        <w:jc w:val="both"/>
        <w:ind w:firstLine="332"/>
        <w:spacing w:after="0" w:line="254" w:lineRule="auto"/>
        <w:tabs>
          <w:tab w:leader="none" w:pos="58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 (3) days following the notification of the termination of the employment agreement and no later than Grantee’s last day of effective work.</w:t>
      </w:r>
    </w:p>
    <w:p>
      <w:pPr>
        <w:spacing w:after="0" w:line="149" w:lineRule="exact"/>
        <w:rPr>
          <w:rFonts w:ascii="Arial" w:cs="Arial" w:eastAsia="Arial" w:hAnsi="Arial"/>
          <w:sz w:val="18"/>
          <w:szCs w:val="18"/>
          <w:color w:val="auto"/>
        </w:rPr>
      </w:pPr>
    </w:p>
    <w:p>
      <w:pPr>
        <w:jc w:val="both"/>
        <w:ind w:firstLine="332"/>
        <w:spacing w:after="0" w:line="256" w:lineRule="auto"/>
        <w:tabs>
          <w:tab w:leader="none" w:pos="65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47" w:lineRule="exact"/>
        <w:rPr>
          <w:rFonts w:ascii="Arial" w:cs="Arial" w:eastAsia="Arial" w:hAnsi="Arial"/>
          <w:sz w:val="18"/>
          <w:szCs w:val="18"/>
          <w:color w:val="auto"/>
        </w:rPr>
      </w:pPr>
    </w:p>
    <w:p>
      <w:pPr>
        <w:jc w:val="both"/>
        <w:ind w:firstLine="332"/>
        <w:spacing w:after="0" w:line="254" w:lineRule="auto"/>
        <w:tabs>
          <w:tab w:leader="none" w:pos="67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2(f)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2(h)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4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requests, demands and other communications required or permitted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seven days after mailing if mailed first class, certified mail, postage prepaid, addressed as follows:</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the Company: To the principal place of business of Company in France.</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Grantee: To his or her last known address on file with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Grantee and the Company, which makes specific reference to the Confidentiality Provisions provided however that the covenant of Section 2(e) can be waived unilaterally by the Company under the conditions specified therein. However, this Section does not affect a court of competent jurisdiction or arbitrator’s ability to modify the Confidentiality Provisions, as the case may be, in the event that either party initiates legal proceedings that relate in any way to the Confidentiality Provisions, including any action brought by either party seeking to enforce any provision set forth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12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The parties acknowledge that they have requested and are satisfied that the Confidentiality Provisions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be drawn up in the French language, the English</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version being provided for information purposes only. In the event of a contradiction between the two versions, the French version shall prevail.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a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1(i) of the Confidentiality Provisions:</w:t>
      </w:r>
    </w:p>
    <w:p>
      <w:pPr>
        <w:spacing w:after="0" w:line="149"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or</w:t>
      </w:r>
      <w:r>
        <w:rPr>
          <w:rFonts w:ascii="Arial" w:cs="Arial" w:eastAsia="Arial" w:hAnsi="Arial"/>
          <w:sz w:val="18"/>
          <w:szCs w:val="18"/>
          <w:b w:val="1"/>
          <w:bCs w:val="1"/>
          <w:color w:val="auto"/>
        </w:rPr>
        <w:t xml:space="preserve"> "Terminated for Cause" </w:t>
      </w:r>
      <w:r>
        <w:rPr>
          <w:rFonts w:ascii="Arial" w:cs="Arial" w:eastAsia="Arial" w:hAnsi="Arial"/>
          <w:sz w:val="18"/>
          <w:szCs w:val="18"/>
          <w:color w:val="auto"/>
        </w:rPr>
        <w:t>means any termination within the meaning of Section 626 German Civil Code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Bürgerliches Gesetzbuch, BGB</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Section 1(j)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Except for patentable inventions which are subject to and are dealt with in accordance with the German Act 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Inventions (</w:t>
      </w:r>
      <w:r>
        <w:rPr>
          <w:rFonts w:ascii="Arial" w:cs="Arial" w:eastAsia="Arial" w:hAnsi="Arial"/>
          <w:sz w:val="18"/>
          <w:szCs w:val="18"/>
          <w:i w:val="1"/>
          <w:iCs w:val="1"/>
          <w:color w:val="auto"/>
        </w:rPr>
        <w:t>ArbNErfG</w:t>
      </w:r>
      <w:r>
        <w:rPr>
          <w:rFonts w:ascii="Arial" w:cs="Arial" w:eastAsia="Arial" w:hAnsi="Arial"/>
          <w:sz w:val="18"/>
          <w:szCs w:val="18"/>
          <w:color w:val="auto"/>
        </w:rPr>
        <w:t>), all rights of works (including computer software programs, object codes, source codes and associated documentation) and of all inventions, knowledge and experience of technical and commercial nature which Grantee creates during the term of his/her employment relationship as part of his/her duties is worldwide the sole property of the Company, including the right of reproduction, distribution, sale, the grant of usage rights – also of exclusive nature - to third parties, processing and further development. To the extent legally possible, Grantee transfers and assigns these rights to the Company, alternatively Grantee grants the Company an exclusive, fully paid-up, royalty-free, world-wide license for all types of exploitation and for the entire period of protection of their respective intellectual property rights, in particular copyright. The Company is also entitled to make modifications and additions to the copyrightable works created by Grantee. Grantee waives the right to be named as the author in connection with the work. The transfer of rights is deemed fully compensated by the remuneration received under the employment relationship.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Section 2(e) is re-titled as “Post-Contractual Non-Compete Covenant, Contractual Penalty”.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replace Sections 2(e) and 2(f) of the Confidentiality Provisions:</w:t>
      </w:r>
    </w:p>
    <w:p>
      <w:pPr>
        <w:spacing w:after="0" w:line="171" w:lineRule="exact"/>
        <w:rPr>
          <w:sz w:val="20"/>
          <w:szCs w:val="20"/>
          <w:color w:val="auto"/>
        </w:rPr>
      </w:pPr>
    </w:p>
    <w:p>
      <w:pPr>
        <w:jc w:val="both"/>
        <w:ind w:firstLine="1061"/>
        <w:spacing w:after="0" w:line="256" w:lineRule="auto"/>
        <w:tabs>
          <w:tab w:leader="none" w:pos="12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1053"/>
        <w:spacing w:after="0" w:line="261" w:lineRule="auto"/>
        <w:rPr>
          <w:sz w:val="20"/>
          <w:szCs w:val="20"/>
          <w:color w:val="auto"/>
        </w:rPr>
      </w:pPr>
      <w:r>
        <w:rPr>
          <w:rFonts w:ascii="Arial" w:cs="Arial" w:eastAsia="Arial" w:hAnsi="Arial"/>
          <w:sz w:val="18"/>
          <w:szCs w:val="18"/>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44" w:lineRule="exact"/>
        <w:rPr>
          <w:sz w:val="20"/>
          <w:szCs w:val="20"/>
          <w:color w:val="auto"/>
        </w:rPr>
      </w:pPr>
    </w:p>
    <w:p>
      <w:pPr>
        <w:ind w:right="20" w:firstLine="1061"/>
        <w:spacing w:after="0" w:line="261" w:lineRule="auto"/>
        <w:tabs>
          <w:tab w:leader="none" w:pos="131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Similarly, Grantee is not permitted, during this period of time, to set up or to participate in any competing enterprise as a majority shareholder or as the holder of a blocking minority within such enterprise.</w:t>
      </w:r>
    </w:p>
    <w:p>
      <w:pPr>
        <w:spacing w:after="0" w:line="143" w:lineRule="exact"/>
        <w:rPr>
          <w:rFonts w:ascii="Arial" w:cs="Arial" w:eastAsia="Arial" w:hAnsi="Arial"/>
          <w:sz w:val="18"/>
          <w:szCs w:val="18"/>
          <w:color w:val="auto"/>
        </w:rPr>
      </w:pPr>
    </w:p>
    <w:p>
      <w:pPr>
        <w:jc w:val="both"/>
        <w:ind w:firstLine="1061"/>
        <w:spacing w:after="0" w:line="254" w:lineRule="auto"/>
        <w:tabs>
          <w:tab w:leader="none" w:pos="135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49" w:lineRule="exact"/>
        <w:rPr>
          <w:rFonts w:ascii="Arial" w:cs="Arial" w:eastAsia="Arial" w:hAnsi="Arial"/>
          <w:sz w:val="18"/>
          <w:szCs w:val="18"/>
          <w:color w:val="auto"/>
        </w:rPr>
      </w:pPr>
    </w:p>
    <w:p>
      <w:pPr>
        <w:ind w:left="1360" w:hanging="299"/>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non-compete covenant applies for the Territory.</w:t>
      </w:r>
    </w:p>
    <w:p>
      <w:pPr>
        <w:spacing w:after="0" w:line="171" w:lineRule="exact"/>
        <w:rPr>
          <w:rFonts w:ascii="Arial" w:cs="Arial" w:eastAsia="Arial" w:hAnsi="Arial"/>
          <w:sz w:val="18"/>
          <w:szCs w:val="18"/>
          <w:color w:val="auto"/>
        </w:rPr>
      </w:pPr>
    </w:p>
    <w:p>
      <w:pPr>
        <w:ind w:firstLine="1061"/>
        <w:spacing w:after="0" w:line="261" w:lineRule="auto"/>
        <w:tabs>
          <w:tab w:leader="none" w:pos="131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44"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8"/>
          <w:szCs w:val="18"/>
          <w:color w:val="auto"/>
        </w:rPr>
        <w:t>In case the violation of the non-competition clause consists in a continuing obligation, in particular in the conclusion of an employment, service, agency or consultancy agreement with a company, which is in competition with the Company or in case Grantee maintains a capital interest in such, the contractual penalty shall accrue for each new month of activity or interest ("continuing violation").</w:t>
      </w:r>
    </w:p>
    <w:p>
      <w:pPr>
        <w:spacing w:after="0" w:line="148" w:lineRule="exact"/>
        <w:rPr>
          <w:sz w:val="20"/>
          <w:szCs w:val="20"/>
          <w:color w:val="auto"/>
        </w:rPr>
      </w:pPr>
    </w:p>
    <w:p>
      <w:pPr>
        <w:jc w:val="both"/>
        <w:ind w:firstLine="575"/>
        <w:spacing w:after="0" w:line="256" w:lineRule="auto"/>
        <w:tabs>
          <w:tab w:leader="none" w:pos="86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48" w:lineRule="exact"/>
        <w:rPr>
          <w:sz w:val="20"/>
          <w:szCs w:val="20"/>
          <w:color w:val="auto"/>
        </w:rPr>
      </w:pPr>
    </w:p>
    <w:p>
      <w:pPr>
        <w:ind w:firstLine="575"/>
        <w:spacing w:after="0" w:line="261"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period of breach of the non-competition clause, the Company's obligation to pay compensation according to Section 2(e)(v) shall be suspended.</w:t>
      </w:r>
    </w:p>
    <w:p>
      <w:pPr>
        <w:spacing w:after="0" w:line="143" w:lineRule="exact"/>
        <w:rPr>
          <w:rFonts w:ascii="Arial" w:cs="Arial" w:eastAsia="Arial" w:hAnsi="Arial"/>
          <w:sz w:val="18"/>
          <w:szCs w:val="18"/>
          <w:color w:val="auto"/>
        </w:rPr>
      </w:pPr>
    </w:p>
    <w:p>
      <w:pPr>
        <w:ind w:left="920" w:hanging="345"/>
        <w:spacing w:after="0"/>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right to further damages shall not be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2(f)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2(h) of the Confidentiality Provisions is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Any changes of or amendments to the Confidentiality Provisions and any Exhibit, including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must be made in writing in order to become legally effective. This shall not apply to individual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the provisions hereafter, the "Company" means the local entity in Italy by whom Grantee is employed.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jc w:val="both"/>
        <w:ind w:firstLine="567"/>
        <w:spacing w:after="0" w:line="262" w:lineRule="auto"/>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technical or nontechnical data, a formula, a pattern, a compilation, a program, a device, a method, a</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 a drawing, a process, financial data, financial plans, product plans, or a list of actual or potential customers or suppliers which is not commonly known by or available to the public and which information: (A) derives economic value, actual or potential, from not being generally known to, and not being readily ascertainable by proper means by, other persons who obtain</w:t>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economic value from its disclosure or use; and (B) is the subject of efforts that are reasonable under the circumstances to maintain its secrecy.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1(g)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location in which the non-competition restriction will apply, hereby defined as the region(s) in Italy in which Grantee worked. Grantee acknowledges that the Company is licensed to do business in the Territory. Accordingly, Grantee agrees that these restrictions are reasonable and necessary to protect the Confidential Information, trade secrets, business relationships, and goodwill of the Company.</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duration of the obligations indicated under Section 2(e) through (h) of the Confidentiality Provisions is all meant to be for a period of twelve (12) months, and Grantee acknowledges and agrees that for twelve (12) months after the Date of Termination his/her will be bound to such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is added to Section 1(i)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for Cause</w:t>
      </w:r>
      <w:r>
        <w:rPr>
          <w:rFonts w:ascii="Arial" w:cs="Arial" w:eastAsia="Arial" w:hAnsi="Arial"/>
          <w:sz w:val="18"/>
          <w:szCs w:val="18"/>
          <w:color w:val="auto"/>
        </w:rPr>
        <w:t>" or "</w:t>
      </w:r>
      <w:r>
        <w:rPr>
          <w:rFonts w:ascii="Arial" w:cs="Arial" w:eastAsia="Arial" w:hAnsi="Arial"/>
          <w:sz w:val="18"/>
          <w:szCs w:val="18"/>
          <w:b w:val="1"/>
          <w:bCs w:val="1"/>
          <w:color w:val="auto"/>
        </w:rPr>
        <w:t>Terminated for Cause</w:t>
      </w:r>
      <w:r>
        <w:rPr>
          <w:rFonts w:ascii="Arial" w:cs="Arial" w:eastAsia="Arial" w:hAnsi="Arial"/>
          <w:sz w:val="18"/>
          <w:szCs w:val="18"/>
          <w:color w:val="auto"/>
        </w:rPr>
        <w:t>" means any disciplinary termination issued pursuant to Art. 7, Act no. 300/1970, for a disciplinary reason including but not limited to involuntary termination of Grantee by the Company for the reasons listed under Section 1(I) from letter (i) and (v).</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u w:val="single" w:color="auto"/>
          <w:color w:val="auto"/>
        </w:rPr>
        <w:t>Inventions Retained and Licensed</w:t>
      </w:r>
      <w:r>
        <w:rPr>
          <w:rFonts w:ascii="Arial" w:cs="Arial" w:eastAsia="Arial" w:hAnsi="Arial"/>
          <w:sz w:val="18"/>
          <w:szCs w:val="18"/>
          <w:color w:val="auto"/>
        </w:rPr>
        <w:t>.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is a list describing all inventions,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developments, improvements, and trade secrets which were made by </w:t>
      </w:r>
      <w:r>
        <w:rPr>
          <w:rFonts w:ascii="Arial" w:cs="Arial" w:eastAsia="Arial" w:hAnsi="Arial"/>
          <w:sz w:val="18"/>
          <w:szCs w:val="18"/>
          <w:color w:val="0000FF"/>
        </w:rPr>
        <w:t>the</w:t>
      </w:r>
      <w:r>
        <w:rPr>
          <w:rFonts w:ascii="Arial" w:cs="Arial" w:eastAsia="Arial" w:hAnsi="Arial"/>
          <w:sz w:val="18"/>
          <w:szCs w:val="18"/>
          <w:color w:val="auto"/>
        </w:rPr>
        <w:t xml:space="preserve"> Grantee prior to </w:t>
      </w:r>
      <w:r>
        <w:rPr>
          <w:rFonts w:ascii="Arial" w:cs="Arial" w:eastAsia="Arial" w:hAnsi="Arial"/>
          <w:sz w:val="18"/>
          <w:szCs w:val="18"/>
          <w:color w:val="0000FF"/>
        </w:rPr>
        <w:t>the</w:t>
      </w:r>
      <w:r>
        <w:rPr>
          <w:rFonts w:ascii="Arial" w:cs="Arial" w:eastAsia="Arial" w:hAnsi="Arial"/>
          <w:sz w:val="18"/>
          <w:szCs w:val="18"/>
          <w:color w:val="auto"/>
        </w:rPr>
        <w:t xml:space="preserve"> Grantee's employment with the Company (collectively referred to as “</w:t>
      </w:r>
      <w:r>
        <w:rPr>
          <w:rFonts w:ascii="Arial" w:cs="Arial" w:eastAsia="Arial" w:hAnsi="Arial"/>
          <w:sz w:val="18"/>
          <w:szCs w:val="18"/>
          <w:b w:val="1"/>
          <w:bCs w:val="1"/>
          <w:color w:val="auto"/>
        </w:rPr>
        <w:t>Prior Inventions</w:t>
      </w:r>
      <w:r>
        <w:rPr>
          <w:rFonts w:ascii="Arial" w:cs="Arial" w:eastAsia="Arial" w:hAnsi="Arial"/>
          <w:sz w:val="18"/>
          <w:szCs w:val="18"/>
          <w:color w:val="auto"/>
        </w:rPr>
        <w:t xml:space="preserve">”), which belong to </w:t>
      </w:r>
      <w:r>
        <w:rPr>
          <w:rFonts w:ascii="Arial" w:cs="Arial" w:eastAsia="Arial" w:hAnsi="Arial"/>
          <w:sz w:val="18"/>
          <w:szCs w:val="18"/>
          <w:color w:val="0000FF"/>
        </w:rPr>
        <w:t>the</w:t>
      </w:r>
      <w:r>
        <w:rPr>
          <w:rFonts w:ascii="Arial" w:cs="Arial" w:eastAsia="Arial" w:hAnsi="Arial"/>
          <w:sz w:val="18"/>
          <w:szCs w:val="18"/>
          <w:color w:val="auto"/>
        </w:rPr>
        <w:t xml:space="preserve"> Grantee, which relate to the Company’s proposed business, products or research and development, and which are not assigned to the Company hereunder; or, if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is left blank, </w:t>
      </w:r>
      <w:r>
        <w:rPr>
          <w:rFonts w:ascii="Arial" w:cs="Arial" w:eastAsia="Arial" w:hAnsi="Arial"/>
          <w:sz w:val="18"/>
          <w:szCs w:val="18"/>
          <w:color w:val="0000FF"/>
        </w:rPr>
        <w:t>the</w:t>
      </w:r>
      <w:r>
        <w:rPr>
          <w:rFonts w:ascii="Arial" w:cs="Arial" w:eastAsia="Arial" w:hAnsi="Arial"/>
          <w:sz w:val="18"/>
          <w:szCs w:val="18"/>
          <w:color w:val="auto"/>
        </w:rPr>
        <w:t xml:space="preserve"> Grantee hereby represents that there are no such Prior Inventions. If in the course of </w:t>
      </w:r>
      <w:r>
        <w:rPr>
          <w:rFonts w:ascii="Arial" w:cs="Arial" w:eastAsia="Arial" w:hAnsi="Arial"/>
          <w:sz w:val="18"/>
          <w:szCs w:val="18"/>
          <w:color w:val="0000FF"/>
        </w:rPr>
        <w:t>the</w:t>
      </w:r>
      <w:r>
        <w:rPr>
          <w:rFonts w:ascii="Arial" w:cs="Arial" w:eastAsia="Arial" w:hAnsi="Arial"/>
          <w:sz w:val="18"/>
          <w:szCs w:val="18"/>
          <w:color w:val="auto"/>
        </w:rPr>
        <w:t xml:space="preserve"> Grantee’s employment with the Company, </w:t>
      </w:r>
      <w:r>
        <w:rPr>
          <w:rFonts w:ascii="Arial" w:cs="Arial" w:eastAsia="Arial" w:hAnsi="Arial"/>
          <w:sz w:val="18"/>
          <w:szCs w:val="18"/>
          <w:color w:val="0000FF"/>
        </w:rPr>
        <w:t>the</w:t>
      </w:r>
      <w:r>
        <w:rPr>
          <w:rFonts w:ascii="Arial" w:cs="Arial" w:eastAsia="Arial" w:hAnsi="Arial"/>
          <w:sz w:val="18"/>
          <w:szCs w:val="18"/>
          <w:color w:val="auto"/>
        </w:rPr>
        <w:t xml:space="preserve"> Grantee incorporates into a Company product, process or machine a Prior Invention owned by </w:t>
      </w:r>
      <w:r>
        <w:rPr>
          <w:rFonts w:ascii="Arial" w:cs="Arial" w:eastAsia="Arial" w:hAnsi="Arial"/>
          <w:sz w:val="18"/>
          <w:szCs w:val="18"/>
          <w:color w:val="0000FF"/>
        </w:rPr>
        <w:t>the</w:t>
      </w:r>
      <w:r>
        <w:rPr>
          <w:rFonts w:ascii="Arial" w:cs="Arial" w:eastAsia="Arial" w:hAnsi="Arial"/>
          <w:sz w:val="18"/>
          <w:szCs w:val="18"/>
          <w:color w:val="auto"/>
        </w:rPr>
        <w:t xml:space="preserve"> Grantee or in which </w:t>
      </w:r>
      <w:r>
        <w:rPr>
          <w:rFonts w:ascii="Arial" w:cs="Arial" w:eastAsia="Arial" w:hAnsi="Arial"/>
          <w:sz w:val="18"/>
          <w:szCs w:val="18"/>
          <w:color w:val="0000FF"/>
        </w:rPr>
        <w:t>the</w:t>
      </w:r>
      <w:r>
        <w:rPr>
          <w:rFonts w:ascii="Arial" w:cs="Arial" w:eastAsia="Arial" w:hAnsi="Arial"/>
          <w:sz w:val="18"/>
          <w:szCs w:val="18"/>
          <w:color w:val="auto"/>
        </w:rPr>
        <w:t xml:space="preserve"> Grantee has an interest, the Company is hereby granted and shall have a nonexclusive, royalty-free, irrevocable, perpetual, worldwide license to make, have made, modify, use and sell such Prior Invention as part of or in connection with such product, process or machine.</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Assignment of Inventions. </w:t>
      </w:r>
      <w:r>
        <w:rPr>
          <w:rFonts w:ascii="Arial" w:cs="Arial" w:eastAsia="Arial" w:hAnsi="Arial"/>
          <w:sz w:val="18"/>
          <w:szCs w:val="18"/>
          <w:color w:val="auto"/>
        </w:rPr>
        <w:t>Grantee will make full and prompt disclosure to the Company of all inventions, discoveries,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software, drawings, logos, sketches, models, articles, studies, reports, methods, modifications, improvements, processes, algorithms, databases, computer programs, formulae, techniques, trade secrets, graphics or images, and audio or visual works and other works of authorship (collectively “</w:t>
      </w:r>
      <w:r>
        <w:rPr>
          <w:rFonts w:ascii="Arial" w:cs="Arial" w:eastAsia="Arial" w:hAnsi="Arial"/>
          <w:sz w:val="18"/>
          <w:szCs w:val="18"/>
          <w:u w:val="single" w:color="auto"/>
          <w:color w:val="auto"/>
        </w:rPr>
        <w:t>Developments</w:t>
      </w:r>
      <w:r>
        <w:rPr>
          <w:rFonts w:ascii="Arial" w:cs="Arial" w:eastAsia="Arial" w:hAnsi="Arial"/>
          <w:sz w:val="18"/>
          <w:szCs w:val="18"/>
          <w:color w:val="auto"/>
        </w:rPr>
        <w:t>”), whether or not patentable or copyrightable, that are created, made, conceived or reduced to practice by Grantee (alone or jointly with others) or under his/her direction in the course of Grantee’s employment. Grantee acknowledges and agree that, to the fullest extent permitted by law, (i) all Developments shall automatically belong to, and shall be the sole property of the Company and that (ii) to the extent that any Development do not vest in the Company automatically, Grantee irrevocably hereby assign to the Company by way of present assignment, all right, title, and interest Grantee may have or may acquire in and to all Developments</w:t>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anywhere in the world. In particular, in accordance with the provisions of articles 12-bis and 12-ter of the Copyright Law no. 633/1941, Grantee acknowledges that the copyrights to any software, database and their documentation and to any industrial design developed by Grantee in the course of his/her employment contract belong as a matter of law to the Company. Furthermore, in accordance with article 64(1) of the Legislative Decree no. 30/2005 (Industrial Property Code), Grantee further acknowledges that the inventions made within the context 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54"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18"/>
          <w:szCs w:val="18"/>
          <w:color w:val="auto"/>
        </w:rPr>
        <w:t>In accordance with article 64(2) of the Industrial Property Code, which provides that the employee is entitled to receive an additional remuneration for the invention made during the performance of its employment duties but outside the scope of article 64(1), Grantee agrees that such additional remuneration will be due provided that the Company or its assignees patent the invention or use it under a 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51"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18"/>
          <w:szCs w:val="18"/>
          <w:color w:val="auto"/>
        </w:rPr>
        <w:t>Grantee further acknowledges that for all the other inventions created either (i) in the field of the Company’s activity, or (ii) by using knowledge or technologies or Company’s specific methods or information acquired by the Company, the Company may require that all rights to ownership and use of such inventions and the patents protecting such inventions be assigned to it pursuant to article 64(3) of the Industrial Property Code and upon the payment of a consideration to be agreed between the parties taking into consideration the help and support that the employee received from the Company in developing the invention.</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change is made to Sections 2(f), 2(g), and 2(h): The phrase "twenty-four (24) months after the Date of Termination" is replaced with "twelve (12) months after the Date of Termination".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2(i):</w:t>
      </w:r>
    </w:p>
    <w:p>
      <w:pPr>
        <w:spacing w:after="0" w:line="149"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Accordingly, if Grantee breaches or threatens to breach any of the provisions of this Section 2, the Company shall be entitled to seek injunctive relief (</w:t>
      </w:r>
      <w:r>
        <w:rPr>
          <w:rFonts w:ascii="Arial" w:cs="Arial" w:eastAsia="Arial" w:hAnsi="Arial"/>
          <w:sz w:val="18"/>
          <w:szCs w:val="18"/>
          <w:i w:val="1"/>
          <w:iCs w:val="1"/>
          <w:color w:val="auto"/>
        </w:rPr>
        <w:t>provvedimento cautelare</w:t>
      </w:r>
      <w:r>
        <w:rPr>
          <w:rFonts w:ascii="Arial" w:cs="Arial" w:eastAsia="Arial" w:hAnsi="Arial"/>
          <w:sz w:val="18"/>
          <w:szCs w:val="18"/>
          <w:color w:val="auto"/>
        </w:rPr>
        <w:t>) as well as a Court's order for specific performance, in addition to any other rights or remedies the Company may have.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new Sections 2(j) through (m) are added after Section 2(i) of the Confidentiality Provisions:</w:t>
      </w:r>
    </w:p>
    <w:p>
      <w:pPr>
        <w:spacing w:after="0" w:line="14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Consideration</w:t>
      </w:r>
      <w:r>
        <w:rPr>
          <w:rFonts w:ascii="Arial" w:cs="Arial" w:eastAsia="Arial" w:hAnsi="Arial"/>
          <w:sz w:val="18"/>
          <w:szCs w:val="18"/>
          <w:color w:val="auto"/>
        </w:rPr>
        <w:t>. As consideration for the post termination non-competition and non- solicitation obligations under Section 2 ((e), (f),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25"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Reduction In Scope Or Withdrawal</w:t>
      </w:r>
      <w:r>
        <w:rPr>
          <w:rFonts w:ascii="Arial" w:cs="Arial" w:eastAsia="Arial" w:hAnsi="Arial"/>
          <w:sz w:val="18"/>
          <w:szCs w:val="18"/>
          <w:color w:val="auto"/>
        </w:rPr>
        <w:t>. 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w:t>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from the Company an indemnity equal to one gross fixed monthly salary (as resulting at the date of termination).</w:t>
      </w:r>
    </w:p>
    <w:p>
      <w:pPr>
        <w:spacing w:after="0" w:line="149" w:lineRule="exact"/>
        <w:rPr>
          <w:sz w:val="20"/>
          <w:szCs w:val="20"/>
          <w:color w:val="auto"/>
        </w:rPr>
      </w:pPr>
    </w:p>
    <w:p>
      <w:pPr>
        <w:jc w:val="both"/>
        <w:ind w:right="20" w:firstLine="635"/>
        <w:spacing w:after="0" w:line="262"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Damages.</w:t>
      </w:r>
      <w:r>
        <w:rPr>
          <w:rFonts w:ascii="Arial" w:cs="Arial" w:eastAsia="Arial" w:hAnsi="Arial"/>
          <w:sz w:val="18"/>
          <w:szCs w:val="18"/>
          <w:color w:val="auto"/>
        </w:rPr>
        <w:t xml:space="preserve"> If Grantee breaches the post-employment non-competition and non -solicitation obligations, the Company will no longer be required to pay the gross monthly indemnity provided under Section 2(j) and Grantee will be required to reimburse the Company for any amount that he/she may have been granted in this respect as well as may be required to pay any further damages or be requested to cease any activity in breach of these obligations through an injunctive relief per Section 2(i).</w:t>
      </w:r>
    </w:p>
    <w:p>
      <w:pPr>
        <w:spacing w:after="0" w:line="122"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Legitimacy.</w:t>
      </w:r>
      <w:r>
        <w:rPr>
          <w:rFonts w:ascii="Arial" w:cs="Arial" w:eastAsia="Arial" w:hAnsi="Arial"/>
          <w:sz w:val="18"/>
          <w:szCs w:val="18"/>
          <w:color w:val="auto"/>
        </w:rPr>
        <w:t xml:space="preserve"> 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Article 82 of the Mexican Industrial Property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1(d)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Acuity Brands, Inc., along with its Subsidiaries or other Affiliates, including but not limited to Acuity Brands</w:t>
      </w:r>
      <w:r>
        <w:rPr>
          <w:rFonts w:ascii="Arial" w:cs="Arial" w:eastAsia="Arial" w:hAnsi="Arial"/>
          <w:sz w:val="18"/>
          <w:szCs w:val="18"/>
          <w:b w:val="1"/>
          <w:bCs w:val="1"/>
          <w:color w:val="auto"/>
        </w:rPr>
        <w:t xml:space="preserve"> </w:t>
      </w:r>
      <w:r>
        <w:rPr>
          <w:rFonts w:ascii="Arial" w:cs="Arial" w:eastAsia="Arial" w:hAnsi="Arial"/>
          <w:sz w:val="18"/>
          <w:szCs w:val="18"/>
          <w:color w:val="auto"/>
        </w:rPr>
        <w:t>Lighting de Mexico S. de R.L. de C.V., and Castlight de Mexico SA de CV, with the understanding that the sole and exclusive employer of Grantee is the Mexican legal entity by whom he/she is employed.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contact between an employee and each Customer or potential Customer: with whom or which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dealt on behalf of the Company; whose dealings with the Company were coordinated or supervised by Grantee; about whom Grantee obtained confidential information in the ordinary course of business as a result of such employee’s association with the Company; </w:t>
      </w:r>
      <w:r>
        <w:rPr>
          <w:rFonts w:ascii="Arial" w:cs="Arial" w:eastAsia="Arial" w:hAnsi="Arial"/>
          <w:sz w:val="18"/>
          <w:szCs w:val="18"/>
          <w:u w:val="single" w:color="auto"/>
          <w:color w:val="auto"/>
        </w:rPr>
        <w:t>and/or</w:t>
      </w:r>
      <w:r>
        <w:rPr>
          <w:rFonts w:ascii="Arial" w:cs="Arial" w:eastAsia="Arial" w:hAnsi="Arial"/>
          <w:sz w:val="18"/>
          <w:szCs w:val="18"/>
          <w:color w:val="auto"/>
        </w:rPr>
        <w:t xml:space="preserve"> who receives products or services authorized by the Company, the sale or provision of which results or resulted in compensation, commissions, or earnings for Grantee within two (2) years prior to the date of the Date of Termination.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1(i) </w:t>
      </w:r>
      <w:r>
        <w:rPr>
          <w:rFonts w:ascii="Arial" w:cs="Arial" w:eastAsia="Arial" w:hAnsi="Arial"/>
          <w:sz w:val="18"/>
          <w:szCs w:val="18"/>
          <w:b w:val="1"/>
          <w:bCs w:val="1"/>
          <w:color w:val="auto"/>
        </w:rPr>
        <w:t>(“Termination for Cause” or “Terminated for Cause”</w:t>
      </w:r>
      <w:r>
        <w:rPr>
          <w:rFonts w:ascii="Arial" w:cs="Arial" w:eastAsia="Arial" w:hAnsi="Arial"/>
          <w:sz w:val="18"/>
          <w:szCs w:val="18"/>
          <w:color w:val="auto"/>
        </w:rPr>
        <w:t>) of the Confidentiality Provisions is hereby deleted.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2(b), at the end of first paragraph:</w:t>
      </w:r>
    </w:p>
    <w:p>
      <w:pPr>
        <w:spacing w:after="0" w:line="171"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18"/>
          <w:szCs w:val="18"/>
          <w:color w:val="auto"/>
        </w:rPr>
        <w:t>“Furthermore, Grantee expressly agrees and acknowledges that all Confidential Information and Trade Secrets, constitutes (i) an industrial secret under the Mexican Industrial Property Law and (ii) an industrial and trade secret under Articles 213 of the Criminal Code of the Federal District of Mexico, 210 and 211 of the Federal Criminal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2(b), at the end of the second paragraph:</w:t>
      </w:r>
    </w:p>
    <w:p>
      <w:pPr>
        <w:spacing w:after="0" w:line="171"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 Grantee during the course of his/her employment with former employers or during the course of former relationships with third parties. Likewise, Grantee will be responsible for paying any damages that he/she may cause to the Company</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due the breach of such confidentiality or trade secrets information obligations assumed with former employers and/or with third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shall be added to Section 2(d) of the Confidentiality Provisions:</w:t>
      </w:r>
    </w:p>
    <w:p>
      <w:pPr>
        <w:spacing w:after="0" w:line="171"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18"/>
          <w:szCs w:val="18"/>
          <w:color w:val="auto"/>
        </w:rPr>
        <w:t>“Grantee acknowledges that any Invention he/she may conceive or reduce to practice during his/her employment with the Company and that relate to the Company’s current or future business are and shall be the Company’s sole and exclusive property and that Grantee shall not have any patrimonial or other ownership rights in the work developed, expressly agreeing that he/she will not be entitled to the payment of royalties or any other right derived from such work, as they are already included in Grantee’s compensation referred to in his/her employment contract with the Company. In addition, Grantee expressly authorizes the modification, adaptation, transport, translation, representation, exhibition and any use, total or partial, of the developed work, with the sole exception of his/her non-economic or moral rights. Grantee will take all necessary steps to assign any property right to the Company at the Company’s expense, but without further compensation to Grantee.”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replaced Section 2(i) of the Confidentiality Provisions: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 Grantee against the Company, whether predicated on the Confidentiality Provisions or otherwise, shall not constitute a defense to the enforcement by the Company of Grantee’s agreements under this Section 2.</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accepts that if he/she breaches any of the obligations set out in Sections 2(a), (b), (c), (d) related to the disclosure of Confidential Information, he/she shall be liable under applicable laws, including criminal liability referred to in Article 223(IV), (V), and (VI) of the Industrial Property Law.</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breach of any of the obligations assumed by virtue of Section 2(e), (f), (g), and (h), during the term of the employment relationship between the parties, will be considered disobedience to work, and therefore, a cause for termination of the employment relationship of Grantee, without any liability for the Company, whatsoever. Both parties agree that if Grantee breaches any of the obligations, terms or conditions set out in Section 2 (e), (f), (g), and (h), after the termination of his/her employment relationship with the Company, Grantee:</w:t>
      </w:r>
    </w:p>
    <w:p>
      <w:pPr>
        <w:spacing w:after="0" w:line="151" w:lineRule="exact"/>
        <w:rPr>
          <w:sz w:val="20"/>
          <w:szCs w:val="20"/>
          <w:color w:val="auto"/>
        </w:rPr>
      </w:pPr>
    </w:p>
    <w:p>
      <w:pPr>
        <w:jc w:val="both"/>
        <w:ind w:firstLine="1615"/>
        <w:spacing w:after="0" w:line="254" w:lineRule="auto"/>
        <w:tabs>
          <w:tab w:leader="none" w:pos="18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have no right to the Payment referred in Section 2(j) of Exhibit C,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49" w:lineRule="exact"/>
        <w:rPr>
          <w:rFonts w:ascii="Arial" w:cs="Arial" w:eastAsia="Arial" w:hAnsi="Arial"/>
          <w:sz w:val="18"/>
          <w:szCs w:val="18"/>
          <w:color w:val="auto"/>
        </w:rPr>
      </w:pPr>
    </w:p>
    <w:p>
      <w:pPr>
        <w:jc w:val="both"/>
        <w:ind w:firstLine="1615"/>
        <w:spacing w:after="0" w:line="254" w:lineRule="auto"/>
        <w:tabs>
          <w:tab w:leader="none" w:pos="19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are added as Section 2(j) to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Consideration for Non-Competition and Non-Solicitation Obligations.</w:t>
      </w:r>
    </w:p>
    <w:p>
      <w:pPr>
        <w:spacing w:after="0" w:line="193" w:lineRule="exact"/>
        <w:rPr>
          <w:sz w:val="20"/>
          <w:szCs w:val="20"/>
          <w:color w:val="auto"/>
        </w:rPr>
      </w:pPr>
    </w:p>
    <w:p>
      <w:pPr>
        <w:jc w:val="both"/>
        <w:ind w:firstLine="1279"/>
        <w:spacing w:after="0" w:line="254" w:lineRule="auto"/>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149" w:lineRule="exact"/>
        <w:rPr>
          <w:rFonts w:ascii="Arial" w:cs="Arial" w:eastAsia="Arial" w:hAnsi="Arial"/>
          <w:sz w:val="18"/>
          <w:szCs w:val="18"/>
          <w:color w:val="auto"/>
        </w:rPr>
      </w:pPr>
    </w:p>
    <w:p>
      <w:pPr>
        <w:jc w:val="both"/>
        <w:ind w:firstLine="1279"/>
        <w:spacing w:after="0" w:line="252" w:lineRule="auto"/>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As fair and equal consideration for the execution of the obligations assumed under Sections 2(e), (f), (g), and (h) of this Exhibit C, upon termination of the labor relationship between the Company and Grantee, the latter hereby accepts that the Company will pay him/her a gross amount equal to fifty percent (50%) of his/her last annual gross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52" w:lineRule="exact"/>
        <w:rPr>
          <w:rFonts w:ascii="Arial" w:cs="Arial" w:eastAsia="Arial" w:hAnsi="Arial"/>
          <w:sz w:val="18"/>
          <w:szCs w:val="18"/>
          <w:color w:val="auto"/>
        </w:rPr>
      </w:pPr>
    </w:p>
    <w:p>
      <w:pPr>
        <w:jc w:val="both"/>
        <w:ind w:firstLine="1279"/>
        <w:spacing w:after="0" w:line="252" w:lineRule="auto"/>
        <w:tabs>
          <w:tab w:leader="none" w:pos="15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as applicable under local law in the event that either party initiates legal proceedings that relate in any way to this Confidentiality Provisions, including any action brought by either party seeking to enforce any provision set forth herein.</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Both parties expressly acknowledge and agree that the Company reserves the right, at its sole discretion, to reduce or waive the enforcement of the restricted period, as referred to in Section 2 above, and the Company may relieve at any time Grantee from his/her obligations under this Agreement. If the Company, at its sole discretion, decides to waive or reduce the restricted period of the obligations assumed in Section 2(e), (f), (g), and (h), for any reason, it will inform Grantee in writing, with the understanding that the Company will not be responsible to pay or make further payments of any compensation, as set forth in Section 2(j)(ii), for the entire restricted period or the remaining restricted period, as applicable, at the time the Company waives enforcement. If the Company waives the entire enforcement of the restrictive period established after the term of the labor relationship, no compensation will be paid to Grantee under this Agreement, and Grantee acknowledges that the Company will not be liable as a consequence of such non-payment.”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United Mexican States, without regard to conflicts of law. Any and all disputes relating to, concerning or arising from the Confidentiality Provisions, or relating to, concerning or arising from the relationship between the parties evidenced by the Confidentiality Provisions, shall be brought and heard exclusively in competent courts of Mexico City, expressly waiving any other jurisdiction that may correspond to them by reason of their present or future domiciles or for any other cause.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has the meaning set forth under applicable local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shall include contacts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1(i) of the Confidentiality Provisions:</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“Termination for Cause” or “Terminated for Cause” </w:t>
      </w:r>
      <w:r>
        <w:rPr>
          <w:rFonts w:ascii="Arial" w:cs="Arial" w:eastAsia="Arial" w:hAnsi="Arial"/>
          <w:sz w:val="18"/>
          <w:szCs w:val="18"/>
          <w:color w:val="auto"/>
        </w:rPr>
        <w:t>shall entail any reasonable grounds the Company may have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article 7:669 paragraph 3 subsection (d), (e), (g), and (i) of the Dutch Civil Code and article 7:678 of the Dutch Civil Code. Examples of this involuntary termination of Grantee by the Company are the following reasons:</w:t>
      </w:r>
    </w:p>
    <w:p>
      <w:pPr>
        <w:spacing w:after="0" w:line="139" w:lineRule="exact"/>
        <w:rPr>
          <w:sz w:val="20"/>
          <w:szCs w:val="20"/>
          <w:color w:val="auto"/>
        </w:rPr>
      </w:pPr>
    </w:p>
    <w:p>
      <w:pPr>
        <w:jc w:val="both"/>
        <w:ind w:firstLine="1271"/>
        <w:spacing w:after="0" w:line="261" w:lineRule="auto"/>
        <w:rPr>
          <w:sz w:val="20"/>
          <w:szCs w:val="20"/>
          <w:color w:val="auto"/>
        </w:rPr>
      </w:pPr>
      <w:r>
        <w:rPr>
          <w:rFonts w:ascii="Arial" w:cs="Arial" w:eastAsia="Arial" w:hAnsi="Arial"/>
          <w:sz w:val="18"/>
          <w:szCs w:val="18"/>
          <w:color w:val="auto"/>
        </w:rPr>
        <w:t>i. If termination shall have been the result of an act or acts by Grantee which constitute an indictable offense, a felony or any crime involving dishonesty, theft, fraud or moral turpitude;</w:t>
      </w:r>
    </w:p>
    <w:p>
      <w:pPr>
        <w:spacing w:after="0" w:line="144" w:lineRule="exact"/>
        <w:rPr>
          <w:sz w:val="20"/>
          <w:szCs w:val="20"/>
          <w:color w:val="auto"/>
        </w:rPr>
      </w:pPr>
    </w:p>
    <w:p>
      <w:pPr>
        <w:ind w:firstLine="1279"/>
        <w:spacing w:after="0" w:line="261" w:lineRule="auto"/>
        <w:tabs>
          <w:tab w:leader="none" w:pos="145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Grantee which are determined, in the good faith judgment of the Company, to be in violation of written policies of the Company;</w:t>
      </w:r>
    </w:p>
    <w:p>
      <w:pPr>
        <w:spacing w:after="0" w:line="143" w:lineRule="exact"/>
        <w:rPr>
          <w:rFonts w:ascii="Arial" w:cs="Arial" w:eastAsia="Arial" w:hAnsi="Arial"/>
          <w:sz w:val="18"/>
          <w:szCs w:val="18"/>
          <w:color w:val="auto"/>
        </w:rPr>
      </w:pPr>
    </w:p>
    <w:p>
      <w:pPr>
        <w:ind w:firstLine="1279"/>
        <w:spacing w:after="0" w:line="261" w:lineRule="auto"/>
        <w:tabs>
          <w:tab w:leader="none" w:pos="14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dishonesty by Grantee resulting or intended to result directly or indirectly in gain or personal enrichment to Grantee at the expense of the Company;</w:t>
      </w:r>
    </w:p>
    <w:p>
      <w:pPr>
        <w:spacing w:after="0" w:line="143" w:lineRule="exact"/>
        <w:rPr>
          <w:rFonts w:ascii="Arial" w:cs="Arial" w:eastAsia="Arial" w:hAnsi="Arial"/>
          <w:sz w:val="18"/>
          <w:szCs w:val="18"/>
          <w:color w:val="auto"/>
        </w:rPr>
      </w:pPr>
    </w:p>
    <w:p>
      <w:pPr>
        <w:jc w:val="both"/>
        <w:ind w:firstLine="1279"/>
        <w:spacing w:after="0" w:line="254" w:lineRule="auto"/>
        <w:tabs>
          <w:tab w:leader="none" w:pos="14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49" w:lineRule="exact"/>
        <w:rPr>
          <w:rFonts w:ascii="Arial" w:cs="Arial" w:eastAsia="Arial" w:hAnsi="Arial"/>
          <w:sz w:val="18"/>
          <w:szCs w:val="18"/>
          <w:color w:val="auto"/>
        </w:rPr>
      </w:pPr>
    </w:p>
    <w:p>
      <w:pPr>
        <w:ind w:firstLine="1279"/>
        <w:spacing w:after="0" w:line="261" w:lineRule="auto"/>
        <w:tabs>
          <w:tab w:leader="none" w:pos="14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termination shall have been the result of the unauthorized disclosure by Grantee of the Company’s Confidential Information or violation of any other provision of the Confidentiality Provisions.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 is made in Section 2(e) of the Confidentiality Provisions: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References to “Confidential Severance Agreement and Release” will be replaced by “settlement agreement”.</w:t>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2(i)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Grantee acknowledges that if he/she breaches or threatens to breach any of the provisions of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instead of any other rights or remedies the Company may have.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5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Provisions Severable</w:t>
      </w:r>
      <w:r>
        <w:rPr>
          <w:rFonts w:ascii="Arial" w:cs="Arial" w:eastAsia="Arial" w:hAnsi="Arial"/>
          <w:sz w:val="18"/>
          <w:szCs w:val="18"/>
          <w:color w:val="auto"/>
        </w:rPr>
        <w:t>. If any provision or covenant, or any part thereof, contained in the Confidentiality Provisions is held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Exhibit C shall not supersede those set forth in either: (a) any Executive Severance Agreement applicable to Grantee, if any, (b) any Confidentiality, Inventions and Non-Solicitation Agreement to which Grantee is a party, if any, or (c) any restrictive covenants to which Grantee is a party under any employment agreement or offer letter, if 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applicable local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1(b) of the Confidentiality Provisions: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information which meets all of the following requirements:</w:t>
      </w:r>
    </w:p>
    <w:p>
      <w:pPr>
        <w:spacing w:after="0" w:line="193" w:lineRule="exact"/>
        <w:rPr>
          <w:sz w:val="20"/>
          <w:szCs w:val="20"/>
          <w:color w:val="auto"/>
        </w:rPr>
      </w:pPr>
    </w:p>
    <w:p>
      <w:pPr>
        <w:ind w:firstLine="1279"/>
        <w:spacing w:after="0" w:line="261" w:lineRule="auto"/>
        <w:tabs>
          <w:tab w:leader="none" w:pos="15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43" w:lineRule="exact"/>
        <w:rPr>
          <w:rFonts w:ascii="Arial" w:cs="Arial" w:eastAsia="Arial" w:hAnsi="Arial"/>
          <w:sz w:val="18"/>
          <w:szCs w:val="18"/>
          <w:color w:val="auto"/>
        </w:rPr>
      </w:pPr>
    </w:p>
    <w:p>
      <w:pPr>
        <w:ind w:left="1540" w:hanging="261"/>
        <w:spacing w:after="0"/>
        <w:tabs>
          <w:tab w:leader="none" w:pos="1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commercial value because it is secret; and</w:t>
      </w:r>
    </w:p>
    <w:p>
      <w:pPr>
        <w:spacing w:after="0" w:line="171" w:lineRule="exact"/>
        <w:rPr>
          <w:rFonts w:ascii="Arial" w:cs="Arial" w:eastAsia="Arial" w:hAnsi="Arial"/>
          <w:sz w:val="18"/>
          <w:szCs w:val="18"/>
          <w:color w:val="auto"/>
        </w:rPr>
      </w:pPr>
    </w:p>
    <w:p>
      <w:pPr>
        <w:ind w:left="1560" w:hanging="281"/>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been subject to reasonable steps under the circumstances, by the person lawfully in control of the information, to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keep it secret.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1(c) of the Confidentiality Provisions:</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those entities and/or individuals which, within the twelve month period preceding the Date of Termination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that term is defined in Restricted Stock Unit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twelve-month period referenced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1(h)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“Material Contact” </w:t>
      </w:r>
      <w:r>
        <w:rPr>
          <w:rFonts w:ascii="Arial" w:cs="Arial" w:eastAsia="Arial" w:hAnsi="Arial"/>
          <w:sz w:val="18"/>
          <w:szCs w:val="18"/>
          <w:color w:val="auto"/>
        </w:rPr>
        <w:t>means material contact between an employee and each Customer or potential Customer: with whom 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the Date of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1(i) (“Termination for Cause” or “Terminated for Cause”) of the Confidentiality Provisions is hereby deleted.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1(j) of the Confidentiality Provisions: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“Inventions” and “Intellectual Property” </w:t>
      </w:r>
      <w:r>
        <w:rPr>
          <w:rFonts w:ascii="Arial" w:cs="Arial" w:eastAsia="Arial" w:hAnsi="Arial"/>
          <w:sz w:val="18"/>
          <w:szCs w:val="18"/>
          <w:color w:val="auto"/>
        </w:rPr>
        <w:t>The term “Invention” means contributions, discoveries, improvements, ideas,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designations, developments, methods, modifications, improvements, processes, algorithms, databases, computer programs, formulae, techniques, trade secrets, graphics or images, and audio or visual works, written text, software, code, and other works of authorship, whether or not patentable or copyrightable, whether or not recorded in any medium and: (i) which relate directly to the business of the Company, or (ii) which result from any work performed by Grantee or by Grantee’s fellow employees for the Company, or (iii) 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2(d) of the Confidentiality Provisions: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Grantee does hereby assign and transfer to the Company and its successors and assigns the entire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any Invention which is or was made or conceived, either solely or jointly with others, during his/her employment with the Company, including after the Date of Termination. To the extent that any Intellectual Property which is or was created or conceived, either solely or jointly with others, during his/her employment with the Company does not vest in the Company automatically and/or pending any assignment of such Intellectual Property, Grantee shall hold such Intellectual Property on trust for the Company. Grantee hereby irrevocably and unconditionally waives all claims to any moral rights or other special rights which it may have or accrue in any Inventions or Intellectual Property. Grantee attests that he/she has disclosed (or promptly will disclose, if after the Date of Termination) to the Company all Inventions. Grantee will, if requested, promptly execute and deliver to</w:t>
      </w:r>
    </w:p>
    <w:p>
      <w:pPr>
        <w:sectPr>
          <w:pgSz w:w="11900" w:h="16838" w:orient="portrait"/>
          <w:cols w:equalWidth="0" w:num="1">
            <w:col w:w="11240"/>
          </w:cols>
          <w:pgMar w:left="320" w:top="118"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a specific assignment of title for any such Invention or Intellectual Property right and will at the expense of the Company, take all reasonably required action by the Company to patent, copyright or otherwise protect the Invention.”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2(e)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Grantee acknowledges and agrees that during his/her employment, and for twelve (12) months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 the Territory that derives revenue from providing goods or services substantially similar to those which comprise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2(f) of the Confidentiality Provisions: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Grantee acknowledges and agrees that during his/her employment, and for twelve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Termination, Grantee has not and will not directly or indirectly solicit Customers (as defined in Section 1(c) above) with whom he/she had Material Contact (as defined above) for the purpose of providing goods and/or services competitive with the Company’s Business with which Grantee was materially concerned in the period of twelve (12) months prior to the Date of Termination</w:t>
      </w:r>
      <w:r>
        <w:rPr>
          <w:rFonts w:ascii="Arial" w:cs="Arial" w:eastAsia="Arial" w:hAnsi="Arial"/>
          <w:sz w:val="18"/>
          <w:szCs w:val="18"/>
          <w:i w:val="1"/>
          <w:i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2(g)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Non-Solicitation of Employees and Agents. </w:t>
      </w:r>
      <w:r>
        <w:rPr>
          <w:rFonts w:ascii="Arial" w:cs="Arial" w:eastAsia="Arial" w:hAnsi="Arial"/>
          <w:sz w:val="18"/>
          <w:szCs w:val="18"/>
          <w:color w:val="auto"/>
        </w:rPr>
        <w:t>Grantee acknowledges and agrees that during his/her employment, and for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twelve (12) months after the Date of Termination, Grantee has not and will not, directly or indirectly, whether on behalf of Grantee or others, solicit, lure or attempt to hire away any of the Company’s employees or agents with whom Grantee has material contact or managed in a direct line management capacity in the period of twelve (12) months prior to the Date of Termination or who had Material Contact with Customers in performing his/her duties of employment with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2(h) of the Confidentiality Provisions: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Non-Solicitation of Sales Agents. </w:t>
      </w:r>
      <w:r>
        <w:rPr>
          <w:rFonts w:ascii="Arial" w:cs="Arial" w:eastAsia="Arial" w:hAnsi="Arial"/>
          <w:sz w:val="18"/>
          <w:szCs w:val="18"/>
          <w:color w:val="auto"/>
        </w:rPr>
        <w:t>Grantee acknowledges and agrees that during his/her employment, and for a period of twelve</w:t>
      </w:r>
    </w:p>
    <w:p>
      <w:pPr>
        <w:spacing w:after="0" w:line="31" w:lineRule="exact"/>
        <w:rPr>
          <w:sz w:val="20"/>
          <w:szCs w:val="20"/>
          <w:color w:val="auto"/>
        </w:rPr>
      </w:pPr>
    </w:p>
    <w:p>
      <w:pPr>
        <w:jc w:val="both"/>
        <w:ind w:firstLine="8"/>
        <w:spacing w:after="0" w:line="252" w:lineRule="auto"/>
        <w:tabs>
          <w:tab w:leader="none" w:pos="3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with which Grantee was materially concerned in the period of twelve (12) months prior to the Date of Termination. For purposes of this Section 2, a “Sales Agent” is any third-party agency, and/or its representatives, with which or whom the Company has contracted for the purpose of facilitating the sale of the Company’s products during the last twelve (12) months of Grantee’s employment with the Company and with whom Grantee had material contact or responsibility in his capacity as an employee of the Company during that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7 of the Confidentiality Provisions: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Amendments and Modifications. </w:t>
      </w:r>
      <w:r>
        <w:rPr>
          <w:rFonts w:ascii="Arial" w:cs="Arial" w:eastAsia="Arial" w:hAnsi="Arial"/>
          <w:sz w:val="18"/>
          <w:szCs w:val="18"/>
          <w:color w:val="auto"/>
        </w:rPr>
        <w:t>The Confidentiality Provisions and any Exhibit hereto may be amended or modified only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parties hereto, which makes specific reference to the Confidentiality Provisions. However, this Section does not affect a court of competent jurisdiction or arbitrator`s ability to modify the Confidentiality Provisions in the event that either party initiates legal proceedings that relate in any way to this Confidentiality Provisions, including any action brought by either party seeking to enforce any provision set forth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Section 8 of the Confidentiality Provisions:</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validity and effect of the Confidentiality Provisions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enforced in accordance with the laws of England and Wales. Any and all</w:t>
      </w:r>
    </w:p>
    <w:p>
      <w:pPr>
        <w:sectPr>
          <w:pgSz w:w="11900" w:h="16838" w:orient="portrait"/>
          <w:cols w:equalWidth="0" w:num="1">
            <w:col w:w="11240"/>
          </w:cols>
          <w:pgMar w:left="320" w:top="118"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disputes relating to, concerning or arising from the Confidentiality Provisions, or relating to, concerning or arising from the relationship between the parties evidenced by the Confidentiality Provisions, shall be brought and heard exclusively in the Courts of England and Wales.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provisions are deleted in their entirety: Sections 10 </w:t>
      </w:r>
      <w:r>
        <w:rPr>
          <w:rFonts w:ascii="Arial" w:cs="Arial" w:eastAsia="Arial" w:hAnsi="Arial"/>
          <w:sz w:val="18"/>
          <w:szCs w:val="18"/>
          <w:b w:val="1"/>
          <w:bCs w:val="1"/>
          <w:color w:val="auto"/>
        </w:rPr>
        <w:t>(“Tender Back Provision”</w:t>
      </w:r>
      <w:r>
        <w:rPr>
          <w:rFonts w:ascii="Arial" w:cs="Arial" w:eastAsia="Arial" w:hAnsi="Arial"/>
          <w:sz w:val="18"/>
          <w:szCs w:val="18"/>
          <w:color w:val="auto"/>
        </w:rPr>
        <w:t xml:space="preserve">) and Section 11 </w:t>
      </w:r>
      <w:r>
        <w:rPr>
          <w:rFonts w:ascii="Arial" w:cs="Arial" w:eastAsia="Arial" w:hAnsi="Arial"/>
          <w:sz w:val="18"/>
          <w:szCs w:val="18"/>
          <w:b w:val="1"/>
          <w:bCs w:val="1"/>
          <w:color w:val="auto"/>
        </w:rPr>
        <w:t>(“Tolling Period”</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following new Section 13 is inserted as follows: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Subsidiaries. </w:t>
      </w:r>
      <w:r>
        <w:rPr>
          <w:rFonts w:ascii="Arial" w:cs="Arial" w:eastAsia="Arial" w:hAnsi="Arial"/>
          <w:sz w:val="18"/>
          <w:szCs w:val="18"/>
          <w:color w:val="auto"/>
        </w:rPr>
        <w:t>The provisions of Sections 2(e) through Section 2(h) shall only apply in respect of those subsidiaries to whom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his services, for whom he was responsible or with whom he was otherwise materially concerned in the period of twelve (12) 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14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2020, as filed with the Securities and Exchange Commission on the date hereof (the “Report”), the undersigned, the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7,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2020,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43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7,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1)"/>
      <w:numFmt w:val="decimal"/>
      <w:start w:val="1"/>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1)"/>
      <w:numFmt w:val="decimal"/>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1)"/>
      <w:numFmt w:val="lowerRoman"/>
      <w:start w:val="2"/>
    </w:lvl>
  </w:abstractNum>
  <w:abstractNum w:abstractNumId="6">
    <w:nsid w:val="10233C9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
    <w:nsid w:val="3F6AB60F"/>
    <w:multiLevelType w:val="hybridMultilevel"/>
    <w:lvl w:ilvl="0">
      <w:lvlJc w:val="left"/>
      <w:lvlText w:val="%1"/>
      <w:numFmt w:val="lowerLetter"/>
      <w:start w:val="1"/>
    </w:lvl>
    <w:lvl w:ilvl="1">
      <w:lvlJc w:val="left"/>
      <w:lvlText w:val="(%2)"/>
      <w:numFmt w:val="lowerRoman"/>
      <w:start w:val="4"/>
    </w:lvl>
  </w:abstractNum>
  <w:abstractNum w:abstractNumId="8">
    <w:nsid w:val="61574095"/>
    <w:multiLevelType w:val="hybridMultilevel"/>
    <w:lvl w:ilvl="0">
      <w:lvlJc w:val="left"/>
      <w:lvlText w:val="(%1)"/>
      <w:numFmt w:val="lowerLetter"/>
      <w:start w:val="3"/>
    </w:lvl>
    <w:lvl w:ilvl="1">
      <w:lvlJc w:val="left"/>
      <w:lvlText w:val="(%2)"/>
      <w:numFmt w:val="lowerRoman"/>
      <w:start w:val="1"/>
    </w:lvl>
  </w:abstractNum>
  <w:abstractNum w:abstractNumId="9">
    <w:nsid w:val="7E0C57B1"/>
    <w:multiLevelType w:val="hybridMultilevel"/>
    <w:lvl w:ilvl="0">
      <w:lvlJc w:val="left"/>
      <w:lvlText w:val="(%1)"/>
      <w:numFmt w:val="lowerRoman"/>
      <w:start w:val="3"/>
    </w:lvl>
  </w:abstractNum>
  <w:abstractNum w:abstractNumId="10">
    <w:nsid w:val="77AE35EB"/>
    <w:multiLevelType w:val="hybridMultilevel"/>
    <w:lvl w:ilvl="0">
      <w:lvlJc w:val="left"/>
      <w:lvlText w:val="%1"/>
      <w:numFmt w:val="lowerLetter"/>
      <w:start w:val="1"/>
    </w:lvl>
    <w:lvl w:ilvl="1">
      <w:lvlJc w:val="left"/>
      <w:lvlText w:val="(%2)"/>
      <w:numFmt w:val="lowerRoman"/>
      <w:start w:val="4"/>
    </w:lvl>
  </w:abstractNum>
  <w:abstractNum w:abstractNumId="11">
    <w:nsid w:val="579BE4F1"/>
    <w:multiLevelType w:val="hybridMultilevel"/>
    <w:lvl w:ilvl="0">
      <w:lvlJc w:val="left"/>
      <w:lvlText w:val="(%1)"/>
      <w:numFmt w:val="lowerLetter"/>
      <w:start w:val="4"/>
    </w:lvl>
    <w:lvl w:ilvl="1">
      <w:lvlJc w:val="left"/>
      <w:lvlText w:val="(%2)"/>
      <w:numFmt w:val="lowerRoman"/>
      <w:start w:val="1"/>
    </w:lvl>
  </w:abstractNum>
  <w:abstractNum w:abstractNumId="12">
    <w:nsid w:val="310C50B3"/>
    <w:multiLevelType w:val="hybridMultilevel"/>
    <w:lvl w:ilvl="0">
      <w:lvlJc w:val="left"/>
      <w:lvlText w:val="(%1)"/>
      <w:numFmt w:val="lowerRoman"/>
      <w:start w:val="3"/>
    </w:lvl>
  </w:abstractNum>
  <w:abstractNum w:abstractNumId="13">
    <w:nsid w:val="5FF87E05"/>
    <w:multiLevelType w:val="hybridMultilevel"/>
    <w:lvl w:ilvl="0">
      <w:lvlJc w:val="left"/>
      <w:lvlText w:val="(%1)"/>
      <w:numFmt w:val="lowerLetter"/>
      <w:start w:val="1"/>
    </w:lvl>
  </w:abstractNum>
  <w:abstractNum w:abstractNumId="14">
    <w:nsid w:val="2F305DEF"/>
    <w:multiLevelType w:val="hybridMultilevel"/>
    <w:lvl w:ilvl="0">
      <w:lvlJc w:val="left"/>
      <w:lvlText w:val="(%1)"/>
      <w:numFmt w:val="lowerLetter"/>
      <w:start w:val="3"/>
    </w:lvl>
  </w:abstractNum>
  <w:abstractNum w:abstractNumId="15">
    <w:nsid w:val="25A70BF7"/>
    <w:multiLevelType w:val="hybridMultilevel"/>
    <w:lvl w:ilvl="0">
      <w:lvlJc w:val="left"/>
      <w:lvlText w:val="%1"/>
      <w:numFmt w:val="decimal"/>
      <w:start w:val="1"/>
    </w:lvl>
    <w:lvl w:ilvl="1">
      <w:lvlJc w:val="left"/>
      <w:lvlText w:val="(%2)"/>
      <w:numFmt w:val="lowerLetter"/>
      <w:start w:val="4"/>
    </w:lvl>
  </w:abstractNum>
  <w:abstractNum w:abstractNumId="16">
    <w:nsid w:val="1DBABF00"/>
    <w:multiLevelType w:val="hybridMultilevel"/>
    <w:lvl w:ilvl="0">
      <w:lvlJc w:val="left"/>
      <w:lvlText w:val="(%1)"/>
      <w:numFmt w:val="decimal"/>
      <w:start w:val="12"/>
    </w:lvl>
    <w:lvl w:ilvl="1">
      <w:lvlJc w:val="left"/>
      <w:lvlText w:val="(%2)"/>
      <w:numFmt w:val="lowerLetter"/>
      <w:start w:val="5"/>
    </w:lvl>
  </w:abstractNum>
  <w:abstractNum w:abstractNumId="17">
    <w:nsid w:val="4AD084E9"/>
    <w:multiLevelType w:val="hybridMultilevel"/>
    <w:lvl w:ilvl="0">
      <w:lvlJc w:val="left"/>
      <w:lvlText w:val="(%1)"/>
      <w:numFmt w:val="lowerLetter"/>
      <w:start w:val="1"/>
    </w:lvl>
  </w:abstractNum>
  <w:abstractNum w:abstractNumId="18">
    <w:nsid w:val="1F48EAA1"/>
    <w:multiLevelType w:val="hybridMultilevel"/>
    <w:lvl w:ilvl="0">
      <w:lvlJc w:val="left"/>
      <w:lvlText w:val="(%1)"/>
      <w:numFmt w:val="lowerRoman"/>
      <w:start w:val="1"/>
    </w:lvl>
  </w:abstractNum>
  <w:abstractNum w:abstractNumId="19">
    <w:nsid w:val="1381823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lowerRoman"/>
      <w:start w:val="1"/>
    </w:lvl>
  </w:abstractNum>
  <w:abstractNum w:abstractNumId="20">
    <w:nsid w:val="5DB70AE5"/>
    <w:multiLevelType w:val="hybridMultilevel"/>
    <w:lvl w:ilvl="0">
      <w:lvlJc w:val="left"/>
      <w:lvlText w:val="(%1)"/>
      <w:numFmt w:val="decimal"/>
      <w:start w:val="2"/>
    </w:lvl>
    <w:lvl w:ilvl="1">
      <w:lvlJc w:val="left"/>
      <w:lvlText w:val="(%2)"/>
      <w:numFmt w:val="lowerLetter"/>
      <w:start w:val="5"/>
    </w:lvl>
    <w:lvl w:ilvl="2">
      <w:lvlJc w:val="left"/>
      <w:lvlText w:val="(%3)"/>
      <w:numFmt w:val="decimal"/>
      <w:start w:val="6"/>
    </w:lvl>
    <w:lvl w:ilvl="3">
      <w:lvlJc w:val="left"/>
      <w:lvlText w:val="(%4)"/>
      <w:numFmt w:val="lowerRoman"/>
      <w:start w:val="1"/>
    </w:lvl>
  </w:abstractNum>
  <w:abstractNum w:abstractNumId="21">
    <w:nsid w:val="100F8FCA"/>
    <w:multiLevelType w:val="hybridMultilevel"/>
    <w:lvl w:ilvl="0">
      <w:lvlJc w:val="left"/>
      <w:lvlText w:val="(%1)"/>
      <w:numFmt w:val="lowerRoman"/>
      <w:start w:val="3"/>
    </w:lvl>
  </w:abstractNum>
  <w:abstractNum w:abstractNumId="22">
    <w:nsid w:val="6590700B"/>
    <w:multiLevelType w:val="hybridMultilevel"/>
    <w:lvl w:ilvl="0">
      <w:lvlJc w:val="left"/>
      <w:lvlText w:val="(%1)"/>
      <w:numFmt w:val="lowerRoman"/>
      <w:start w:val="8"/>
    </w:lvl>
  </w:abstractNum>
  <w:abstractNum w:abstractNumId="23">
    <w:nsid w:val="15014ACB"/>
    <w:multiLevelType w:val="hybridMultilevel"/>
    <w:lvl w:ilvl="0">
      <w:lvlJc w:val="left"/>
      <w:lvlText w:val="(%1)"/>
      <w:numFmt w:val="lowerLetter"/>
      <w:start w:val="6"/>
    </w:lvl>
    <w:lvl w:ilvl="1">
      <w:lvlJc w:val="left"/>
      <w:lvlText w:val="(%2)"/>
      <w:numFmt w:val="lowerLetter"/>
      <w:start w:val="9"/>
    </w:lvl>
  </w:abstractNum>
  <w:abstractNum w:abstractNumId="24">
    <w:nsid w:val="5F5E7FD0"/>
    <w:multiLevelType w:val="hybridMultilevel"/>
    <w:lvl w:ilvl="0">
      <w:lvlJc w:val="left"/>
      <w:lvlText w:val="(%1)"/>
      <w:numFmt w:val="lowerLetter"/>
      <w:start w:val="10"/>
    </w:lvl>
  </w:abstractNum>
  <w:abstractNum w:abstractNumId="25">
    <w:nsid w:val="98A3148"/>
    <w:multiLevelType w:val="hybridMultilevel"/>
    <w:lvl w:ilvl="0">
      <w:lvlJc w:val="left"/>
      <w:lvlText w:val="%1"/>
      <w:numFmt w:val="lowerLetter"/>
      <w:start w:val="1"/>
    </w:lvl>
    <w:lvl w:ilvl="1">
      <w:lvlJc w:val="left"/>
      <w:lvlText w:val="(%2)"/>
      <w:numFmt w:val="lowerLetter"/>
      <w:start w:val="12"/>
    </w:lvl>
  </w:abstractNum>
  <w:abstractNum w:abstractNumId="26">
    <w:nsid w:val="799D0247"/>
    <w:multiLevelType w:val="hybridMultilevel"/>
    <w:lvl w:ilvl="0">
      <w:lvlJc w:val="left"/>
      <w:lvlText w:val="(%1)"/>
      <w:numFmt w:val="lowerLetter"/>
      <w:start w:val="9"/>
    </w:lvl>
    <w:lvl w:ilvl="1">
      <w:lvlJc w:val="left"/>
      <w:lvlText w:val="%2"/>
      <w:numFmt w:val="lowerLetter"/>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decimal"/>
      <w:start w:val="4"/>
    </w:lvl>
    <w:lvl w:ilvl="1">
      <w:lvlJc w:val="left"/>
      <w:lvlText w:val="%2."/>
      <w:numFmt w:val="lowerLetter"/>
      <w:start w:val="1"/>
    </w:lvl>
  </w:abstractNum>
  <w:abstractNum w:abstractNumId="30">
    <w:nsid w:val="1EBA5D23"/>
    <w:multiLevelType w:val="hybridMultilevel"/>
    <w:lvl w:ilvl="0">
      <w:lvlJc w:val="left"/>
      <w:lvlText w:val="%1"/>
      <w:numFmt w:val="decimal"/>
      <w:start w:val="1"/>
    </w:lvl>
    <w:lvl w:ilvl="1">
      <w:lvlJc w:val="left"/>
      <w:lvlText w:val="%2."/>
      <w:numFmt w:val="lowerLetter"/>
      <w:start w:val="5"/>
    </w:lvl>
  </w:abstractNum>
  <w:abstractNum w:abstractNumId="31">
    <w:nsid w:val="661E3F1E"/>
    <w:multiLevelType w:val="hybridMultilevel"/>
    <w:lvl w:ilvl="0">
      <w:lvlJc w:val="left"/>
      <w:lvlText w:val="%1."/>
      <w:numFmt w:val="decimal"/>
      <w:start w:val="6"/>
    </w:lvl>
    <w:lvl w:ilvl="1">
      <w:lvlJc w:val="left"/>
      <w:lvlText w:val="%2"/>
      <w:numFmt w:val="lowerLetter"/>
      <w:start w:val="1"/>
    </w:lvl>
  </w:abstractNum>
  <w:abstractNum w:abstractNumId="32">
    <w:nsid w:val="5DC79EA8"/>
    <w:multiLevelType w:val="hybridMultilevel"/>
    <w:lvl w:ilvl="0">
      <w:lvlJc w:val="left"/>
      <w:lvlText w:val="%1."/>
      <w:numFmt w:val="decimal"/>
      <w:start w:val="8"/>
    </w:lvl>
  </w:abstractNum>
  <w:abstractNum w:abstractNumId="33">
    <w:nsid w:val="540A471C"/>
    <w:multiLevelType w:val="hybridMultilevel"/>
    <w:lvl w:ilvl="0">
      <w:lvlJc w:val="left"/>
      <w:lvlText w:val="%1."/>
      <w:numFmt w:val="decimal"/>
      <w:start w:val="14"/>
    </w:lvl>
    <w:lvl w:ilvl="1">
      <w:lvlJc w:val="left"/>
      <w:lvlText w:val="%2."/>
      <w:numFmt w:val="lowerLetter"/>
      <w:start w:val="1"/>
    </w:lvl>
  </w:abstractNum>
  <w:abstractNum w:abstractNumId="34">
    <w:nsid w:val="7BD3EE7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5">
    <w:nsid w:val="51D9C564"/>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6">
    <w:nsid w:val="613EFDC5"/>
    <w:multiLevelType w:val="hybridMultilevel"/>
    <w:lvl w:ilvl="0">
      <w:lvlJc w:val="left"/>
      <w:lvlText w:val="%1."/>
      <w:numFmt w:val="lowerLetter"/>
      <w:start w:val="4"/>
    </w:lvl>
  </w:abstractNum>
  <w:abstractNum w:abstractNumId="37">
    <w:nsid w:val="BF72B14"/>
    <w:multiLevelType w:val="hybridMultilevel"/>
    <w:lvl w:ilvl="0">
      <w:lvlJc w:val="left"/>
      <w:lvlText w:val="%1."/>
      <w:numFmt w:val="decimal"/>
      <w:start w:val="18"/>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5"/>
    </w:lvl>
  </w:abstractNum>
  <w:abstractNum w:abstractNumId="40">
    <w:nsid w:val="A0382C5"/>
    <w:multiLevelType w:val="hybridMultilevel"/>
    <w:lvl w:ilvl="0">
      <w:lvlJc w:val="left"/>
      <w:lvlText w:val="%1."/>
      <w:numFmt w:val="decimal"/>
      <w:start w:val="13"/>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2"/>
    </w:lvl>
  </w:abstractNum>
  <w:abstractNum w:abstractNumId="44">
    <w:nsid w:val="68EB2F63"/>
    <w:multiLevelType w:val="hybridMultilevel"/>
    <w:lvl w:ilvl="0">
      <w:lvlJc w:val="left"/>
      <w:lvlText w:val="%1."/>
      <w:numFmt w:val="lowerLetter"/>
      <w:start w:val="1"/>
    </w:lvl>
  </w:abstractNum>
  <w:abstractNum w:abstractNumId="45">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6">
    <w:nsid w:val="60B6DF70"/>
    <w:multiLevelType w:val="hybridMultilevel"/>
    <w:lvl w:ilvl="0">
      <w:lvlJc w:val="left"/>
      <w:lvlText w:val="%1"/>
      <w:numFmt w:val="lowerLetter"/>
      <w:start w:val="1"/>
    </w:lvl>
    <w:lvl w:ilvl="1">
      <w:lvlJc w:val="left"/>
      <w:lvlText w:val="%2."/>
      <w:numFmt w:val="decimal"/>
      <w:start w:val="4"/>
    </w:lvl>
  </w:abstractNum>
  <w:abstractNum w:abstractNumId="47">
    <w:nsid w:val="6A5EE64"/>
    <w:multiLevelType w:val="hybridMultilevel"/>
    <w:lvl w:ilvl="0">
      <w:lvlJc w:val="left"/>
      <w:lvlText w:val="%1."/>
      <w:numFmt w:val="lowerLetter"/>
      <w:start w:val="2"/>
    </w:lvl>
    <w:lvl w:ilvl="1">
      <w:lvlJc w:val="left"/>
      <w:lvlText w:val="%2"/>
      <w:numFmt w:val="decimal"/>
      <w:start w:val="1"/>
    </w:lvl>
  </w:abstractNum>
  <w:abstractNum w:abstractNumId="48">
    <w:nsid w:val="1433062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2"/>
    </w:lvl>
    <w:lvl w:ilvl="3">
      <w:lvlJc w:val="left"/>
      <w:lvlText w:val="%4."/>
      <w:numFmt w:val="lowerRoman"/>
      <w:start w:val="3"/>
    </w:lvl>
    <w:lvl w:ilvl="4">
      <w:lvlJc w:val="left"/>
      <w:lvlText w:val="%5."/>
      <w:numFmt w:val="lowerRoman"/>
      <w:start w:val="1"/>
    </w:lvl>
  </w:abstractNum>
  <w:abstractNum w:abstractNumId="49">
    <w:nsid w:val="7FFFCA1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50">
    <w:nsid w:val="1A27709E"/>
    <w:multiLevelType w:val="hybridMultilevel"/>
    <w:lvl w:ilvl="0">
      <w:lvlJc w:val="left"/>
      <w:lvlText w:val="%1."/>
      <w:numFmt w:val="lowerLetter"/>
      <w:start w:val="2"/>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3"/>
    </w:lvl>
    <w:lvl w:ilvl="1">
      <w:lvlJc w:val="left"/>
      <w:lvlText w:val="%2."/>
      <w:numFmt w:val="lowerRoman"/>
      <w:start w:val="1"/>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decimal"/>
      <w:start w:val="3"/>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lowerLetter"/>
      <w:start w:val="2"/>
    </w:lvl>
    <w:lvl w:ilvl="1">
      <w:lvlJc w:val="left"/>
      <w:lvlText w:val="%2."/>
      <w:numFmt w:val="decimal"/>
      <w:start w:val="1"/>
    </w:lvl>
  </w:abstractNum>
  <w:abstractNum w:abstractNumId="57">
    <w:nsid w:val="885E1B"/>
    <w:multiLevelType w:val="hybridMultilevel"/>
    <w:lvl w:ilvl="0">
      <w:lvlJc w:val="left"/>
      <w:lvlText w:val="%1."/>
      <w:numFmt w:val="decimal"/>
      <w:start w:val="3"/>
    </w:lvl>
  </w:abstractNum>
  <w:abstractNum w:abstractNumId="58">
    <w:nsid w:val="76272110"/>
    <w:multiLevelType w:val="hybridMultilevel"/>
    <w:lvl w:ilvl="0">
      <w:lvlJc w:val="left"/>
      <w:lvlText w:val="(%1)"/>
      <w:numFmt w:val="lowerRoman"/>
      <w:start w:val="1"/>
    </w:lvl>
  </w:abstractNum>
  <w:abstractNum w:abstractNumId="59">
    <w:nsid w:val="4C04A8AF"/>
    <w:multiLevelType w:val="hybridMultilevel"/>
    <w:lvl w:ilvl="0">
      <w:lvlJc w:val="left"/>
      <w:lvlText w:val="(%1)"/>
      <w:numFmt w:val="lowerRoman"/>
      <w:start w:val="2"/>
    </w:lvl>
  </w:abstractNum>
  <w:abstractNum w:abstractNumId="60">
    <w:nsid w:val="1716703B"/>
    <w:multiLevelType w:val="hybridMultilevel"/>
    <w:lvl w:ilvl="0">
      <w:lvlJc w:val="left"/>
      <w:lvlText w:val="(%1)"/>
      <w:numFmt w:val="lowerRoman"/>
      <w:start w:val="1"/>
    </w:lvl>
  </w:abstractNum>
  <w:abstractNum w:abstractNumId="61">
    <w:nsid w:val="14E17E33"/>
    <w:multiLevelType w:val="hybridMultilevel"/>
    <w:lvl w:ilvl="0">
      <w:lvlJc w:val="left"/>
      <w:lvlText w:val="(%1)"/>
      <w:numFmt w:val="lowerRoman"/>
      <w:start w:val="2"/>
    </w:lvl>
  </w:abstractNum>
  <w:abstractNum w:abstractNumId="62">
    <w:nsid w:val="3222E7CD"/>
    <w:multiLevelType w:val="hybridMultilevel"/>
    <w:lvl w:ilvl="0">
      <w:lvlJc w:val="left"/>
      <w:lvlText w:val="(%1)"/>
      <w:numFmt w:val="lowerRoman"/>
      <w:start w:val="6"/>
    </w:lvl>
  </w:abstractNum>
  <w:abstractNum w:abstractNumId="63">
    <w:nsid w:val="74DE0EE3"/>
    <w:multiLevelType w:val="hybridMultilevel"/>
    <w:lvl w:ilvl="0">
      <w:lvlJc w:val="left"/>
      <w:lvlText w:val="(%1)"/>
      <w:numFmt w:val="lowerRoman"/>
      <w:start w:val="6"/>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lowerRoman"/>
      <w:start w:val="1"/>
    </w:lvl>
  </w:abstractNum>
  <w:abstractNum w:abstractNumId="66">
    <w:nsid w:val="46B7D447"/>
    <w:multiLevelType w:val="hybridMultilevel"/>
    <w:lvl w:ilvl="0">
      <w:lvlJc w:val="left"/>
      <w:lvlText w:val="%1."/>
      <w:numFmt w:val="lowerRoman"/>
      <w:start w:val="2"/>
    </w:lvl>
  </w:abstractNum>
  <w:abstractNum w:abstractNumId="67">
    <w:nsid w:val="4A2AC315"/>
    <w:multiLevelType w:val="hybridMultilevel"/>
    <w:lvl w:ilvl="0">
      <w:lvlJc w:val="left"/>
      <w:lvlText w:val="%1."/>
      <w:numFmt w:val="lowerRoman"/>
      <w:start w:val="4"/>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decimal"/>
      <w:start w:val="12"/>
    </w:lvl>
  </w:abstractNum>
  <w:abstractNum w:abstractNumId="70">
    <w:nsid w:val="CC1016F"/>
    <w:multiLevelType w:val="hybridMultilevel"/>
    <w:lvl w:ilvl="0">
      <w:lvlJc w:val="left"/>
      <w:lvlText w:val="%1."/>
      <w:numFmt w:val="decimal"/>
      <w:start w:val="1"/>
    </w:lvl>
    <w:lvl w:ilvl="1">
      <w:lvlJc w:val="left"/>
      <w:lvlText w:val="%2"/>
      <w:numFmt w:val="lowerLetter"/>
      <w:start w:val="1"/>
    </w:lvl>
  </w:abstractNum>
  <w:abstractNum w:abstractNumId="71">
    <w:nsid w:val="43F18422"/>
    <w:multiLevelType w:val="hybridMultilevel"/>
    <w:lvl w:ilvl="0">
      <w:lvlJc w:val="left"/>
      <w:lvlText w:val="%1"/>
      <w:numFmt w:val="decimal"/>
      <w:start w:val="1"/>
    </w:lvl>
    <w:lvl w:ilvl="1">
      <w:lvlJc w:val="left"/>
      <w:lvlText w:val="%2."/>
      <w:numFmt w:val="lowerLetter"/>
      <w:start w:val="2"/>
    </w:lvl>
  </w:abstractNum>
  <w:abstractNum w:abstractNumId="72">
    <w:nsid w:val="60EF0119"/>
    <w:multiLevelType w:val="hybridMultilevel"/>
    <w:lvl w:ilvl="0">
      <w:lvlJc w:val="left"/>
      <w:lvlText w:val="%1."/>
      <w:numFmt w:val="decimal"/>
      <w:start w:val="5"/>
    </w:lvl>
    <w:lvl w:ilvl="1">
      <w:lvlJc w:val="left"/>
      <w:lvlText w:val="%2"/>
      <w:numFmt w:val="lowerLetter"/>
      <w:start w:val="1"/>
    </w:lvl>
  </w:abstractNum>
  <w:abstractNum w:abstractNumId="73">
    <w:nsid w:val="26F324BA"/>
    <w:multiLevelType w:val="hybridMultilevel"/>
    <w:lvl w:ilvl="0">
      <w:lvlJc w:val="left"/>
      <w:lvlText w:val="%1."/>
      <w:numFmt w:val="decimal"/>
      <w:start w:val="7"/>
    </w:lvl>
  </w:abstractNum>
  <w:abstractNum w:abstractNumId="74">
    <w:nsid w:val="7F01579B"/>
    <w:multiLevelType w:val="hybridMultilevel"/>
    <w:lvl w:ilvl="0">
      <w:lvlJc w:val="left"/>
      <w:lvlText w:val="%1."/>
      <w:numFmt w:val="decimal"/>
      <w:start w:val="13"/>
    </w:lvl>
  </w:abstractNum>
  <w:abstractNum w:abstractNumId="75">
    <w:nsid w:val="49DA307D"/>
    <w:multiLevelType w:val="hybridMultilevel"/>
    <w:lvl w:ilvl="0">
      <w:lvlJc w:val="left"/>
      <w:lvlText w:val="%1."/>
      <w:numFmt w:val="decimal"/>
      <w:start w:val="1"/>
    </w:lvl>
    <w:lvl w:ilvl="1">
      <w:lvlJc w:val="left"/>
      <w:lvlText w:val="%2."/>
      <w:numFmt w:val="lowerLetter"/>
      <w:start w:val="1"/>
    </w:lvl>
  </w:abstractNum>
  <w:abstractNum w:abstractNumId="76">
    <w:nsid w:val="7055A5F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77">
    <w:nsid w:val="5FB837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8">
    <w:nsid w:val="50801EE1"/>
    <w:multiLevelType w:val="hybridMultilevel"/>
    <w:lvl w:ilvl="0">
      <w:lvlJc w:val="left"/>
      <w:lvlText w:val="%1"/>
      <w:numFmt w:val="decimal"/>
      <w:start w:val="1"/>
    </w:lvl>
    <w:lvl w:ilvl="1">
      <w:lvlJc w:val="left"/>
      <w:lvlText w:val="%2."/>
      <w:numFmt w:val="lowerLetter"/>
      <w:start w:val="4"/>
    </w:lvl>
  </w:abstractNum>
  <w:abstractNum w:abstractNumId="79">
    <w:nsid w:val="488AC1A"/>
    <w:multiLevelType w:val="hybridMultilevel"/>
    <w:lvl w:ilvl="0">
      <w:lvlJc w:val="left"/>
      <w:lvlText w:val="%1."/>
      <w:numFmt w:val="decimal"/>
      <w:start w:val="3"/>
    </w:lvl>
    <w:lvl w:ilvl="1">
      <w:lvlJc w:val="left"/>
      <w:lvlText w:val="%2"/>
      <w:numFmt w:val="lowerLetter"/>
      <w:start w:val="1"/>
    </w:lvl>
  </w:abstractNum>
  <w:abstractNum w:abstractNumId="80">
    <w:nsid w:val="5FB8011C"/>
    <w:multiLevelType w:val="hybridMultilevel"/>
    <w:lvl w:ilvl="0">
      <w:lvlJc w:val="left"/>
      <w:lvlText w:val="%1."/>
      <w:numFmt w:val="decimal"/>
      <w:start w:val="1"/>
    </w:lvl>
  </w:abstractNum>
  <w:abstractNum w:abstractNumId="81">
    <w:nsid w:val="6AA78F7F"/>
    <w:multiLevelType w:val="hybridMultilevel"/>
    <w:lvl w:ilvl="0">
      <w:lvlJc w:val="left"/>
      <w:lvlText w:val="%1."/>
      <w:numFmt w:val="decimal"/>
      <w:start w:val="5"/>
    </w:lvl>
  </w:abstractNum>
  <w:abstractNum w:abstractNumId="82">
    <w:nsid w:val="7672BD23"/>
    <w:multiLevelType w:val="hybridMultilevel"/>
    <w:lvl w:ilvl="0">
      <w:lvlJc w:val="left"/>
      <w:lvlText w:val="%1."/>
      <w:numFmt w:val="decimal"/>
      <w:start w:val="13"/>
    </w:lvl>
  </w:abstractNum>
  <w:abstractNum w:abstractNumId="83">
    <w:nsid w:val="6FC75AF8"/>
    <w:multiLevelType w:val="hybridMultilevel"/>
    <w:lvl w:ilvl="0">
      <w:lvlJc w:val="left"/>
      <w:lvlText w:val="%1."/>
      <w:numFmt w:val="lowerRoman"/>
      <w:start w:val="1"/>
    </w:lvl>
  </w:abstractNum>
  <w:abstractNum w:abstractNumId="84">
    <w:nsid w:val="6A5F7029"/>
    <w:multiLevelType w:val="hybridMultilevel"/>
    <w:lvl w:ilvl="0">
      <w:lvlJc w:val="left"/>
      <w:lvlText w:val="%1."/>
      <w:numFmt w:val="lowerRoman"/>
      <w:start w:val="1"/>
    </w:lvl>
  </w:abstractNum>
  <w:abstractNum w:abstractNumId="85">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
    <w:nsid w:val="5F3534A4"/>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87">
    <w:nsid w:val="73A1821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88">
    <w:nsid w:val="7DE67713"/>
    <w:multiLevelType w:val="hybridMultilevel"/>
    <w:lvl w:ilvl="0">
      <w:lvlJc w:val="left"/>
      <w:lvlText w:val="%1."/>
      <w:numFmt w:val="lowerLetter"/>
      <w:start w:val="6"/>
    </w:lvl>
    <w:lvl w:ilvl="1">
      <w:lvlJc w:val="left"/>
      <w:lvlText w:val="%2."/>
      <w:numFmt w:val="lowerRoman"/>
      <w:start w:val="1"/>
    </w:lvl>
  </w:abstractNum>
  <w:abstractNum w:abstractNumId="89">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2"/>
    </w:lvl>
  </w:abstractNum>
  <w:abstractNum w:abstractNumId="90">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lowerRoman"/>
      <w:start w:val="1"/>
    </w:lvl>
  </w:abstractNum>
  <w:abstractNum w:abstractNumId="91">
    <w:nsid w:val="14FCE74E"/>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2"/>
    </w:lvl>
    <w:lvl w:ilvl="3">
      <w:lvlJc w:val="left"/>
      <w:lvlText w:val="%4"/>
      <w:numFmt w:val="lowerRoman"/>
      <w:start w:val="1"/>
    </w:lvl>
    <w:lvl w:ilvl="4">
      <w:lvlJc w:val="left"/>
      <w:lvlText w:val="%5"/>
      <w:numFmt w:val="lowerRoman"/>
      <w:start w:val="1"/>
    </w:lvl>
  </w:abstractNum>
  <w:abstractNum w:abstractNumId="92">
    <w:nsid w:val="6A3DD3E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93">
    <w:nsid w:val="71C91298"/>
    <w:multiLevelType w:val="hybridMultilevel"/>
    <w:lvl w:ilvl="0">
      <w:lvlJc w:val="left"/>
      <w:lvlText w:val="%1."/>
      <w:numFmt w:val="lowerLetter"/>
      <w:start w:val="1"/>
    </w:lvl>
    <w:lvl w:ilvl="1">
      <w:lvlJc w:val="left"/>
      <w:lvlText w:val="%2."/>
      <w:numFmt w:val="lowerRoman"/>
      <w:start w:val="1"/>
    </w:lvl>
  </w:abstractNum>
  <w:abstractNum w:abstractNumId="94">
    <w:nsid w:val="9DAF632"/>
    <w:multiLevelType w:val="hybridMultilevel"/>
    <w:lvl w:ilvl="0">
      <w:lvlJc w:val="left"/>
      <w:lvlText w:val="%1"/>
      <w:numFmt w:val="decimal"/>
      <w:start w:val="1"/>
    </w:lvl>
    <w:lvl w:ilvl="1">
      <w:lvlJc w:val="left"/>
      <w:lvlText w:val="%2."/>
      <w:numFmt w:val="lowerLetter"/>
      <w:start w:val="1"/>
    </w:lvl>
  </w:abstractNum>
  <w:abstractNum w:abstractNumId="95">
    <w:nsid w:val="53299938"/>
    <w:multiLevelType w:val="hybridMultilevel"/>
    <w:lvl w:ilvl="0">
      <w:lvlJc w:val="left"/>
      <w:lvlText w:val="%1."/>
      <w:numFmt w:val="decimal"/>
      <w:start w:val="3"/>
    </w:lvl>
    <w:lvl w:ilvl="1">
      <w:lvlJc w:val="left"/>
      <w:lvlText w:val="%2"/>
      <w:numFmt w:val="lowerLetter"/>
      <w:start w:val="1"/>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lowerLetter"/>
      <w:start w:val="2"/>
    </w:lvl>
    <w:lvl w:ilvl="1">
      <w:lvlJc w:val="left"/>
      <w:lvlText w:val="%2."/>
      <w:numFmt w:val="decimal"/>
      <w:start w:val="1"/>
    </w:lvl>
  </w:abstractNum>
  <w:abstractNum w:abstractNumId="98">
    <w:nsid w:val="1D545C4D"/>
    <w:multiLevelType w:val="hybridMultilevel"/>
    <w:lvl w:ilvl="0">
      <w:lvlJc w:val="left"/>
      <w:lvlText w:val="%1."/>
      <w:numFmt w:val="decimal"/>
      <w:start w:val="5"/>
    </w:lvl>
  </w:abstractNum>
  <w:abstractNum w:abstractNumId="99">
    <w:nsid w:val="59ADEA3D"/>
    <w:multiLevelType w:val="hybridMultilevel"/>
    <w:lvl w:ilvl="0">
      <w:lvlJc w:val="left"/>
      <w:lvlText w:val="(%1)"/>
      <w:numFmt w:val="lowerRoman"/>
      <w:start w:val="2"/>
    </w:lvl>
  </w:abstractNum>
  <w:abstractNum w:abstractNumId="100">
    <w:nsid w:val="288F1A34"/>
    <w:multiLevelType w:val="hybridMultilevel"/>
    <w:lvl w:ilvl="0">
      <w:lvlJc w:val="left"/>
      <w:lvlText w:val="(%1)"/>
      <w:numFmt w:val="lowerRoman"/>
      <w:start w:val="1"/>
    </w:lvl>
  </w:abstractNum>
  <w:abstractNum w:abstractNumId="101">
    <w:nsid w:val="2A155DBC"/>
    <w:multiLevelType w:val="hybridMultilevel"/>
    <w:lvl w:ilvl="0">
      <w:lvlJc w:val="left"/>
      <w:lvlText w:val="(%1)"/>
      <w:numFmt w:val="lowerRoman"/>
      <w:start w:val="5"/>
    </w:lvl>
  </w:abstractNum>
  <w:abstractNum w:abstractNumId="102">
    <w:nsid w:val="1D9F6E5F"/>
    <w:multiLevelType w:val="hybridMultilevel"/>
    <w:lvl w:ilvl="0">
      <w:lvlJc w:val="left"/>
      <w:lvlText w:val="(%1)"/>
      <w:numFmt w:val="lowerRoman"/>
      <w:start w:val="1"/>
    </w:lvl>
  </w:abstractNum>
  <w:abstractNum w:abstractNumId="103">
    <w:nsid w:val="97E1B4E"/>
    <w:multiLevelType w:val="hybridMultilevel"/>
    <w:lvl w:ilvl="0">
      <w:lvlJc w:val="left"/>
      <w:lvlText w:val="(%1)"/>
      <w:numFmt w:val="lowerRoman"/>
      <w:start w:val="2"/>
    </w:lvl>
  </w:abstractNum>
  <w:abstractNum w:abstractNumId="104">
    <w:nsid w:val="51088277"/>
    <w:multiLevelType w:val="hybridMultilevel"/>
    <w:lvl w:ilvl="0">
      <w:lvlJc w:val="left"/>
      <w:lvlText w:val="(%1)"/>
      <w:numFmt w:val="lowerRoman"/>
      <w:start w:val="6"/>
    </w:lvl>
  </w:abstractNum>
  <w:abstractNum w:abstractNumId="105">
    <w:nsid w:val="1CA0C5FA"/>
    <w:multiLevelType w:val="hybridMultilevel"/>
    <w:lvl w:ilvl="0">
      <w:lvlJc w:val="left"/>
      <w:lvlText w:val="(%1)"/>
      <w:numFmt w:val="lowerRoman"/>
      <w:start w:val="6"/>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Roman"/>
      <w:start w:val="1"/>
    </w:lvl>
  </w:abstractNum>
  <w:abstractNum w:abstractNumId="108">
    <w:nsid w:val="7C58FD05"/>
    <w:multiLevelType w:val="hybridMultilevel"/>
    <w:lvl w:ilvl="0">
      <w:lvlJc w:val="left"/>
      <w:lvlText w:val="%1."/>
      <w:numFmt w:val="lowerRoman"/>
      <w:start w:val="2"/>
    </w:lvl>
  </w:abstractNum>
  <w:abstractNum w:abstractNumId="109">
    <w:nsid w:val="23D86AAC"/>
    <w:multiLevelType w:val="hybridMultilevel"/>
    <w:lvl w:ilvl="0">
      <w:lvlJc w:val="left"/>
      <w:lvlText w:val="(%1)"/>
      <w:numFmt w:val="lowerLetter"/>
      <w:start w:val="1"/>
    </w:lvl>
  </w:abstractNum>
  <w:abstractNum w:abstractNumId="110">
    <w:nsid w:val="45E6D486"/>
    <w:multiLevelType w:val="hybridMultilevel"/>
    <w:lvl w:ilvl="0">
      <w:lvlJc w:val="left"/>
      <w:lvlText w:val="(%1)"/>
      <w:numFmt w:val="decimal"/>
      <w:start w:val="12"/>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63" Type="http://schemas.openxmlformats.org/officeDocument/2006/relationships/hyperlink" Target="http://www.sec.gov/Archives/edgar/data/1144215/000119312507208062/dex31.htm" TargetMode="External"/><Relationship Id="rId64" Type="http://schemas.openxmlformats.org/officeDocument/2006/relationships/hyperlink" Target="http://www.sec.gov/Archives/edgar/data/1144215/000119312507208062/dex32.htm" TargetMode="External"/><Relationship Id="rId65" Type="http://schemas.openxmlformats.org/officeDocument/2006/relationships/hyperlink" Target="http://www.sec.gov/Archives/edgar/data/1144215/000114421517000005/ex3ccertificateofamendment.htm" TargetMode="External"/><Relationship Id="rId66" Type="http://schemas.openxmlformats.org/officeDocument/2006/relationships/hyperlink" Target="http://www.sec.gov/Archives/edgar/data/1144215/000119312520290161/d807246dex41.htm" TargetMode="External"/><Relationship Id="rId67" Type="http://schemas.openxmlformats.org/officeDocument/2006/relationships/hyperlink" Target="http://www.sec.gov/Archives/edgar/data/1144215/000119312520290161/d807246dex42.htm" TargetMode="External"/><Relationship Id="rId68" Type="http://schemas.openxmlformats.org/officeDocument/2006/relationships/hyperlink" Target="http://www.sec.gov/Archives/edgar/data/1144215/000119312520290161/d807246dex43.htm" TargetMode="External"/><Relationship Id="rId69" Type="http://schemas.openxmlformats.org/officeDocument/2006/relationships/hyperlink" Target="https://www.sec.gov/Archives/edgar/data/1144215/000119312520290161/d807246dex43.htm" TargetMode="External"/><Relationship Id="rId70"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2021-01-07T11:38:38Z</dcterms:created>
  <dcterms:modified xsi:type="dcterms:W3CDTF">2021-01-07T11:38:38Z</dcterms:modified>
</cp:coreProperties>
</file>