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3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9"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2, 2026</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ACUITY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9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45" w:lineRule="exact"/>
        <w:rPr>
          <w:sz w:val="24"/>
          <w:szCs w:val="24"/>
          <w:color w:val="auto"/>
        </w:rPr>
      </w:pPr>
    </w:p>
    <w:tbl>
      <w:tblPr>
        <w:tblLayout w:type="fixed"/>
        <w:tblInd w:w="1340" w:type="dxa"/>
        <w:tblCellMar>
          <w:top w:w="0" w:type="dxa"/>
          <w:left w:w="0" w:type="dxa"/>
          <w:bottom w:w="0" w:type="dxa"/>
          <w:right w:w="0" w:type="dxa"/>
        </w:tblCellMar>
      </w:tblPr>
      <w:tr>
        <w:trPr>
          <w:trHeight w:val="223"/>
        </w:trPr>
        <w:tc>
          <w:tcPr>
            <w:tcW w:w="2600" w:type="dxa"/>
            <w:vAlign w:val="bottom"/>
          </w:tcPr>
          <w:p>
            <w:pPr>
              <w:jc w:val="center"/>
              <w:ind w:right="725"/>
              <w:spacing w:after="0"/>
              <w:rPr>
                <w:sz w:val="20"/>
                <w:szCs w:val="20"/>
                <w:color w:val="auto"/>
              </w:rPr>
            </w:pPr>
            <w:r>
              <w:rPr>
                <w:rFonts w:ascii="Arial" w:cs="Arial" w:eastAsia="Arial" w:hAnsi="Arial"/>
                <w:sz w:val="16"/>
                <w:szCs w:val="16"/>
                <w:b w:val="1"/>
                <w:bCs w:val="1"/>
                <w:color w:val="auto"/>
              </w:rPr>
              <w:t>Delaware</w:t>
            </w:r>
          </w:p>
        </w:tc>
        <w:tc>
          <w:tcPr>
            <w:tcW w:w="3520" w:type="dxa"/>
            <w:vAlign w:val="bottom"/>
          </w:tcPr>
          <w:p>
            <w:pPr>
              <w:jc w:val="right"/>
              <w:ind w:right="1384"/>
              <w:spacing w:after="0"/>
              <w:rPr>
                <w:sz w:val="20"/>
                <w:szCs w:val="20"/>
                <w:color w:val="auto"/>
              </w:rPr>
            </w:pPr>
            <w:r>
              <w:rPr>
                <w:rFonts w:ascii="Arial" w:cs="Arial" w:eastAsia="Arial" w:hAnsi="Arial"/>
                <w:sz w:val="16"/>
                <w:szCs w:val="16"/>
                <w:b w:val="1"/>
                <w:bCs w:val="1"/>
                <w:color w:val="auto"/>
              </w:rPr>
              <w:t>001-16583</w:t>
            </w:r>
          </w:p>
        </w:tc>
        <w:tc>
          <w:tcPr>
            <w:tcW w:w="2100" w:type="dxa"/>
            <w:vAlign w:val="bottom"/>
          </w:tcPr>
          <w:p>
            <w:pPr>
              <w:jc w:val="center"/>
              <w:ind w:left="905"/>
              <w:spacing w:after="0"/>
              <w:rPr>
                <w:sz w:val="20"/>
                <w:szCs w:val="20"/>
                <w:color w:val="auto"/>
              </w:rPr>
            </w:pPr>
            <w:r>
              <w:rPr>
                <w:rFonts w:ascii="Arial" w:cs="Arial" w:eastAsia="Arial" w:hAnsi="Arial"/>
                <w:sz w:val="16"/>
                <w:szCs w:val="16"/>
                <w:b w:val="1"/>
                <w:bCs w:val="1"/>
                <w:color w:val="auto"/>
              </w:rPr>
              <w:t>58-2632672</w:t>
            </w:r>
          </w:p>
        </w:tc>
      </w:tr>
      <w:tr>
        <w:trPr>
          <w:trHeight w:val="143"/>
        </w:trPr>
        <w:tc>
          <w:tcPr>
            <w:tcW w:w="2600" w:type="dxa"/>
            <w:vAlign w:val="bottom"/>
          </w:tcPr>
          <w:p>
            <w:pPr>
              <w:jc w:val="center"/>
              <w:ind w:right="725"/>
              <w:spacing w:after="0" w:line="143" w:lineRule="exact"/>
              <w:rPr>
                <w:sz w:val="20"/>
                <w:szCs w:val="20"/>
                <w:color w:val="auto"/>
              </w:rPr>
            </w:pPr>
            <w:r>
              <w:rPr>
                <w:rFonts w:ascii="Arial" w:cs="Arial" w:eastAsia="Arial" w:hAnsi="Arial"/>
                <w:sz w:val="14"/>
                <w:szCs w:val="14"/>
                <w:i w:val="1"/>
                <w:iCs w:val="1"/>
                <w:color w:val="auto"/>
              </w:rPr>
              <w:t>(State or other jurisdiction of</w:t>
            </w:r>
          </w:p>
        </w:tc>
        <w:tc>
          <w:tcPr>
            <w:tcW w:w="3520" w:type="dxa"/>
            <w:vAlign w:val="bottom"/>
          </w:tcPr>
          <w:p>
            <w:pPr>
              <w:jc w:val="center"/>
              <w:ind w:right="104"/>
              <w:spacing w:after="0" w:line="143" w:lineRule="exact"/>
              <w:rPr>
                <w:sz w:val="20"/>
                <w:szCs w:val="20"/>
                <w:color w:val="auto"/>
              </w:rPr>
            </w:pPr>
            <w:r>
              <w:rPr>
                <w:rFonts w:ascii="Arial" w:cs="Arial" w:eastAsia="Arial" w:hAnsi="Arial"/>
                <w:sz w:val="14"/>
                <w:szCs w:val="14"/>
                <w:i w:val="1"/>
                <w:iCs w:val="1"/>
                <w:color w:val="auto"/>
              </w:rPr>
              <w:t>(Commission File Number)</w:t>
            </w:r>
          </w:p>
        </w:tc>
        <w:tc>
          <w:tcPr>
            <w:tcW w:w="2100" w:type="dxa"/>
            <w:vAlign w:val="bottom"/>
          </w:tcPr>
          <w:p>
            <w:pPr>
              <w:jc w:val="center"/>
              <w:ind w:left="905"/>
              <w:spacing w:after="0" w:line="143"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2600" w:type="dxa"/>
            <w:vAlign w:val="bottom"/>
          </w:tcPr>
          <w:p>
            <w:pPr>
              <w:jc w:val="center"/>
              <w:ind w:right="725"/>
              <w:spacing w:after="0"/>
              <w:rPr>
                <w:sz w:val="20"/>
                <w:szCs w:val="20"/>
                <w:color w:val="auto"/>
              </w:rPr>
            </w:pPr>
            <w:r>
              <w:rPr>
                <w:rFonts w:ascii="Arial" w:cs="Arial" w:eastAsia="Arial" w:hAnsi="Arial"/>
                <w:sz w:val="14"/>
                <w:szCs w:val="14"/>
                <w:i w:val="1"/>
                <w:iCs w:val="1"/>
                <w:color w:val="auto"/>
              </w:rPr>
              <w:t>incorporation)</w:t>
            </w:r>
          </w:p>
        </w:tc>
        <w:tc>
          <w:tcPr>
            <w:tcW w:w="3520" w:type="dxa"/>
            <w:vAlign w:val="bottom"/>
          </w:tcPr>
          <w:p>
            <w:pPr>
              <w:spacing w:after="0"/>
              <w:rPr>
                <w:sz w:val="16"/>
                <w:szCs w:val="16"/>
                <w:color w:val="auto"/>
              </w:rPr>
            </w:pPr>
          </w:p>
        </w:tc>
        <w:tc>
          <w:tcPr>
            <w:tcW w:w="2100" w:type="dxa"/>
            <w:vAlign w:val="bottom"/>
          </w:tcPr>
          <w:p>
            <w:pPr>
              <w:jc w:val="center"/>
              <w:ind w:left="905"/>
              <w:spacing w:after="0"/>
              <w:rPr>
                <w:sz w:val="20"/>
                <w:szCs w:val="20"/>
                <w:color w:val="auto"/>
              </w:rPr>
            </w:pPr>
            <w:r>
              <w:rPr>
                <w:rFonts w:ascii="Arial" w:cs="Arial" w:eastAsia="Arial" w:hAnsi="Arial"/>
                <w:sz w:val="14"/>
                <w:szCs w:val="14"/>
                <w:i w:val="1"/>
                <w:iCs w:val="1"/>
                <w:color w:val="auto"/>
              </w:rPr>
              <w:t>Identification No.)</w:t>
            </w:r>
          </w:p>
        </w:tc>
      </w:tr>
    </w:tbl>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1170 Peachtree Street, N.E., Suite 1200, Atlanta, Georgia 30309</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77" w:lineRule="exact"/>
        <w:rPr>
          <w:sz w:val="24"/>
          <w:szCs w:val="24"/>
          <w:color w:val="auto"/>
        </w:rPr>
      </w:pPr>
    </w:p>
    <w:p>
      <w:pPr>
        <w:ind w:right="280"/>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5"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ind w:right="560"/>
        <w:spacing w:after="0" w:line="28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5" w:lineRule="exact"/>
        <w:rPr>
          <w:sz w:val="24"/>
          <w:szCs w:val="24"/>
          <w:color w:val="auto"/>
        </w:rPr>
      </w:pPr>
    </w:p>
    <w:p>
      <w:pPr>
        <w:ind w:right="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1261110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 2026, Acuity Inc. (“we,” “our,” “us,” “the Company,” or similar references) issued a press release containing information about our results of operations for our fiscal quarter ended February 28, 2026. A copy of the press release is attached as Exhibit 99.1 to this Current Report on Form 8-K, which is incorporated herein by reference. The information contained in this paragraph, as well as Exhibit 99.1 referenced herein, shall not be deemed “filed” for purposes of Section 18 of the Securities Exchange Act of 1934, as amended, nor shall they be deemed incorporated by reference in any filing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0" w:lineRule="exact"/>
        <w:rPr>
          <w:sz w:val="20"/>
          <w:szCs w:val="20"/>
          <w:color w:val="auto"/>
        </w:rPr>
      </w:pPr>
    </w:p>
    <w:p>
      <w:pPr>
        <w:ind w:left="560" w:hanging="53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FF"/>
        </w:rPr>
        <w:t>Press Release dated April 2, 2026.</w:t>
      </w:r>
    </w:p>
    <w:p>
      <w:pPr>
        <w:spacing w:after="0" w:line="32" w:lineRule="exact"/>
        <w:rPr>
          <w:sz w:val="20"/>
          <w:szCs w:val="20"/>
          <w:color w:val="auto"/>
        </w:rPr>
      </w:pPr>
    </w:p>
    <w:p>
      <w:pPr>
        <w:ind w:left="780" w:hanging="74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ACUITY INC.</w:t>
      </w:r>
    </w:p>
    <w:p>
      <w:pPr>
        <w:spacing w:after="0" w:line="239" w:lineRule="exact"/>
        <w:rPr>
          <w:sz w:val="20"/>
          <w:szCs w:val="20"/>
          <w:color w:val="auto"/>
        </w:rPr>
      </w:pPr>
    </w:p>
    <w:p>
      <w:pPr>
        <w:ind w:left="7340"/>
        <w:spacing w:after="0"/>
        <w:tabs>
          <w:tab w:leader="none" w:pos="7820" w:val="left"/>
        </w:tabs>
        <w:rPr>
          <w:sz w:val="20"/>
          <w:szCs w:val="20"/>
          <w:color w:val="auto"/>
        </w:rPr>
      </w:pPr>
      <w:r>
        <w:rPr>
          <w:rFonts w:ascii="Arial" w:cs="Arial" w:eastAsia="Arial" w:hAnsi="Arial"/>
          <w:sz w:val="18"/>
          <w:szCs w:val="18"/>
          <w:color w:val="auto"/>
        </w:rPr>
        <w:t>By:</w:t>
        <w:tab/>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17780</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Karen J. Holcom</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Senior Vice President and Chief Financial</w:t>
      </w:r>
    </w:p>
    <w:p>
      <w:pPr>
        <w:ind w:left="78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Charlotte McLaughlin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27" w:lineRule="exact"/>
        <w:rPr>
          <w:sz w:val="20"/>
          <w:szCs w:val="20"/>
          <w:color w:val="auto"/>
        </w:rPr>
      </w:pPr>
    </w:p>
    <w:p>
      <w:pPr>
        <w:ind w:right="8400" w:firstLine="8"/>
        <w:spacing w:after="0" w:line="323"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853-1456 investorrelations@acuityinc.com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April Appling</w:t>
      </w:r>
    </w:p>
    <w:p>
      <w:pPr>
        <w:spacing w:after="0" w:line="30" w:lineRule="exact"/>
        <w:rPr>
          <w:sz w:val="20"/>
          <w:szCs w:val="20"/>
          <w:color w:val="auto"/>
        </w:rPr>
      </w:pPr>
    </w:p>
    <w:p>
      <w:pPr>
        <w:ind w:right="5500"/>
        <w:spacing w:after="0" w:line="295" w:lineRule="auto"/>
        <w:rPr>
          <w:sz w:val="20"/>
          <w:szCs w:val="20"/>
          <w:color w:val="auto"/>
        </w:rPr>
      </w:pPr>
      <w:r>
        <w:rPr>
          <w:rFonts w:ascii="Arial" w:cs="Arial" w:eastAsia="Arial" w:hAnsi="Arial"/>
          <w:sz w:val="20"/>
          <w:szCs w:val="20"/>
          <w:color w:val="auto"/>
        </w:rPr>
        <w:t>Senior Vice President, Corporate Marketing and Communications corporatecommunications@acuityinc.com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Acuity Reports Fiscal 2026 Second-Quarter Results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Strong Execution Delivers Sales Growth, Margin Expansion and EPS Improvement</w:t>
      </w:r>
    </w:p>
    <w:p>
      <w:pPr>
        <w:spacing w:after="0" w:line="24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Delivered Net Sales of $1.1B, an Increase of 5% Compared to the Prior Year</w:t>
      </w:r>
    </w:p>
    <w:p>
      <w:pPr>
        <w:spacing w:after="0" w:line="134" w:lineRule="exact"/>
        <w:rPr>
          <w:rFonts w:ascii="Arial" w:cs="Arial" w:eastAsia="Arial" w:hAnsi="Arial"/>
          <w:sz w:val="20"/>
          <w:szCs w:val="20"/>
          <w:b w:val="1"/>
          <w:bCs w:val="1"/>
          <w:color w:val="auto"/>
        </w:rPr>
      </w:pPr>
    </w:p>
    <w:p>
      <w:pPr>
        <w:ind w:left="660" w:right="20" w:hanging="328"/>
        <w:spacing w:after="0" w:line="312" w:lineRule="auto"/>
        <w:tabs>
          <w:tab w:leader="none" w:pos="685"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Delivered Operating Profit of $133M, Up 21% Compared to the Prior Year; Grew Adjusted Operating Profit to $176M, Up 8% Compared to the Prior Year</w:t>
      </w:r>
    </w:p>
    <w:p>
      <w:pPr>
        <w:spacing w:after="0" w:line="23" w:lineRule="exact"/>
        <w:rPr>
          <w:rFonts w:ascii="Arial" w:cs="Arial" w:eastAsia="Arial" w:hAnsi="Arial"/>
          <w:sz w:val="20"/>
          <w:szCs w:val="20"/>
          <w:b w:val="1"/>
          <w:bCs w:val="1"/>
          <w:color w:val="auto"/>
        </w:rPr>
      </w:pPr>
    </w:p>
    <w:p>
      <w:pPr>
        <w:ind w:left="660" w:hanging="328"/>
        <w:spacing w:after="0" w:line="312" w:lineRule="auto"/>
        <w:tabs>
          <w:tab w:leader="none" w:pos="671"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Delivered Diluted EPS of $3.09, Up 26% Compared to the Prior Year; Grew Adjusted Diluted EPS to $4.14, Up 11% Compared to the Prior Year</w:t>
      </w:r>
    </w:p>
    <w:p>
      <w:pPr>
        <w:spacing w:after="0" w:line="200" w:lineRule="exact"/>
        <w:rPr>
          <w:sz w:val="20"/>
          <w:szCs w:val="20"/>
          <w:color w:val="auto"/>
        </w:rPr>
      </w:pPr>
    </w:p>
    <w:p>
      <w:pPr>
        <w:spacing w:after="0" w:line="311" w:lineRule="exact"/>
        <w:rPr>
          <w:sz w:val="20"/>
          <w:szCs w:val="20"/>
          <w:color w:val="auto"/>
        </w:rPr>
      </w:pPr>
    </w:p>
    <w:p>
      <w:pPr>
        <w:jc w:val="both"/>
        <w:ind w:right="20"/>
        <w:spacing w:after="0" w:line="283" w:lineRule="auto"/>
        <w:rPr>
          <w:sz w:val="20"/>
          <w:szCs w:val="20"/>
          <w:color w:val="auto"/>
        </w:rPr>
      </w:pPr>
      <w:r>
        <w:rPr>
          <w:rFonts w:ascii="Arial" w:cs="Arial" w:eastAsia="Arial" w:hAnsi="Arial"/>
          <w:sz w:val="20"/>
          <w:szCs w:val="20"/>
          <w:color w:val="auto"/>
        </w:rPr>
        <w:t>ATLANTA, April 2, 2026 - Acuity Inc. (NYSE: AYI), ("Acuity"), a market-leading industrial technology company, delivered net sales of $1.1 billion in the second quarter, ended February 28, 2026, an increase of $49.4 million, or 4.9 percent, compared to the prior year.</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"We demonstrated strong execution in our second quarter of fiscal 2026," stated Neil Ashe, Chairman, President and Chief Executive Officer of Acuity Inc. "We grew net sales, we expanded our adjusted operating profit and adjusted operating profit margin, and we increased our adjusted diluted earnings per share. We generated strong cash flow and allocated capital effectively."</w:t>
      </w:r>
    </w:p>
    <w:p>
      <w:pPr>
        <w:spacing w:after="0" w:line="20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During the second quarter of fiscal 2026 we took certain actions related to productivity improvements in our ABL segment that resulted in $6 million of special charges. These charges primarily related to labor cost reductions.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Operating profit was $133.0 million in the second quarter of fiscal 2026, an increase of $22.8 million, or 20.7 percent, compared to the prior year. Operating profit as a percent of net sales was 12.6 percent in the second quarter of fiscal 2026, an increase of 160 basis points compared to the prior year. Adjusted operating profit was $176.0 million in the second quarter of fiscal 2026, an increase of $13.1 million, or 8.0 percent, compared to the prior year. Adjusted operating profit as a percent of net sales was 16.7 percent in the second quarter of fiscal 2026, an increase of 50 basis points compared to the prior year.</w:t>
      </w:r>
    </w:p>
    <w:p>
      <w:pPr>
        <w:spacing w:after="0" w:line="20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Diluted earnings per share was $3.09 in the second quarter of fiscal 2026, an increase of $0.64, or 26.1 percent, compared to the prior year. Adjusted diluted earnings per share was $4.14 in the second quarter of fiscal 2026, an increase of $0.41, or 11.0 percent.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5" w:right="339" w:bottom="1440" w:gutter="0" w:footer="0" w:header="0"/>
        </w:sectPr>
      </w:pPr>
    </w:p>
    <w:bookmarkStart w:id="4" w:name="page5"/>
    <w:bookmarkEnd w:id="4"/>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Performance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Acuity Brands Lighting ("ABL")</w:t>
      </w:r>
    </w:p>
    <w:p>
      <w:pPr>
        <w:spacing w:after="0" w:line="27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ABL generated net sales of $817.4 million in the second quarter of fiscal 2026, a decrease of $23.2 million, or 2.8 percent, compared to the prior year.</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Operating profit was $125.1 million in the second quarter of fiscal 2026, a decrease of $5.2 million, or 4.0 percent, compared to the prior year. Operating profit as a percent of ABL net sales was 15.3 percent in the second quarter of fiscal 2026, a decrease of 20 basis points compared to the prior year. Adjusted operating profit was $141.8 million in the second quarter of fiscal 2026, an increase of $0.5 million, or 0.4 percent, compared to the prior year. Adjusted operating profit as a percent of ABL net sales was 17.3 percent in the second quarter of fiscal 2026, an increase of 50 basis points compared to the prior year.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Acuity Intelligent Spaces ("AIS")</w:t>
      </w:r>
    </w:p>
    <w:p>
      <w:pPr>
        <w:spacing w:after="0" w:line="256"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AIS generated net sales of $248.1 million in the second quarter of fiscal 2026, an increase of $76.6 million, compared to the prior year. Included in fiscal 2026 net sales is an additional one month of QSC performance.</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Operating profit was $28.3 million in the second quarter of fiscal 2026, an increase of $18.4 million compared to the prior year. Operating profit as a percent of AIS net sales was 11.4 percent in the second quarter of fiscal 2026, an increase of 560 basis points compared to the prior year. Adjusted operating profit was $48.0 million in the second quarter of fiscal 2026, an increase of $16.0 million compared to the prior year. Adjusted operating profit as a percent of AIS net sales was 19.3 percent in the second quarter of fiscal 2026, an increase of 60 basis points compared to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Capital Allocation</w:t>
      </w:r>
    </w:p>
    <w:p>
      <w:pPr>
        <w:spacing w:after="0" w:line="27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Net cash from operating activities was $229.9 million for the first six months of fiscal 2026. We increased our quarterly dividend by 18 percent to 20 cents per share, and year to date we repurchased approximately 318,000 shares of common stock for a total of $106 million.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Call Details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We will host a conference call at 8:00 a.m. ET today, Thursday, April 2, 2026. Neil Ashe, Chief Executive Officer of Acuity Inc. will lead the call. The conference call and earnings release can be accessed via our Investor Relations section of our website at www.investors.acuityinc.com. A replay of the call will also be posted to the Investor Relations website within two hours of the completion of the conference call and will be available on the website for a limited time.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Acuity</w:t>
      </w:r>
    </w:p>
    <w:p>
      <w:pPr>
        <w:spacing w:after="0" w:line="272"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Acuity Inc. (NYSE: AYI)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69" w:right="339" w:bottom="1440" w:gutter="0" w:footer="0" w:header="0"/>
        </w:sectPr>
      </w:pPr>
    </w:p>
    <w:bookmarkStart w:id="5" w:name="page6"/>
    <w:bookmarkEnd w:id="5"/>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Acuity Inc. is based in Atlanta, Georgia, with operations across North America, Europe and Asia. The Company is powered by approximately 13,000 dedicated and talented associates. Visit us at www.acuityinc.com.</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5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This news release includes the following non-generally accepted accounting principles (“GAAP”) financial measures: "adjusted gross profit", "adjusted gross profit margin", “adjusted operating profit” and “adjusted operating profit margin” for total company and by segment; for total company only we additionally include: “adjusted net income;” “adjusted diluted EPS;” “earnings before interest, taxes, depreciation and amortization (“EBITDA”);" "EBITDA margin;" “adjusted EBITDA;” and "adjusted EBITDA margin". These non-GAAP financial measures are provided to enhance the reader's overall understanding of our current financial performance and prospects for the future. Specifically, management believes that these non-GAAP measures provide useful information to investors by excluding or adjusting items for amortization of acquired intangible assets, share-based payment expense, acquired profit in inventory, acquisition-related items, and special charges.</w:t>
      </w:r>
    </w:p>
    <w:p>
      <w:pPr>
        <w:spacing w:after="0" w:line="21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We also provide “free cash flow” (“FCF”) to enhance the reader’s understanding of our ability to generate additional cash from its business.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Management typically adjusts for these items for internal reviews of performance and uses the above non-GAAP measures for baseline comparative operational analysis, decision making and other activities. Management believes these non-GAAP measures provide greater comparability and enhanced visibility into our results of operations as well as comparability with many of its peers, especially those companies focused more on technology and software. Non-GAAP financial measures included in this news release should be considered in addition to, and not as a substitute for or superior to, results prepared in accordance with GAAP.</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most directly comparable GAAP measures for adjusted gross profit and adjusted gross profit margin for total company are “gross profit” and “gross profit margin,” respectively, which include the impact of acquired profit in inventory. Adjusted gross profit margin is adjusted gross profit divided by net sales for total company and by segment. The most directly comparable GAAP measures for adjusted operating profit and adjusted operating profit margin for total company and by segment are “operating profit” and “operating profit margin,” respectively, which include the impact of amortization of acquired intangible assets, share-based payment expense, acquired profit in inventory, acquisition-related costs, and special charges. Adjusted operating profit margin is adjusted operating profit divided by net sales for total company and by segment. The most directly comparable GAAP measures for adjusted net income and adjusted diluted EPS are “net income” and “diluted EPS,” respectively, which include the impact of amortization of acquired intangible assets, share-based payment expense, acquired profit in inventory, acquisition-related costs, and special charges. Adjusted diluted EPS is adjusted net income divided by diluted weighted average shares outstanding. The most directly comparable GAAP measure for EBITDA is “net income”, which includes the impact of net interest expense, income taxes, depreciation and amortization of acquired intangible assets. EBITDA margin is EBITDA divided by net sales for total company. The most directly comparable GAAP measure for adjusted EBITDA is “net income”, which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69" w:right="339" w:bottom="1440" w:gutter="0" w:footer="0" w:header="0"/>
        </w:sectPr>
      </w:pPr>
    </w:p>
    <w:bookmarkStart w:id="6" w:name="page7"/>
    <w:bookmarkEnd w:id="6"/>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includes the impact of net interest expense, income taxes, depreciation, amortization of acquired intangible assets, share-based payment expense, acquired profit in inventory, acquisition-related items, special charges, and miscellaneous (income) expense, net. Adjusted EBITDA margin is adjusted EBITDA divided by net sales for total company. A reconciliation of each measure to the most directly comparable GAAP measure is available in this news release.</w:t>
      </w:r>
    </w:p>
    <w:p>
      <w:pPr>
        <w:spacing w:after="0" w:line="20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We define FCF as net cash provided by operating activities less purchases of property, plant and equipment. A calculation of this measure is available in this news release.</w:t>
      </w:r>
    </w:p>
    <w:p>
      <w:pPr>
        <w:spacing w:after="0" w:line="16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non-GAAP financial measures may not be comparable to similarly titled non-GAAP financial measures used by other companies, have limitations as an analytical tool, and should not be considered in isolation or as a substitute for GAAP financial measures. Our presentation of such measures, which may include adjustments to exclude unusual or non-recurring items, should not be construed as an inference that our future results will be unaffected by other unusual or non-recurring items.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Information</w:t>
      </w:r>
    </w:p>
    <w:p>
      <w:pPr>
        <w:spacing w:after="0" w:line="25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but are not limited to, statements that describe or relate to our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press release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of this press release or to reflect the occurrence of unanticipated events, whether as a result of new information, future events, or otherwise.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6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760"/>
        </w:trPr>
        <w:tc>
          <w:tcPr>
            <w:tcW w:w="7620" w:type="dxa"/>
            <w:vAlign w:val="bottom"/>
          </w:tcPr>
          <w:p>
            <w:pPr>
              <w:jc w:val="center"/>
              <w:ind w:left="3466"/>
              <w:spacing w:after="0"/>
              <w:rPr>
                <w:sz w:val="20"/>
                <w:szCs w:val="20"/>
                <w:color w:val="auto"/>
              </w:rPr>
            </w:pPr>
            <w:r>
              <w:rPr>
                <w:rFonts w:ascii="Arial" w:cs="Arial" w:eastAsia="Arial" w:hAnsi="Arial"/>
                <w:sz w:val="18"/>
                <w:szCs w:val="18"/>
                <w:b w:val="1"/>
                <w:bCs w:val="1"/>
                <w:color w:val="auto"/>
                <w:w w:val="99"/>
              </w:rPr>
              <w:t>ACUITY INC.</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00" w:type="dxa"/>
            <w:vAlign w:val="bottom"/>
            <w:gridSpan w:val="2"/>
          </w:tcPr>
          <w:p>
            <w:pPr>
              <w:jc w:val="center"/>
              <w:ind w:left="3286"/>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20" w:type="dxa"/>
            <w:vAlign w:val="bottom"/>
          </w:tcPr>
          <w:p>
            <w:pPr>
              <w:jc w:val="center"/>
              <w:ind w:left="3466"/>
              <w:spacing w:after="0"/>
              <w:rPr>
                <w:sz w:val="20"/>
                <w:szCs w:val="20"/>
                <w:color w:val="auto"/>
              </w:rPr>
            </w:pPr>
            <w:r>
              <w:rPr>
                <w:rFonts w:ascii="Arial" w:cs="Arial" w:eastAsia="Arial" w:hAnsi="Arial"/>
                <w:sz w:val="18"/>
                <w:szCs w:val="18"/>
                <w:i w:val="1"/>
                <w:iCs w:val="1"/>
                <w:color w:val="auto"/>
                <w:w w:val="99"/>
              </w:rPr>
              <w:t>(In millions, except per-share data)</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February 28, 2026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August 31, 2025</w:t>
            </w:r>
          </w:p>
        </w:tc>
        <w:tc>
          <w:tcPr>
            <w:tcW w:w="0" w:type="dxa"/>
            <w:vAlign w:val="bottom"/>
          </w:tcPr>
          <w:p>
            <w:pPr>
              <w:spacing w:after="0"/>
              <w:rPr>
                <w:sz w:val="1"/>
                <w:szCs w:val="1"/>
                <w:color w:val="auto"/>
              </w:rPr>
            </w:pPr>
          </w:p>
        </w:tc>
      </w:tr>
      <w:tr>
        <w:trPr>
          <w:trHeight w:val="195"/>
        </w:trPr>
        <w:tc>
          <w:tcPr>
            <w:tcW w:w="7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rPr>
              <w:t>(unaudited)</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272.5</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422.5</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Accounts receivable, less reserve for doubtful accounts of $6.3 and $4.3, respectively</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579.0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515.2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526.7</w:t>
            </w:r>
          </w:p>
        </w:tc>
        <w:tc>
          <w:tcPr>
            <w:tcW w:w="0" w:type="dxa"/>
            <w:vAlign w:val="bottom"/>
          </w:tcPr>
          <w:p>
            <w:pPr>
              <w:spacing w:after="0"/>
              <w:rPr>
                <w:sz w:val="1"/>
                <w:szCs w:val="1"/>
                <w:color w:val="auto"/>
              </w:rPr>
            </w:pPr>
          </w:p>
        </w:tc>
      </w:tr>
      <w:tr>
        <w:trPr>
          <w:trHeight w:val="204"/>
        </w:trPr>
        <w:tc>
          <w:tcPr>
            <w:tcW w:w="7620" w:type="dxa"/>
            <w:vAlign w:val="bottom"/>
          </w:tcPr>
          <w:p>
            <w:pPr>
              <w:ind w:left="120"/>
              <w:spacing w:after="0"/>
              <w:rPr>
                <w:sz w:val="20"/>
                <w:szCs w:val="20"/>
                <w:color w:val="auto"/>
              </w:rPr>
            </w:pPr>
            <w:r>
              <w:rPr>
                <w:rFonts w:ascii="Arial" w:cs="Arial" w:eastAsia="Arial" w:hAnsi="Arial"/>
                <w:sz w:val="14"/>
                <w:szCs w:val="14"/>
                <w:color w:val="auto"/>
              </w:rPr>
              <w:t>Prepayments and other current assets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94"/>
        </w:trPr>
        <w:tc>
          <w:tcPr>
            <w:tcW w:w="7620" w:type="dxa"/>
            <w:vAlign w:val="bottom"/>
          </w:tcPr>
          <w:p>
            <w:pPr>
              <w:ind w:left="20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1,505.2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1,651.5</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350.3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1,497.4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1,495.5</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1,056.4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1,099.0</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4"/>
        </w:trPr>
        <w:tc>
          <w:tcPr>
            <w:tcW w:w="7620" w:type="dxa"/>
            <w:vAlign w:val="bottom"/>
          </w:tcPr>
          <w:p>
            <w:pPr>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96"/>
        </w:trPr>
        <w:tc>
          <w:tcPr>
            <w:tcW w:w="762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4,558.5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4,755.2</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620" w:type="dxa"/>
            <w:vAlign w:val="bottom"/>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354.6</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454.5</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Current operating lease liabilities</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04"/>
        </w:trPr>
        <w:tc>
          <w:tcPr>
            <w:tcW w:w="7620" w:type="dxa"/>
            <w:vAlign w:val="bottom"/>
          </w:tcPr>
          <w:p>
            <w:pPr>
              <w:ind w:left="12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195"/>
        </w:trPr>
        <w:tc>
          <w:tcPr>
            <w:tcW w:w="762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728.1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845.8</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Long-term debt</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697.1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896.8</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Accrued pension liabilities</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02"/>
        </w:trPr>
        <w:tc>
          <w:tcPr>
            <w:tcW w:w="76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04"/>
        </w:trPr>
        <w:tc>
          <w:tcPr>
            <w:tcW w:w="762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196"/>
        </w:trPr>
        <w:tc>
          <w:tcPr>
            <w:tcW w:w="762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1,717.7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2,030.3</w:t>
            </w:r>
          </w:p>
        </w:tc>
        <w:tc>
          <w:tcPr>
            <w:tcW w:w="0" w:type="dxa"/>
            <w:vAlign w:val="bottom"/>
          </w:tcPr>
          <w:p>
            <w:pPr>
              <w:spacing w:after="0"/>
              <w:rPr>
                <w:sz w:val="1"/>
                <w:szCs w:val="1"/>
                <w:color w:val="auto"/>
              </w:rPr>
            </w:pPr>
          </w:p>
        </w:tc>
      </w:tr>
      <w:tr>
        <w:trPr>
          <w:trHeight w:val="181"/>
        </w:trPr>
        <w:tc>
          <w:tcPr>
            <w:tcW w:w="7620" w:type="dxa"/>
            <w:vAlign w:val="bottom"/>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2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Common stock, $0.01 par value per share; 500.0 shares authorized; 55.0 and 54.9 issued, respectively</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Paid-in capital</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1,164.5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1,164.7</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4,491.5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4,285.8</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04"/>
        </w:trPr>
        <w:tc>
          <w:tcPr>
            <w:tcW w:w="7620" w:type="dxa"/>
            <w:vAlign w:val="bottom"/>
          </w:tcPr>
          <w:p>
            <w:pPr>
              <w:ind w:left="120"/>
              <w:spacing w:after="0"/>
              <w:rPr>
                <w:sz w:val="20"/>
                <w:szCs w:val="20"/>
                <w:color w:val="auto"/>
              </w:rPr>
            </w:pPr>
            <w:r>
              <w:rPr>
                <w:rFonts w:ascii="Arial" w:cs="Arial" w:eastAsia="Arial" w:hAnsi="Arial"/>
                <w:sz w:val="14"/>
                <w:szCs w:val="14"/>
                <w:color w:val="auto"/>
              </w:rPr>
              <w:t>Treasury stock, at cost, of 24.5 and 24.2 shares, respectively</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(2,755.1)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(2,649.6)</w:t>
            </w:r>
          </w:p>
        </w:tc>
        <w:tc>
          <w:tcPr>
            <w:tcW w:w="0" w:type="dxa"/>
            <w:vAlign w:val="bottom"/>
          </w:tcPr>
          <w:p>
            <w:pPr>
              <w:spacing w:after="0"/>
              <w:rPr>
                <w:sz w:val="1"/>
                <w:szCs w:val="1"/>
                <w:color w:val="auto"/>
              </w:rPr>
            </w:pPr>
          </w:p>
        </w:tc>
      </w:tr>
      <w:tr>
        <w:trPr>
          <w:trHeight w:val="196"/>
        </w:trPr>
        <w:tc>
          <w:tcPr>
            <w:tcW w:w="7620" w:type="dxa"/>
            <w:vAlign w:val="bottom"/>
          </w:tcPr>
          <w:p>
            <w:pPr>
              <w:ind w:left="2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2,840.8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2,724.9</w:t>
            </w:r>
          </w:p>
        </w:tc>
        <w:tc>
          <w:tcPr>
            <w:tcW w:w="0" w:type="dxa"/>
            <w:vAlign w:val="bottom"/>
          </w:tcPr>
          <w:p>
            <w:pPr>
              <w:spacing w:after="0"/>
              <w:rPr>
                <w:sz w:val="1"/>
                <w:szCs w:val="1"/>
                <w:color w:val="auto"/>
              </w:rPr>
            </w:pPr>
          </w:p>
        </w:tc>
      </w:tr>
      <w:tr>
        <w:trPr>
          <w:trHeight w:val="196"/>
        </w:trPr>
        <w:tc>
          <w:tcPr>
            <w:tcW w:w="7620" w:type="dxa"/>
            <w:vAlign w:val="bottom"/>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4,558.5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4,755.2</w:t>
            </w:r>
          </w:p>
        </w:tc>
        <w:tc>
          <w:tcPr>
            <w:tcW w:w="0" w:type="dxa"/>
            <w:vAlign w:val="bottom"/>
          </w:tcPr>
          <w:p>
            <w:pPr>
              <w:spacing w:after="0"/>
              <w:rPr>
                <w:sz w:val="1"/>
                <w:szCs w:val="1"/>
                <w:color w:val="auto"/>
              </w:rPr>
            </w:pPr>
          </w:p>
        </w:tc>
      </w:tr>
      <w:tr>
        <w:trPr>
          <w:trHeight w:val="27"/>
        </w:trPr>
        <w:tc>
          <w:tcPr>
            <w:tcW w:w="7620" w:type="dxa"/>
            <w:vAlign w:val="bottom"/>
            <w:vMerge w:val="restart"/>
          </w:tcPr>
          <w:p>
            <w:pPr>
              <w:jc w:val="center"/>
              <w:ind w:left="3486"/>
              <w:spacing w:after="0"/>
              <w:rPr>
                <w:sz w:val="20"/>
                <w:szCs w:val="20"/>
                <w:color w:val="auto"/>
              </w:rPr>
            </w:pPr>
            <w:r>
              <w:rPr>
                <w:rFonts w:ascii="Arial" w:cs="Arial" w:eastAsia="Arial" w:hAnsi="Arial"/>
                <w:sz w:val="18"/>
                <w:szCs w:val="18"/>
                <w:color w:val="auto"/>
                <w:w w:val="99"/>
              </w:rPr>
              <w:t>5</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2"/>
        </w:trPr>
        <w:tc>
          <w:tcPr>
            <w:tcW w:w="7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269" w:right="359" w:bottom="1440" w:gutter="0" w:footer="0" w:header="0"/>
        </w:sectPr>
      </w:pPr>
    </w:p>
    <w:bookmarkStart w:id="8" w:name="page9"/>
    <w:bookmarkEnd w:id="8"/>
    <w:p>
      <w:pPr>
        <w:spacing w:after="0" w:line="1" w:lineRule="exact"/>
        <w:rPr>
          <w:sz w:val="20"/>
          <w:szCs w:val="20"/>
          <w:color w:val="auto"/>
        </w:rPr>
      </w:pPr>
    </w:p>
    <w:tbl>
      <w:tblPr>
        <w:tblLayout w:type="fixed"/>
        <w:tblInd w:w="152"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774"/>
        </w:trPr>
        <w:tc>
          <w:tcPr>
            <w:tcW w:w="3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left="47"/>
              <w:spacing w:after="0"/>
              <w:rPr>
                <w:sz w:val="20"/>
                <w:szCs w:val="20"/>
                <w:color w:val="auto"/>
              </w:rPr>
            </w:pPr>
            <w:r>
              <w:rPr>
                <w:rFonts w:ascii="Arial" w:cs="Arial" w:eastAsia="Arial" w:hAnsi="Arial"/>
                <w:sz w:val="18"/>
                <w:szCs w:val="18"/>
                <w:b w:val="1"/>
                <w:bCs w:val="1"/>
                <w:color w:val="auto"/>
                <w:w w:val="99"/>
              </w:rPr>
              <w:t>ACUITY INC.</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420" w:type="dxa"/>
            <w:vAlign w:val="bottom"/>
            <w:gridSpan w:val="11"/>
          </w:tcPr>
          <w:p>
            <w:pPr>
              <w:jc w:val="center"/>
              <w:ind w:left="1447"/>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900" w:type="dxa"/>
            <w:vAlign w:val="bottom"/>
            <w:gridSpan w:val="7"/>
          </w:tcPr>
          <w:p>
            <w:pPr>
              <w:jc w:val="center"/>
              <w:ind w:right="740"/>
              <w:spacing w:after="0"/>
              <w:rPr>
                <w:sz w:val="20"/>
                <w:szCs w:val="20"/>
                <w:color w:val="auto"/>
              </w:rPr>
            </w:pPr>
            <w:r>
              <w:rPr>
                <w:rFonts w:ascii="Arial" w:cs="Arial" w:eastAsia="Arial" w:hAnsi="Arial"/>
                <w:sz w:val="18"/>
                <w:szCs w:val="18"/>
                <w:i w:val="1"/>
                <w:iCs w:val="1"/>
                <w:color w:val="auto"/>
                <w:w w:val="99"/>
              </w:rPr>
              <w:t>(In millions, except per-share data)</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February 28, 2026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February 28, 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February 28, 2026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February 28, 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4"/>
                <w:szCs w:val="14"/>
                <w:color w:val="auto"/>
              </w:rPr>
              <w:t>Net sales</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1,055.7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1,006.3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2,199.4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1,957.9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20"/>
                <w:szCs w:val="20"/>
                <w:color w:val="auto"/>
              </w:rPr>
            </w:pPr>
            <w:r>
              <w:rPr>
                <w:rFonts w:ascii="Arial" w:cs="Arial" w:eastAsia="Arial" w:hAnsi="Arial"/>
                <w:sz w:val="14"/>
                <w:szCs w:val="14"/>
                <w:color w:val="auto"/>
              </w:rPr>
              <w:t>Cost of products sold</w:t>
            </w: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1,125.2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tcPr>
          <w:p>
            <w:pPr>
              <w:spacing w:after="0"/>
              <w:rPr>
                <w:sz w:val="20"/>
                <w:szCs w:val="20"/>
                <w:color w:val="auto"/>
              </w:rPr>
            </w:pPr>
            <w:r>
              <w:rPr>
                <w:rFonts w:ascii="Arial" w:cs="Arial" w:eastAsia="Arial" w:hAnsi="Arial"/>
                <w:sz w:val="14"/>
                <w:szCs w:val="14"/>
                <w:color w:val="auto"/>
              </w:rPr>
              <w:t>Gross profit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1,074.2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917.3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4"/>
                <w:szCs w:val="14"/>
                <w:color w:val="auto"/>
              </w:rPr>
              <w:t>Selling, distribution, and administrative expenses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774.9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20"/>
                <w:szCs w:val="20"/>
                <w:color w:val="auto"/>
              </w:rPr>
            </w:pPr>
            <w:r>
              <w:rPr>
                <w:rFonts w:ascii="Arial" w:cs="Arial" w:eastAsia="Arial" w:hAnsi="Arial"/>
                <w:sz w:val="14"/>
                <w:szCs w:val="14"/>
                <w:color w:val="auto"/>
              </w:rPr>
              <w:t>Special charges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20"/>
                <w:szCs w:val="20"/>
                <w:color w:val="auto"/>
              </w:rPr>
            </w:pPr>
            <w:r>
              <w:rPr>
                <w:rFonts w:ascii="Arial" w:cs="Arial" w:eastAsia="Arial" w:hAnsi="Arial"/>
                <w:sz w:val="14"/>
                <w:szCs w:val="14"/>
                <w:color w:val="auto"/>
              </w:rPr>
              <w:t>Operating profit</w:t>
            </w:r>
          </w:p>
        </w:tc>
        <w:tc>
          <w:tcPr>
            <w:tcW w:w="6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4"/>
                <w:szCs w:val="14"/>
                <w:color w:val="auto"/>
              </w:rPr>
              <w:t>Other expense (income):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80" w:type="dxa"/>
            <w:vAlign w:val="bottom"/>
          </w:tcPr>
          <w:p>
            <w:pPr>
              <w:ind w:left="120"/>
              <w:spacing w:after="0"/>
              <w:rPr>
                <w:sz w:val="20"/>
                <w:szCs w:val="20"/>
                <w:color w:val="auto"/>
              </w:rPr>
            </w:pPr>
            <w:r>
              <w:rPr>
                <w:rFonts w:ascii="Arial" w:cs="Arial" w:eastAsia="Arial" w:hAnsi="Arial"/>
                <w:sz w:val="14"/>
                <w:szCs w:val="14"/>
                <w:color w:val="auto"/>
              </w:rPr>
              <w:t>Miscellaneous expense, net</w:t>
            </w: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40"/>
              <w:spacing w:after="0"/>
              <w:rPr>
                <w:sz w:val="20"/>
                <w:szCs w:val="20"/>
                <w:color w:val="auto"/>
              </w:rPr>
            </w:pPr>
            <w:r>
              <w:rPr>
                <w:rFonts w:ascii="Arial" w:cs="Arial" w:eastAsia="Arial" w:hAnsi="Arial"/>
                <w:sz w:val="14"/>
                <w:szCs w:val="14"/>
                <w:color w:val="auto"/>
              </w:rPr>
              <w:t>Total other expense</w:t>
            </w: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275.5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20"/>
                <w:szCs w:val="20"/>
                <w:color w:val="auto"/>
              </w:rPr>
            </w:pPr>
            <w:r>
              <w:rPr>
                <w:rFonts w:ascii="Arial" w:cs="Arial" w:eastAsia="Arial" w:hAnsi="Arial"/>
                <w:sz w:val="14"/>
                <w:szCs w:val="14"/>
                <w:color w:val="auto"/>
              </w:rPr>
              <w:t>Income tax expense</w:t>
            </w: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217.3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184.2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6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3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80" w:type="dxa"/>
            <w:vAlign w:val="bottom"/>
          </w:tcPr>
          <w:p>
            <w:pPr>
              <w:ind w:left="120"/>
              <w:spacing w:after="0"/>
              <w:rPr>
                <w:sz w:val="20"/>
                <w:szCs w:val="20"/>
                <w:color w:val="auto"/>
              </w:rPr>
            </w:pPr>
            <w:r>
              <w:rPr>
                <w:rFonts w:ascii="Arial" w:cs="Arial" w:eastAsia="Arial" w:hAnsi="Arial"/>
                <w:sz w:val="14"/>
                <w:szCs w:val="14"/>
                <w:color w:val="auto"/>
              </w:rPr>
              <w:t>Basic earnings per share</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ind w:left="120"/>
              <w:spacing w:after="0"/>
              <w:rPr>
                <w:sz w:val="20"/>
                <w:szCs w:val="20"/>
                <w:color w:val="auto"/>
              </w:rPr>
            </w:pPr>
            <w:r>
              <w:rPr>
                <w:rFonts w:ascii="Arial" w:cs="Arial" w:eastAsia="Arial" w:hAnsi="Arial"/>
                <w:sz w:val="14"/>
                <w:szCs w:val="14"/>
                <w:color w:val="auto"/>
              </w:rPr>
              <w:t>Basic weighted average number of shares outstanding</w:t>
            </w:r>
          </w:p>
        </w:tc>
        <w:tc>
          <w:tcPr>
            <w:tcW w:w="6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30.660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ind w:left="120"/>
              <w:spacing w:after="0"/>
              <w:rPr>
                <w:sz w:val="20"/>
                <w:szCs w:val="20"/>
                <w:color w:val="auto"/>
              </w:rPr>
            </w:pPr>
            <w:r>
              <w:rPr>
                <w:rFonts w:ascii="Arial" w:cs="Arial" w:eastAsia="Arial" w:hAnsi="Arial"/>
                <w:sz w:val="14"/>
                <w:szCs w:val="14"/>
                <w:color w:val="auto"/>
              </w:rPr>
              <w:t>Diluted earnings per share</w:t>
            </w:r>
          </w:p>
        </w:tc>
        <w:tc>
          <w:tcPr>
            <w:tcW w:w="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ind w:left="120"/>
              <w:spacing w:after="0"/>
              <w:rPr>
                <w:sz w:val="20"/>
                <w:szCs w:val="20"/>
                <w:color w:val="auto"/>
              </w:rPr>
            </w:pPr>
            <w:r>
              <w:rPr>
                <w:rFonts w:ascii="Arial" w:cs="Arial" w:eastAsia="Arial" w:hAnsi="Arial"/>
                <w:sz w:val="14"/>
                <w:szCs w:val="14"/>
                <w:color w:val="auto"/>
              </w:rPr>
              <w:t>Diluted weighted average number of shares outstanding</w:t>
            </w:r>
          </w:p>
        </w:tc>
        <w:tc>
          <w:tcPr>
            <w:tcW w:w="6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31.454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4"/>
                <w:szCs w:val="14"/>
                <w:color w:val="auto"/>
              </w:rPr>
              <w:t>Dividends declared per share</w:t>
            </w:r>
          </w:p>
        </w:tc>
        <w:tc>
          <w:tcPr>
            <w:tcW w:w="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880" w:type="dxa"/>
            <w:vAlign w:val="bottom"/>
            <w:vMerge w:val="continue"/>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52" w:hanging="152"/>
        <w:spacing w:after="0"/>
        <w:tabs>
          <w:tab w:leader="none" w:pos="15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00" w:lineRule="exact"/>
        <w:rPr>
          <w:sz w:val="20"/>
          <w:szCs w:val="20"/>
          <w:color w:val="auto"/>
        </w:rPr>
      </w:pPr>
    </w:p>
    <w:p>
      <w:pPr>
        <w:spacing w:after="0" w:line="3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12"/>
          </w:cols>
          <w:pgMar w:left="328" w:top="269"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760"/>
        </w:trPr>
        <w:tc>
          <w:tcPr>
            <w:tcW w:w="7080" w:type="dxa"/>
            <w:vAlign w:val="bottom"/>
          </w:tcPr>
          <w:p>
            <w:pPr>
              <w:jc w:val="center"/>
              <w:ind w:left="4038"/>
              <w:spacing w:after="0"/>
              <w:rPr>
                <w:sz w:val="20"/>
                <w:szCs w:val="20"/>
                <w:color w:val="auto"/>
              </w:rPr>
            </w:pPr>
            <w:r>
              <w:rPr>
                <w:rFonts w:ascii="Arial" w:cs="Arial" w:eastAsia="Arial" w:hAnsi="Arial"/>
                <w:sz w:val="18"/>
                <w:szCs w:val="18"/>
                <w:b w:val="1"/>
                <w:bCs w:val="1"/>
                <w:color w:val="auto"/>
                <w:w w:val="99"/>
              </w:rPr>
              <w:t>ACUITY INC.</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00" w:type="dxa"/>
            <w:vAlign w:val="bottom"/>
            <w:gridSpan w:val="4"/>
          </w:tcPr>
          <w:p>
            <w:pPr>
              <w:jc w:val="center"/>
              <w:ind w:left="1918"/>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80" w:type="dxa"/>
            <w:vAlign w:val="bottom"/>
          </w:tcPr>
          <w:p>
            <w:pPr>
              <w:jc w:val="center"/>
              <w:ind w:left="4038"/>
              <w:spacing w:after="0"/>
              <w:rPr>
                <w:sz w:val="20"/>
                <w:szCs w:val="20"/>
                <w:color w:val="auto"/>
              </w:rPr>
            </w:pPr>
            <w:r>
              <w:rPr>
                <w:rFonts w:ascii="Arial" w:cs="Arial" w:eastAsia="Arial" w:hAnsi="Arial"/>
                <w:sz w:val="18"/>
                <w:szCs w:val="18"/>
                <w:i w:val="1"/>
                <w:iCs w:val="1"/>
                <w:color w:val="auto"/>
                <w:w w:val="99"/>
              </w:rPr>
              <w:t>(In millions)</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7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jc w:val="right"/>
              <w:ind w:right="127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70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2026</w:t>
            </w:r>
          </w:p>
        </w:tc>
        <w:tc>
          <w:tcPr>
            <w:tcW w:w="220" w:type="dxa"/>
            <w:vAlign w:val="bottom"/>
          </w:tcPr>
          <w:p>
            <w:pPr>
              <w:spacing w:after="0"/>
              <w:rPr>
                <w:sz w:val="18"/>
                <w:szCs w:val="18"/>
                <w:color w:val="auto"/>
              </w:rPr>
            </w:pPr>
          </w:p>
        </w:tc>
        <w:tc>
          <w:tcPr>
            <w:tcW w:w="1800" w:type="dxa"/>
            <w:vAlign w:val="bottom"/>
          </w:tcPr>
          <w:p>
            <w:pPr>
              <w:jc w:val="right"/>
              <w:ind w:right="238"/>
              <w:spacing w:after="0"/>
              <w:rPr>
                <w:sz w:val="20"/>
                <w:szCs w:val="20"/>
                <w:color w:val="auto"/>
              </w:rPr>
            </w:pPr>
            <w:r>
              <w:rPr>
                <w:rFonts w:ascii="Arial" w:cs="Arial" w:eastAsia="Arial" w:hAnsi="Arial"/>
                <w:sz w:val="16"/>
                <w:szCs w:val="16"/>
                <w:b w:val="1"/>
                <w:bCs w:val="1"/>
                <w:color w:val="auto"/>
              </w:rPr>
              <w:t>February 28, 2025</w:t>
            </w:r>
          </w:p>
        </w:tc>
        <w:tc>
          <w:tcPr>
            <w:tcW w:w="0" w:type="dxa"/>
            <w:vAlign w:val="bottom"/>
          </w:tcPr>
          <w:p>
            <w:pPr>
              <w:spacing w:after="0"/>
              <w:rPr>
                <w:sz w:val="1"/>
                <w:szCs w:val="1"/>
                <w:color w:val="auto"/>
              </w:rPr>
            </w:pPr>
          </w:p>
        </w:tc>
      </w:tr>
      <w:tr>
        <w:trPr>
          <w:trHeight w:val="194"/>
        </w:trPr>
        <w:tc>
          <w:tcPr>
            <w:tcW w:w="708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184.2</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Share-based payment expense</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 net of acquisitions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6"/>
                <w:szCs w:val="16"/>
                <w:color w:val="auto"/>
              </w:rPr>
              <w:t>Other operating activities</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0"/>
        </w:trPr>
        <w:tc>
          <w:tcPr>
            <w:tcW w:w="708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09"/>
        </w:trPr>
        <w:tc>
          <w:tcPr>
            <w:tcW w:w="70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(1,165.0)</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7080" w:type="dxa"/>
            <w:vAlign w:val="bottom"/>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(1,190.4)</w:t>
            </w:r>
          </w:p>
        </w:tc>
        <w:tc>
          <w:tcPr>
            <w:tcW w:w="0" w:type="dxa"/>
            <w:vAlign w:val="bottom"/>
          </w:tcPr>
          <w:p>
            <w:pPr>
              <w:spacing w:after="0"/>
              <w:rPr>
                <w:sz w:val="1"/>
                <w:szCs w:val="1"/>
                <w:color w:val="auto"/>
              </w:rPr>
            </w:pPr>
          </w:p>
        </w:tc>
      </w:tr>
      <w:tr>
        <w:trPr>
          <w:trHeight w:val="209"/>
        </w:trPr>
        <w:tc>
          <w:tcPr>
            <w:tcW w:w="70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Borrowings from term loan</w:t>
            </w:r>
          </w:p>
        </w:tc>
        <w:tc>
          <w:tcPr>
            <w:tcW w:w="22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Repayments of term loan borrowings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Proceeds from stock option exercises and other</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Payments of taxes withheld on net settlement of equity awards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7080" w:type="dxa"/>
            <w:vAlign w:val="bottom"/>
          </w:tcPr>
          <w:p>
            <w:pPr>
              <w:ind w:left="120"/>
              <w:spacing w:after="0"/>
              <w:rPr>
                <w:sz w:val="20"/>
                <w:szCs w:val="20"/>
                <w:color w:val="auto"/>
              </w:rPr>
            </w:pPr>
            <w:r>
              <w:rPr>
                <w:rFonts w:ascii="Arial" w:cs="Arial" w:eastAsia="Arial" w:hAnsi="Arial"/>
                <w:sz w:val="16"/>
                <w:szCs w:val="16"/>
                <w:color w:val="auto"/>
              </w:rPr>
              <w:t>Other financing activities</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7080" w:type="dxa"/>
            <w:vAlign w:val="bottom"/>
          </w:tcPr>
          <w:p>
            <w:pPr>
              <w:ind w:left="340"/>
              <w:spacing w:after="0"/>
              <w:rPr>
                <w:sz w:val="20"/>
                <w:szCs w:val="20"/>
                <w:color w:val="auto"/>
              </w:rPr>
            </w:pPr>
            <w:r>
              <w:rPr>
                <w:rFonts w:ascii="Arial" w:cs="Arial" w:eastAsia="Arial" w:hAnsi="Arial"/>
                <w:sz w:val="16"/>
                <w:szCs w:val="16"/>
                <w:color w:val="auto"/>
              </w:rPr>
              <w:t>Net cash (used for) provided by financing activities</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559.7</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(447.9)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269" w:right="339" w:bottom="1440" w:gutter="0" w:footer="0" w:header="0"/>
        </w:sectPr>
      </w:pPr>
    </w:p>
    <w:bookmarkStart w:id="10" w:name="page11"/>
    <w:bookmarkEnd w:id="10"/>
    <w:p>
      <w:pPr>
        <w:jc w:val="right"/>
        <w:ind w:right="20"/>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99.1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DISAGGREGATED NET SALES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net sales by channel for the periods presented: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2026</w:t>
            </w: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2025</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Increase (Decrease)</w:t>
            </w:r>
          </w:p>
        </w:tc>
        <w:tc>
          <w:tcPr>
            <w:tcW w:w="80" w:type="dxa"/>
            <w:vAlign w:val="bottom"/>
          </w:tcPr>
          <w:p>
            <w:pPr>
              <w:spacing w:after="0"/>
              <w:rPr>
                <w:sz w:val="17"/>
                <w:szCs w:val="17"/>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 Change</w:t>
            </w:r>
          </w:p>
        </w:tc>
        <w:tc>
          <w:tcPr>
            <w:tcW w:w="180" w:type="dxa"/>
            <w:vAlign w:val="bottom"/>
          </w:tcPr>
          <w:p>
            <w:pPr>
              <w:spacing w:after="0"/>
              <w:rPr>
                <w:sz w:val="17"/>
                <w:szCs w:val="17"/>
                <w:color w:val="auto"/>
              </w:rPr>
            </w:pPr>
          </w:p>
        </w:tc>
      </w:tr>
      <w:tr>
        <w:trPr>
          <w:trHeight w:val="177"/>
        </w:trPr>
        <w:tc>
          <w:tcPr>
            <w:tcW w:w="4380" w:type="dxa"/>
            <w:vAlign w:val="bottom"/>
          </w:tcPr>
          <w:p>
            <w:pPr>
              <w:spacing w:after="0"/>
              <w:rPr>
                <w:sz w:val="20"/>
                <w:szCs w:val="20"/>
                <w:color w:val="auto"/>
              </w:rPr>
            </w:pPr>
            <w:r>
              <w:rPr>
                <w:rFonts w:ascii="Arial" w:cs="Arial" w:eastAsia="Arial" w:hAnsi="Arial"/>
                <w:sz w:val="14"/>
                <w:szCs w:val="14"/>
                <w:color w:val="auto"/>
              </w:rPr>
              <w:t>Acuity Brands Lighting:</w:t>
            </w: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Independent sales network</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616.7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615.2</w:t>
            </w:r>
          </w:p>
        </w:tc>
        <w:tc>
          <w:tcPr>
            <w:tcW w:w="100" w:type="dxa"/>
            <w:vAlign w:val="bottom"/>
          </w:tcPr>
          <w:p>
            <w:pPr>
              <w:spacing w:after="0"/>
              <w:rPr>
                <w:sz w:val="17"/>
                <w:szCs w:val="17"/>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Direct sales network</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(26.8)</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(27.5) %</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Retail sales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(1.7) %</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Corporate accounts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4380" w:type="dxa"/>
            <w:vAlign w:val="bottom"/>
          </w:tcPr>
          <w:p>
            <w:pPr>
              <w:ind w:left="120"/>
              <w:spacing w:after="0"/>
              <w:rPr>
                <w:sz w:val="20"/>
                <w:szCs w:val="20"/>
                <w:color w:val="auto"/>
              </w:rPr>
            </w:pPr>
            <w:r>
              <w:rPr>
                <w:rFonts w:ascii="Arial" w:cs="Arial" w:eastAsia="Arial" w:hAnsi="Arial"/>
                <w:sz w:val="14"/>
                <w:szCs w:val="14"/>
                <w:color w:val="auto"/>
              </w:rPr>
              <w:t>Original equipment manufacturer and other</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(4.5) %</w:t>
            </w:r>
          </w:p>
        </w:tc>
      </w:tr>
      <w:tr>
        <w:trPr>
          <w:trHeight w:val="194"/>
        </w:trPr>
        <w:tc>
          <w:tcPr>
            <w:tcW w:w="4380" w:type="dxa"/>
            <w:vAlign w:val="bottom"/>
          </w:tcPr>
          <w:p>
            <w:pPr>
              <w:spacing w:after="0"/>
              <w:rPr>
                <w:sz w:val="20"/>
                <w:szCs w:val="20"/>
                <w:color w:val="auto"/>
              </w:rPr>
            </w:pPr>
            <w:r>
              <w:rPr>
                <w:rFonts w:ascii="Arial" w:cs="Arial" w:eastAsia="Arial" w:hAnsi="Arial"/>
                <w:sz w:val="14"/>
                <w:szCs w:val="14"/>
                <w:color w:val="auto"/>
              </w:rPr>
              <w:t>Total Acuity Brands Lighting</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840.6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(2.8) %</w:t>
            </w:r>
          </w:p>
        </w:tc>
      </w:tr>
      <w:tr>
        <w:trPr>
          <w:trHeight w:val="203"/>
        </w:trPr>
        <w:tc>
          <w:tcPr>
            <w:tcW w:w="4380" w:type="dxa"/>
            <w:vAlign w:val="bottom"/>
          </w:tcPr>
          <w:p>
            <w:pPr>
              <w:spacing w:after="0"/>
              <w:rPr>
                <w:sz w:val="20"/>
                <w:szCs w:val="20"/>
                <w:color w:val="auto"/>
              </w:rPr>
            </w:pPr>
            <w:r>
              <w:rPr>
                <w:rFonts w:ascii="Arial" w:cs="Arial" w:eastAsia="Arial" w:hAnsi="Arial"/>
                <w:sz w:val="14"/>
                <w:szCs w:val="14"/>
                <w:color w:val="auto"/>
              </w:rPr>
              <w:t>Acuity Intelligent Spaces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76.6</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380" w:type="dxa"/>
            <w:vAlign w:val="bottom"/>
          </w:tcPr>
          <w:p>
            <w:pPr>
              <w:spacing w:after="0"/>
              <w:rPr>
                <w:sz w:val="20"/>
                <w:szCs w:val="20"/>
                <w:color w:val="auto"/>
              </w:rPr>
            </w:pPr>
            <w:r>
              <w:rPr>
                <w:rFonts w:ascii="Arial" w:cs="Arial" w:eastAsia="Arial" w:hAnsi="Arial"/>
                <w:sz w:val="14"/>
                <w:szCs w:val="14"/>
                <w:color w:val="auto"/>
              </w:rPr>
              <w:t>Eliminations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69.0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380" w:type="dxa"/>
            <w:vAlign w:val="bottom"/>
          </w:tcPr>
          <w:p>
            <w:pPr>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1,006.3</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49.4</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2026</w:t>
            </w: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2025</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Increase (Decrease)</w:t>
            </w:r>
          </w:p>
        </w:tc>
        <w:tc>
          <w:tcPr>
            <w:tcW w:w="80" w:type="dxa"/>
            <w:vAlign w:val="bottom"/>
          </w:tcPr>
          <w:p>
            <w:pPr>
              <w:spacing w:after="0"/>
              <w:rPr>
                <w:sz w:val="17"/>
                <w:szCs w:val="17"/>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 Change</w:t>
            </w:r>
          </w:p>
        </w:tc>
        <w:tc>
          <w:tcPr>
            <w:tcW w:w="180" w:type="dxa"/>
            <w:vAlign w:val="bottom"/>
          </w:tcPr>
          <w:p>
            <w:pPr>
              <w:spacing w:after="0"/>
              <w:rPr>
                <w:sz w:val="17"/>
                <w:szCs w:val="17"/>
                <w:color w:val="auto"/>
              </w:rPr>
            </w:pPr>
          </w:p>
        </w:tc>
      </w:tr>
      <w:tr>
        <w:trPr>
          <w:trHeight w:val="177"/>
        </w:trPr>
        <w:tc>
          <w:tcPr>
            <w:tcW w:w="4380" w:type="dxa"/>
            <w:vAlign w:val="bottom"/>
          </w:tcPr>
          <w:p>
            <w:pPr>
              <w:spacing w:after="0"/>
              <w:rPr>
                <w:sz w:val="20"/>
                <w:szCs w:val="20"/>
                <w:color w:val="auto"/>
              </w:rPr>
            </w:pPr>
            <w:r>
              <w:rPr>
                <w:rFonts w:ascii="Arial" w:cs="Arial" w:eastAsia="Arial" w:hAnsi="Arial"/>
                <w:sz w:val="14"/>
                <w:szCs w:val="14"/>
                <w:color w:val="auto"/>
              </w:rPr>
              <w:t>Acuity Brands Lighting:</w:t>
            </w: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Independent sales network</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1,283.0</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1,259.1</w:t>
            </w:r>
          </w:p>
        </w:tc>
        <w:tc>
          <w:tcPr>
            <w:tcW w:w="100" w:type="dxa"/>
            <w:vAlign w:val="bottom"/>
          </w:tcPr>
          <w:p>
            <w:pPr>
              <w:spacing w:after="0"/>
              <w:rPr>
                <w:sz w:val="17"/>
                <w:szCs w:val="17"/>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23.9</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Direct sales network</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204.6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(43.6)</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(21.3) %</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Retail sales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380" w:type="dxa"/>
            <w:vAlign w:val="bottom"/>
          </w:tcPr>
          <w:p>
            <w:pPr>
              <w:ind w:left="120"/>
              <w:spacing w:after="0"/>
              <w:rPr>
                <w:sz w:val="20"/>
                <w:szCs w:val="20"/>
                <w:color w:val="auto"/>
              </w:rPr>
            </w:pPr>
            <w:r>
              <w:rPr>
                <w:rFonts w:ascii="Arial" w:cs="Arial" w:eastAsia="Arial" w:hAnsi="Arial"/>
                <w:sz w:val="14"/>
                <w:szCs w:val="14"/>
                <w:color w:val="auto"/>
              </w:rPr>
              <w:t>Corporate accounts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4380" w:type="dxa"/>
            <w:vAlign w:val="bottom"/>
          </w:tcPr>
          <w:p>
            <w:pPr>
              <w:ind w:left="120"/>
              <w:spacing w:after="0"/>
              <w:rPr>
                <w:sz w:val="20"/>
                <w:szCs w:val="20"/>
                <w:color w:val="auto"/>
              </w:rPr>
            </w:pPr>
            <w:r>
              <w:rPr>
                <w:rFonts w:ascii="Arial" w:cs="Arial" w:eastAsia="Arial" w:hAnsi="Arial"/>
                <w:sz w:val="14"/>
                <w:szCs w:val="14"/>
                <w:color w:val="auto"/>
              </w:rPr>
              <w:t>Original equipment manufacturer and other</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(7.3) %</w:t>
            </w:r>
          </w:p>
        </w:tc>
      </w:tr>
      <w:tr>
        <w:trPr>
          <w:trHeight w:val="194"/>
        </w:trPr>
        <w:tc>
          <w:tcPr>
            <w:tcW w:w="4380" w:type="dxa"/>
            <w:vAlign w:val="bottom"/>
          </w:tcPr>
          <w:p>
            <w:pPr>
              <w:spacing w:after="0"/>
              <w:rPr>
                <w:sz w:val="20"/>
                <w:szCs w:val="20"/>
                <w:color w:val="auto"/>
              </w:rPr>
            </w:pPr>
            <w:r>
              <w:rPr>
                <w:rFonts w:ascii="Arial" w:cs="Arial" w:eastAsia="Arial" w:hAnsi="Arial"/>
                <w:sz w:val="14"/>
                <w:szCs w:val="14"/>
                <w:color w:val="auto"/>
              </w:rPr>
              <w:t>Total Acuity Brands Lighting</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1,712.5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1,726.6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w:t>
            </w: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(0.8) %</w:t>
            </w:r>
          </w:p>
        </w:tc>
      </w:tr>
      <w:tr>
        <w:trPr>
          <w:trHeight w:val="203"/>
        </w:trPr>
        <w:tc>
          <w:tcPr>
            <w:tcW w:w="4380" w:type="dxa"/>
            <w:vAlign w:val="bottom"/>
          </w:tcPr>
          <w:p>
            <w:pPr>
              <w:spacing w:after="0"/>
              <w:rPr>
                <w:sz w:val="20"/>
                <w:szCs w:val="20"/>
                <w:color w:val="auto"/>
              </w:rPr>
            </w:pPr>
            <w:r>
              <w:rPr>
                <w:rFonts w:ascii="Arial" w:cs="Arial" w:eastAsia="Arial" w:hAnsi="Arial"/>
                <w:sz w:val="14"/>
                <w:szCs w:val="14"/>
                <w:color w:val="auto"/>
              </w:rPr>
              <w:t>Acuity Intelligent Spaces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505.5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245.0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260.5</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106.3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380" w:type="dxa"/>
            <w:vAlign w:val="bottom"/>
          </w:tcPr>
          <w:p>
            <w:pPr>
              <w:spacing w:after="0"/>
              <w:rPr>
                <w:sz w:val="20"/>
                <w:szCs w:val="20"/>
                <w:color w:val="auto"/>
              </w:rPr>
            </w:pPr>
            <w:r>
              <w:rPr>
                <w:rFonts w:ascii="Arial" w:cs="Arial" w:eastAsia="Arial" w:hAnsi="Arial"/>
                <w:sz w:val="14"/>
                <w:szCs w:val="14"/>
                <w:color w:val="auto"/>
              </w:rPr>
              <w:t>Eliminations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35.8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380" w:type="dxa"/>
            <w:vAlign w:val="bottom"/>
          </w:tcPr>
          <w:p>
            <w:pPr>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1,957.9</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241.5</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69"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Press Release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Non-U.S. GAAP Measures</w:t>
      </w:r>
    </w:p>
    <w:p>
      <w:pPr>
        <w:spacing w:after="0" w:line="7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tables below reconcile certain GAAP financial measures to the corresponding non-GAAP measures for total Company as well as our reportable operating segments (in millions except per share data):</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February 28,</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February 28,</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Increase</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tcPr>
          <w:p>
            <w:pPr>
              <w:spacing w:after="0"/>
              <w:rPr>
                <w:sz w:val="20"/>
                <w:szCs w:val="20"/>
                <w:color w:val="auto"/>
              </w:rPr>
            </w:pPr>
            <w:r>
              <w:rPr>
                <w:rFonts w:ascii="Arial" w:cs="Arial" w:eastAsia="Arial" w:hAnsi="Arial"/>
                <w:sz w:val="14"/>
                <w:szCs w:val="14"/>
                <w:color w:val="auto"/>
              </w:rPr>
              <w:t>Net sales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1,055.7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1,006.3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2"/>
        </w:trPr>
        <w:tc>
          <w:tcPr>
            <w:tcW w:w="4500" w:type="dxa"/>
            <w:vAlign w:val="bottom"/>
          </w:tcPr>
          <w:p>
            <w:pPr>
              <w:spacing w:after="0"/>
              <w:rPr>
                <w:sz w:val="20"/>
                <w:szCs w:val="20"/>
                <w:color w:val="auto"/>
              </w:rPr>
            </w:pPr>
            <w:r>
              <w:rPr>
                <w:rFonts w:ascii="Arial" w:cs="Arial" w:eastAsia="Arial" w:hAnsi="Arial"/>
                <w:sz w:val="14"/>
                <w:szCs w:val="14"/>
                <w:color w:val="auto"/>
              </w:rPr>
              <w:t>Gross profit (GAAP)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520.4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468.0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i w:val="1"/>
                <w:iCs w:val="1"/>
                <w:color w:val="auto"/>
              </w:rPr>
              <w:t>49.3 %</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46.5 %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280</w:t>
            </w:r>
          </w:p>
        </w:tc>
        <w:tc>
          <w:tcPr>
            <w:tcW w:w="100" w:type="dxa"/>
            <w:vAlign w:val="bottom"/>
          </w:tcPr>
          <w:p>
            <w:pPr>
              <w:spacing w:after="0"/>
              <w:rPr>
                <w:sz w:val="17"/>
                <w:szCs w:val="17"/>
                <w:color w:val="auto"/>
              </w:rPr>
            </w:pPr>
          </w:p>
        </w:tc>
        <w:tc>
          <w:tcPr>
            <w:tcW w:w="1040" w:type="dxa"/>
            <w:vAlign w:val="bottom"/>
          </w:tcPr>
          <w:p>
            <w:pPr>
              <w:jc w:val="right"/>
              <w:ind w:right="728"/>
              <w:spacing w:after="0"/>
              <w:rPr>
                <w:sz w:val="20"/>
                <w:szCs w:val="20"/>
                <w:color w:val="auto"/>
              </w:rPr>
            </w:pPr>
            <w:r>
              <w:rPr>
                <w:rFonts w:ascii="Arial" w:cs="Arial" w:eastAsia="Arial" w:hAnsi="Arial"/>
                <w:sz w:val="14"/>
                <w:szCs w:val="14"/>
                <w:i w:val="1"/>
                <w:iCs w:val="1"/>
                <w:color w:val="auto"/>
                <w:w w:val="97"/>
              </w:rPr>
              <w:t>bps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20"/>
              <w:spacing w:after="0"/>
              <w:rPr>
                <w:sz w:val="20"/>
                <w:szCs w:val="20"/>
                <w:color w:val="auto"/>
              </w:rPr>
            </w:pPr>
            <w:r>
              <w:rPr>
                <w:rFonts w:ascii="Arial" w:cs="Arial" w:eastAsia="Arial" w:hAnsi="Arial"/>
                <w:sz w:val="14"/>
                <w:szCs w:val="14"/>
                <w:color w:val="auto"/>
              </w:rPr>
              <w:t>Add-back: Acquired profit in inventory</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tcPr>
          <w:p>
            <w:pPr>
              <w:spacing w:after="0"/>
              <w:rPr>
                <w:sz w:val="20"/>
                <w:szCs w:val="20"/>
                <w:color w:val="auto"/>
              </w:rPr>
            </w:pPr>
            <w:r>
              <w:rPr>
                <w:rFonts w:ascii="Arial" w:cs="Arial" w:eastAsia="Arial" w:hAnsi="Arial"/>
                <w:sz w:val="14"/>
                <w:szCs w:val="14"/>
                <w:color w:val="auto"/>
              </w:rPr>
              <w:t>Adjusted gross profit (Non-GAAP)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520.4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478.4</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50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49.3 %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47.5 %</w:t>
            </w:r>
          </w:p>
        </w:tc>
        <w:tc>
          <w:tcPr>
            <w:tcW w:w="140" w:type="dxa"/>
            <w:vAlign w:val="bottom"/>
            <w:vMerge w:val="restart"/>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180</w:t>
            </w:r>
          </w:p>
        </w:tc>
        <w:tc>
          <w:tcPr>
            <w:tcW w:w="100" w:type="dxa"/>
            <w:vAlign w:val="bottom"/>
            <w:vMerge w:val="restart"/>
          </w:tcPr>
          <w:p>
            <w:pPr>
              <w:spacing w:after="0" w:line="20" w:lineRule="exact"/>
              <w:rPr>
                <w:sz w:val="1"/>
                <w:szCs w:val="1"/>
                <w:color w:val="auto"/>
              </w:rPr>
            </w:pPr>
          </w:p>
        </w:tc>
        <w:tc>
          <w:tcPr>
            <w:tcW w:w="1040" w:type="dxa"/>
            <w:vAlign w:val="bottom"/>
            <w:vMerge w:val="restart"/>
          </w:tcPr>
          <w:p>
            <w:pPr>
              <w:jc w:val="right"/>
              <w:ind w:right="728"/>
              <w:spacing w:after="0"/>
              <w:rPr>
                <w:sz w:val="20"/>
                <w:szCs w:val="20"/>
                <w:color w:val="auto"/>
              </w:rPr>
            </w:pPr>
            <w:r>
              <w:rPr>
                <w:rFonts w:ascii="Arial" w:cs="Arial" w:eastAsia="Arial" w:hAnsi="Arial"/>
                <w:sz w:val="14"/>
                <w:szCs w:val="14"/>
                <w:i w:val="1"/>
                <w:iCs w:val="1"/>
                <w:color w:val="auto"/>
                <w:w w:val="97"/>
              </w:rPr>
              <w:t>bps</w:t>
            </w: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4500" w:type="dxa"/>
            <w:vAlign w:val="bottom"/>
          </w:tcPr>
          <w:p>
            <w:pPr>
              <w:spacing w:after="0"/>
              <w:rPr>
                <w:sz w:val="20"/>
                <w:szCs w:val="20"/>
                <w:color w:val="auto"/>
              </w:rPr>
            </w:pPr>
            <w:r>
              <w:rPr>
                <w:rFonts w:ascii="Arial" w:cs="Arial" w:eastAsia="Arial" w:hAnsi="Arial"/>
                <w:sz w:val="14"/>
                <w:szCs w:val="14"/>
                <w:color w:val="auto"/>
              </w:rPr>
              <w:t>Operating profit (GAAP)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133.0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110.2</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Arial" w:cs="Arial" w:eastAsia="Arial" w:hAnsi="Arial"/>
                <w:sz w:val="14"/>
                <w:szCs w:val="14"/>
                <w:i w:val="1"/>
                <w:iCs w:val="1"/>
                <w:color w:val="auto"/>
              </w:rPr>
              <w:t>Percent of net sales (GAAP)</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i w:val="1"/>
                <w:iCs w:val="1"/>
                <w:color w:val="auto"/>
              </w:rPr>
              <w:t>12.6 %</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11.0 %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160</w:t>
            </w:r>
          </w:p>
        </w:tc>
        <w:tc>
          <w:tcPr>
            <w:tcW w:w="100" w:type="dxa"/>
            <w:vAlign w:val="bottom"/>
          </w:tcPr>
          <w:p>
            <w:pPr>
              <w:spacing w:after="0"/>
              <w:rPr>
                <w:sz w:val="17"/>
                <w:szCs w:val="17"/>
                <w:color w:val="auto"/>
              </w:rPr>
            </w:pPr>
          </w:p>
        </w:tc>
        <w:tc>
          <w:tcPr>
            <w:tcW w:w="1040" w:type="dxa"/>
            <w:vAlign w:val="bottom"/>
          </w:tcPr>
          <w:p>
            <w:pPr>
              <w:jc w:val="right"/>
              <w:ind w:right="728"/>
              <w:spacing w:after="0"/>
              <w:rPr>
                <w:sz w:val="20"/>
                <w:szCs w:val="20"/>
                <w:color w:val="auto"/>
              </w:rPr>
            </w:pPr>
            <w:r>
              <w:rPr>
                <w:rFonts w:ascii="Arial" w:cs="Arial" w:eastAsia="Arial" w:hAnsi="Arial"/>
                <w:sz w:val="14"/>
                <w:szCs w:val="14"/>
                <w:i w:val="1"/>
                <w:iCs w:val="1"/>
                <w:color w:val="auto"/>
                <w:w w:val="97"/>
              </w:rPr>
              <w:t>bps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2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2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120"/>
              <w:spacing w:after="0"/>
              <w:rPr>
                <w:sz w:val="20"/>
                <w:szCs w:val="20"/>
                <w:color w:val="auto"/>
              </w:rPr>
            </w:pPr>
            <w:r>
              <w:rPr>
                <w:rFonts w:ascii="Arial" w:cs="Arial" w:eastAsia="Arial" w:hAnsi="Arial"/>
                <w:sz w:val="14"/>
                <w:szCs w:val="14"/>
                <w:color w:val="auto"/>
              </w:rPr>
              <w:t xml:space="preserve">Add-back: Acquisition-related costs </w:t>
            </w:r>
            <w:r>
              <w:rPr>
                <w:rFonts w:ascii="Arial" w:cs="Arial" w:eastAsia="Arial" w:hAnsi="Arial"/>
                <w:sz w:val="18"/>
                <w:szCs w:val="18"/>
                <w:color w:val="auto"/>
                <w:vertAlign w:val="superscript"/>
              </w:rPr>
              <w:t>(1)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120"/>
              <w:spacing w:after="0"/>
              <w:rPr>
                <w:sz w:val="20"/>
                <w:szCs w:val="20"/>
                <w:color w:val="auto"/>
              </w:rPr>
            </w:pPr>
            <w:r>
              <w:rPr>
                <w:rFonts w:ascii="Arial" w:cs="Arial" w:eastAsia="Arial" w:hAnsi="Arial"/>
                <w:sz w:val="14"/>
                <w:szCs w:val="14"/>
                <w:color w:val="auto"/>
              </w:rPr>
              <w:t>Add-back: Acquired profit in inventory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2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tcPr>
          <w:p>
            <w:pPr>
              <w:spacing w:after="0"/>
              <w:rPr>
                <w:sz w:val="20"/>
                <w:szCs w:val="20"/>
                <w:color w:val="auto"/>
              </w:rPr>
            </w:pPr>
            <w:r>
              <w:rPr>
                <w:rFonts w:ascii="Arial" w:cs="Arial" w:eastAsia="Arial" w:hAnsi="Arial"/>
                <w:sz w:val="14"/>
                <w:szCs w:val="14"/>
                <w:color w:val="auto"/>
              </w:rPr>
              <w:t>Adjusted operating profit (Non-GAAP)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176.0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162.9</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 of net sales (Non-GAAP)</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16.7 %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16.2 %</w:t>
            </w:r>
          </w:p>
        </w:tc>
        <w:tc>
          <w:tcPr>
            <w:tcW w:w="140" w:type="dxa"/>
            <w:vAlign w:val="bottom"/>
            <w:vMerge w:val="restart"/>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vMerge w:val="restart"/>
          </w:tcPr>
          <w:p>
            <w:pPr>
              <w:spacing w:after="0" w:line="20" w:lineRule="exact"/>
              <w:rPr>
                <w:sz w:val="1"/>
                <w:szCs w:val="1"/>
                <w:color w:val="auto"/>
              </w:rPr>
            </w:pPr>
          </w:p>
        </w:tc>
        <w:tc>
          <w:tcPr>
            <w:tcW w:w="1040" w:type="dxa"/>
            <w:vAlign w:val="bottom"/>
            <w:vMerge w:val="restart"/>
          </w:tcPr>
          <w:p>
            <w:pPr>
              <w:jc w:val="right"/>
              <w:ind w:right="728"/>
              <w:spacing w:after="0"/>
              <w:rPr>
                <w:sz w:val="20"/>
                <w:szCs w:val="20"/>
                <w:color w:val="auto"/>
              </w:rPr>
            </w:pPr>
            <w:r>
              <w:rPr>
                <w:rFonts w:ascii="Arial" w:cs="Arial" w:eastAsia="Arial" w:hAnsi="Arial"/>
                <w:sz w:val="14"/>
                <w:szCs w:val="14"/>
                <w:i w:val="1"/>
                <w:iCs w:val="1"/>
                <w:color w:val="auto"/>
                <w:w w:val="97"/>
              </w:rPr>
              <w:t>bps</w:t>
            </w: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4500" w:type="dxa"/>
            <w:vAlign w:val="bottom"/>
          </w:tcPr>
          <w:p>
            <w:pPr>
              <w:spacing w:after="0"/>
              <w:rPr>
                <w:sz w:val="20"/>
                <w:szCs w:val="20"/>
                <w:color w:val="auto"/>
              </w:rPr>
            </w:pPr>
            <w:r>
              <w:rPr>
                <w:rFonts w:ascii="Arial" w:cs="Arial" w:eastAsia="Arial" w:hAnsi="Arial"/>
                <w:sz w:val="14"/>
                <w:szCs w:val="14"/>
                <w:color w:val="auto"/>
              </w:rPr>
              <w:t>Net income (GAAP)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96.8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77.5</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00" w:type="dxa"/>
            <w:vAlign w:val="bottom"/>
          </w:tcPr>
          <w:p>
            <w:pPr>
              <w:ind w:left="12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2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120"/>
              <w:spacing w:after="0"/>
              <w:rPr>
                <w:sz w:val="20"/>
                <w:szCs w:val="20"/>
                <w:color w:val="auto"/>
              </w:rPr>
            </w:pPr>
            <w:r>
              <w:rPr>
                <w:rFonts w:ascii="Arial" w:cs="Arial" w:eastAsia="Arial" w:hAnsi="Arial"/>
                <w:sz w:val="14"/>
                <w:szCs w:val="14"/>
                <w:color w:val="auto"/>
              </w:rPr>
              <w:t xml:space="preserve">Add-back: Acquisition-related costs </w:t>
            </w:r>
            <w:r>
              <w:rPr>
                <w:rFonts w:ascii="Arial" w:cs="Arial" w:eastAsia="Arial" w:hAnsi="Arial"/>
                <w:sz w:val="18"/>
                <w:szCs w:val="18"/>
                <w:color w:val="auto"/>
                <w:vertAlign w:val="superscript"/>
              </w:rPr>
              <w:t>(1)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120"/>
              <w:spacing w:after="0"/>
              <w:rPr>
                <w:sz w:val="20"/>
                <w:szCs w:val="20"/>
                <w:color w:val="auto"/>
              </w:rPr>
            </w:pPr>
            <w:r>
              <w:rPr>
                <w:rFonts w:ascii="Arial" w:cs="Arial" w:eastAsia="Arial" w:hAnsi="Arial"/>
                <w:sz w:val="14"/>
                <w:szCs w:val="14"/>
                <w:color w:val="auto"/>
              </w:rPr>
              <w:t>Add-back: Acquired profit in inventory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12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00" w:type="dxa"/>
            <w:vAlign w:val="bottom"/>
          </w:tcPr>
          <w:p>
            <w:pPr>
              <w:ind w:left="200"/>
              <w:spacing w:after="0"/>
              <w:rPr>
                <w:sz w:val="20"/>
                <w:szCs w:val="20"/>
                <w:color w:val="auto"/>
              </w:rPr>
            </w:pPr>
            <w:r>
              <w:rPr>
                <w:rFonts w:ascii="Arial" w:cs="Arial" w:eastAsia="Arial" w:hAnsi="Arial"/>
                <w:sz w:val="14"/>
                <w:szCs w:val="14"/>
                <w:color w:val="auto"/>
              </w:rPr>
              <w:t>Total pre-tax adjustments to net income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43.0</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52.7</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120"/>
              <w:spacing w:after="0"/>
              <w:rPr>
                <w:sz w:val="20"/>
                <w:szCs w:val="20"/>
                <w:color w:val="auto"/>
              </w:rPr>
            </w:pPr>
            <w:r>
              <w:rPr>
                <w:rFonts w:ascii="Arial" w:cs="Arial" w:eastAsia="Arial" w:hAnsi="Arial"/>
                <w:sz w:val="14"/>
                <w:szCs w:val="14"/>
                <w:color w:val="auto"/>
              </w:rPr>
              <w:t>Income tax effects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tcPr>
          <w:p>
            <w:pPr>
              <w:spacing w:after="0"/>
              <w:rPr>
                <w:sz w:val="20"/>
                <w:szCs w:val="20"/>
                <w:color w:val="auto"/>
              </w:rPr>
            </w:pPr>
            <w:r>
              <w:rPr>
                <w:rFonts w:ascii="Arial" w:cs="Arial" w:eastAsia="Arial" w:hAnsi="Arial"/>
                <w:sz w:val="14"/>
                <w:szCs w:val="14"/>
                <w:color w:val="auto"/>
              </w:rPr>
              <w:t>Adjusted net income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w:t>
            </w:r>
          </w:p>
        </w:tc>
        <w:tc>
          <w:tcPr>
            <w:tcW w:w="9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118.1</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4500" w:type="dxa"/>
            <w:vAlign w:val="bottom"/>
          </w:tcPr>
          <w:p>
            <w:pPr>
              <w:spacing w:after="0"/>
              <w:rPr>
                <w:sz w:val="20"/>
                <w:szCs w:val="20"/>
                <w:color w:val="auto"/>
              </w:rPr>
            </w:pPr>
            <w:r>
              <w:rPr>
                <w:rFonts w:ascii="Arial" w:cs="Arial" w:eastAsia="Arial" w:hAnsi="Arial"/>
                <w:sz w:val="14"/>
                <w:szCs w:val="14"/>
                <w:color w:val="auto"/>
              </w:rPr>
              <w:t>Diluted earnings per share (GAAP)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0.64</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20"/>
                <w:szCs w:val="20"/>
                <w:color w:val="auto"/>
              </w:rPr>
            </w:pPr>
            <w:r>
              <w:rPr>
                <w:rFonts w:ascii="Arial" w:cs="Arial" w:eastAsia="Arial" w:hAnsi="Arial"/>
                <w:sz w:val="14"/>
                <w:szCs w:val="14"/>
                <w:color w:val="auto"/>
              </w:rPr>
              <w:t>Adjusted diluted earnings per share (Non-GAAP)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4.14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3"/>
        </w:trPr>
        <w:tc>
          <w:tcPr>
            <w:tcW w:w="4500" w:type="dxa"/>
            <w:vAlign w:val="bottom"/>
          </w:tcPr>
          <w:p>
            <w:pPr>
              <w:spacing w:after="0"/>
              <w:rPr>
                <w:sz w:val="20"/>
                <w:szCs w:val="20"/>
                <w:color w:val="auto"/>
              </w:rPr>
            </w:pPr>
            <w:r>
              <w:rPr>
                <w:rFonts w:ascii="Arial" w:cs="Arial" w:eastAsia="Arial" w:hAnsi="Arial"/>
                <w:sz w:val="14"/>
                <w:szCs w:val="14"/>
                <w:color w:val="auto"/>
              </w:rPr>
              <w:t>Net income (GAAP)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96.8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77.5</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Arial" w:cs="Arial" w:eastAsia="Arial" w:hAnsi="Arial"/>
                <w:sz w:val="14"/>
                <w:szCs w:val="14"/>
                <w:i w:val="1"/>
                <w:iCs w:val="1"/>
                <w:color w:val="auto"/>
              </w:rPr>
              <w:t>Percent of net sales (GAAP)</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i w:val="1"/>
                <w:iCs w:val="1"/>
                <w:color w:val="auto"/>
              </w:rPr>
              <w:t>9.2 %</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7.7 %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150</w:t>
            </w:r>
          </w:p>
        </w:tc>
        <w:tc>
          <w:tcPr>
            <w:tcW w:w="100" w:type="dxa"/>
            <w:vAlign w:val="bottom"/>
          </w:tcPr>
          <w:p>
            <w:pPr>
              <w:spacing w:after="0"/>
              <w:rPr>
                <w:sz w:val="17"/>
                <w:szCs w:val="17"/>
                <w:color w:val="auto"/>
              </w:rPr>
            </w:pPr>
          </w:p>
        </w:tc>
        <w:tc>
          <w:tcPr>
            <w:tcW w:w="1040" w:type="dxa"/>
            <w:vAlign w:val="bottom"/>
          </w:tcPr>
          <w:p>
            <w:pPr>
              <w:jc w:val="right"/>
              <w:ind w:right="728"/>
              <w:spacing w:after="0"/>
              <w:rPr>
                <w:sz w:val="20"/>
                <w:szCs w:val="20"/>
                <w:color w:val="auto"/>
              </w:rPr>
            </w:pPr>
            <w:r>
              <w:rPr>
                <w:rFonts w:ascii="Arial" w:cs="Arial" w:eastAsia="Arial" w:hAnsi="Arial"/>
                <w:sz w:val="14"/>
                <w:szCs w:val="14"/>
                <w:i w:val="1"/>
                <w:iCs w:val="1"/>
                <w:color w:val="auto"/>
                <w:w w:val="97"/>
              </w:rPr>
              <w:t>bps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0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0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26.1</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00"/>
              <w:spacing w:after="0"/>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100"/>
              <w:spacing w:after="0"/>
              <w:rPr>
                <w:sz w:val="20"/>
                <w:szCs w:val="20"/>
                <w:color w:val="auto"/>
              </w:rPr>
            </w:pPr>
            <w:r>
              <w:rPr>
                <w:rFonts w:ascii="Arial" w:cs="Arial" w:eastAsia="Arial" w:hAnsi="Arial"/>
                <w:sz w:val="14"/>
                <w:szCs w:val="14"/>
                <w:color w:val="auto"/>
              </w:rPr>
              <w:t>Amortization of acquired intangible assets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20"/>
                <w:szCs w:val="20"/>
                <w:color w:val="auto"/>
              </w:rPr>
            </w:pPr>
            <w:r>
              <w:rPr>
                <w:rFonts w:ascii="Arial" w:cs="Arial" w:eastAsia="Arial" w:hAnsi="Arial"/>
                <w:sz w:val="14"/>
                <w:szCs w:val="14"/>
                <w:color w:val="auto"/>
              </w:rPr>
              <w:t>EBITDA (Non-GAAP)</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168.7</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139.7</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Arial" w:cs="Arial" w:eastAsia="Arial" w:hAnsi="Arial"/>
                <w:sz w:val="14"/>
                <w:szCs w:val="14"/>
                <w:i w:val="1"/>
                <w:iCs w:val="1"/>
                <w:color w:val="auto"/>
              </w:rPr>
              <w:t>Percent of net sales (Non-GAAP)</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i w:val="1"/>
                <w:iCs w:val="1"/>
                <w:color w:val="auto"/>
              </w:rPr>
              <w:t>16.0 %</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13.9 %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210</w:t>
            </w:r>
          </w:p>
        </w:tc>
        <w:tc>
          <w:tcPr>
            <w:tcW w:w="100" w:type="dxa"/>
            <w:vAlign w:val="bottom"/>
          </w:tcPr>
          <w:p>
            <w:pPr>
              <w:spacing w:after="0"/>
              <w:rPr>
                <w:sz w:val="17"/>
                <w:szCs w:val="17"/>
                <w:color w:val="auto"/>
              </w:rPr>
            </w:pPr>
          </w:p>
        </w:tc>
        <w:tc>
          <w:tcPr>
            <w:tcW w:w="1040" w:type="dxa"/>
            <w:vAlign w:val="bottom"/>
          </w:tcPr>
          <w:p>
            <w:pPr>
              <w:jc w:val="right"/>
              <w:ind w:right="728"/>
              <w:spacing w:after="0"/>
              <w:rPr>
                <w:sz w:val="20"/>
                <w:szCs w:val="20"/>
                <w:color w:val="auto"/>
              </w:rPr>
            </w:pPr>
            <w:r>
              <w:rPr>
                <w:rFonts w:ascii="Arial" w:cs="Arial" w:eastAsia="Arial" w:hAnsi="Arial"/>
                <w:sz w:val="14"/>
                <w:szCs w:val="14"/>
                <w:i w:val="1"/>
                <w:iCs w:val="1"/>
                <w:color w:val="auto"/>
                <w:w w:val="97"/>
              </w:rPr>
              <w:t>bps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00"/>
              <w:spacing w:after="0"/>
              <w:rPr>
                <w:sz w:val="20"/>
                <w:szCs w:val="20"/>
                <w:color w:val="auto"/>
              </w:rPr>
            </w:pPr>
            <w:r>
              <w:rPr>
                <w:rFonts w:ascii="Arial" w:cs="Arial" w:eastAsia="Arial" w:hAnsi="Arial"/>
                <w:sz w:val="14"/>
                <w:szCs w:val="14"/>
                <w:color w:val="auto"/>
              </w:rPr>
              <w:t>Share-based payment expense</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4"/>
                <w:szCs w:val="14"/>
                <w:color w:val="auto"/>
              </w:rPr>
              <w:t xml:space="preserve">Acquisition-related costs </w:t>
            </w:r>
            <w:r>
              <w:rPr>
                <w:rFonts w:ascii="Arial" w:cs="Arial" w:eastAsia="Arial" w:hAnsi="Arial"/>
                <w:sz w:val="18"/>
                <w:szCs w:val="18"/>
                <w:color w:val="auto"/>
                <w:vertAlign w:val="superscript"/>
              </w:rPr>
              <w:t>(1)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100"/>
              <w:spacing w:after="0"/>
              <w:rPr>
                <w:sz w:val="20"/>
                <w:szCs w:val="20"/>
                <w:color w:val="auto"/>
              </w:rPr>
            </w:pPr>
            <w:r>
              <w:rPr>
                <w:rFonts w:ascii="Arial" w:cs="Arial" w:eastAsia="Arial" w:hAnsi="Arial"/>
                <w:sz w:val="14"/>
                <w:szCs w:val="14"/>
                <w:color w:val="auto"/>
              </w:rPr>
              <w:t>Acquired profit in inventory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00"/>
              <w:spacing w:after="0"/>
              <w:rPr>
                <w:sz w:val="20"/>
                <w:szCs w:val="20"/>
                <w:color w:val="auto"/>
              </w:rPr>
            </w:pPr>
            <w:r>
              <w:rPr>
                <w:rFonts w:ascii="Arial" w:cs="Arial" w:eastAsia="Arial" w:hAnsi="Arial"/>
                <w:sz w:val="14"/>
                <w:szCs w:val="14"/>
                <w:color w:val="auto"/>
              </w:rPr>
              <w:t>Miscellaneous expense, net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100"/>
              <w:spacing w:after="0"/>
              <w:rPr>
                <w:sz w:val="20"/>
                <w:szCs w:val="20"/>
                <w:color w:val="auto"/>
              </w:rPr>
            </w:pPr>
            <w:r>
              <w:rPr>
                <w:rFonts w:ascii="Arial" w:cs="Arial" w:eastAsia="Arial" w:hAnsi="Arial"/>
                <w:sz w:val="14"/>
                <w:szCs w:val="14"/>
                <w:color w:val="auto"/>
              </w:rPr>
              <w:t>Special charges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tcPr>
          <w:p>
            <w:pPr>
              <w:spacing w:after="0"/>
              <w:rPr>
                <w:sz w:val="20"/>
                <w:szCs w:val="20"/>
                <w:color w:val="auto"/>
              </w:rPr>
            </w:pPr>
            <w:r>
              <w:rPr>
                <w:rFonts w:ascii="Arial" w:cs="Arial" w:eastAsia="Arial" w:hAnsi="Arial"/>
                <w:sz w:val="14"/>
                <w:szCs w:val="14"/>
                <w:color w:val="auto"/>
              </w:rPr>
              <w:t>Adjusted EBITDA (Non-GAAP)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190.8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176.6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50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 of net sales (Non-GAAP)</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18.1 %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17.5 %</w:t>
            </w:r>
          </w:p>
        </w:tc>
        <w:tc>
          <w:tcPr>
            <w:tcW w:w="140" w:type="dxa"/>
            <w:vAlign w:val="bottom"/>
            <w:vMerge w:val="restart"/>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60</w:t>
            </w:r>
          </w:p>
        </w:tc>
        <w:tc>
          <w:tcPr>
            <w:tcW w:w="100" w:type="dxa"/>
            <w:vAlign w:val="bottom"/>
            <w:vMerge w:val="restart"/>
          </w:tcPr>
          <w:p>
            <w:pPr>
              <w:spacing w:after="0" w:line="20" w:lineRule="exact"/>
              <w:rPr>
                <w:sz w:val="1"/>
                <w:szCs w:val="1"/>
                <w:color w:val="auto"/>
              </w:rPr>
            </w:pPr>
          </w:p>
        </w:tc>
        <w:tc>
          <w:tcPr>
            <w:tcW w:w="1040" w:type="dxa"/>
            <w:vAlign w:val="bottom"/>
            <w:vMerge w:val="restart"/>
          </w:tcPr>
          <w:p>
            <w:pPr>
              <w:jc w:val="right"/>
              <w:ind w:right="728"/>
              <w:spacing w:after="0"/>
              <w:rPr>
                <w:sz w:val="20"/>
                <w:szCs w:val="20"/>
                <w:color w:val="auto"/>
              </w:rPr>
            </w:pPr>
            <w:r>
              <w:rPr>
                <w:rFonts w:ascii="Arial" w:cs="Arial" w:eastAsia="Arial" w:hAnsi="Arial"/>
                <w:sz w:val="14"/>
                <w:szCs w:val="14"/>
                <w:i w:val="1"/>
                <w:iCs w:val="1"/>
                <w:color w:val="auto"/>
                <w:w w:val="97"/>
              </w:rPr>
              <w:t>bps</w:t>
            </w: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professional fees.</w:t>
      </w:r>
    </w:p>
    <w:p>
      <w:pPr>
        <w:sectPr>
          <w:pgSz w:w="11900" w:h="16838" w:orient="portrait"/>
          <w:cols w:equalWidth="0" w:num="1">
            <w:col w:w="11220"/>
          </w:cols>
          <w:pgMar w:left="320" w:top="269"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269" w:right="3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4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628"/>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right"/>
              <w:ind w:right="102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Acuity Brands Lighting</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vMerge w:val="restart"/>
          </w:tcPr>
          <w:p>
            <w:pPr>
              <w:jc w:val="right"/>
              <w:ind w:right="187"/>
              <w:spacing w:after="0"/>
              <w:rPr>
                <w:sz w:val="20"/>
                <w:szCs w:val="20"/>
                <w:color w:val="auto"/>
              </w:rPr>
            </w:pPr>
            <w:r>
              <w:rPr>
                <w:rFonts w:ascii="Arial" w:cs="Arial" w:eastAsia="Arial" w:hAnsi="Arial"/>
                <w:sz w:val="14"/>
                <w:szCs w:val="14"/>
                <w:b w:val="1"/>
                <w:bCs w:val="1"/>
                <w:color w:val="auto"/>
              </w:rPr>
              <w:t>February 28, 2026</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February 28, 2025</w:t>
            </w:r>
          </w:p>
        </w:tc>
        <w:tc>
          <w:tcPr>
            <w:tcW w:w="80" w:type="dxa"/>
            <w:vAlign w:val="bottom"/>
            <w:gridSpan w:val="2"/>
            <w:vMerge w:val="restart"/>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1"/>
                <w:szCs w:val="11"/>
                <w:color w:val="auto"/>
              </w:rPr>
            </w:pPr>
          </w:p>
        </w:tc>
        <w:tc>
          <w:tcPr>
            <w:tcW w:w="154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107"/>
              <w:spacing w:after="0"/>
              <w:rPr>
                <w:sz w:val="20"/>
                <w:szCs w:val="20"/>
                <w:color w:val="auto"/>
              </w:rPr>
            </w:pPr>
            <w:r>
              <w:rPr>
                <w:rFonts w:ascii="Arial" w:cs="Arial" w:eastAsia="Arial" w:hAnsi="Arial"/>
                <w:sz w:val="14"/>
                <w:szCs w:val="14"/>
                <w:color w:val="auto"/>
              </w:rPr>
              <w:t>817.4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840.6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47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Gross profit (GAAP)</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107"/>
              <w:spacing w:after="0"/>
              <w:rPr>
                <w:sz w:val="20"/>
                <w:szCs w:val="20"/>
                <w:color w:val="auto"/>
              </w:rPr>
            </w:pPr>
            <w:r>
              <w:rPr>
                <w:rFonts w:ascii="Arial" w:cs="Arial" w:eastAsia="Arial" w:hAnsi="Arial"/>
                <w:sz w:val="14"/>
                <w:szCs w:val="14"/>
                <w:color w:val="auto"/>
              </w:rPr>
              <w:t>373.8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378.0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0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Gross profit margin (GAAP)</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45.7 %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45.0 %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ind w:right="124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18"/>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Operating profit (GAAP)</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107"/>
              <w:spacing w:after="0"/>
              <w:rPr>
                <w:sz w:val="20"/>
                <w:szCs w:val="20"/>
                <w:color w:val="auto"/>
              </w:rPr>
            </w:pPr>
            <w:r>
              <w:rPr>
                <w:rFonts w:ascii="Arial" w:cs="Arial" w:eastAsia="Arial" w:hAnsi="Arial"/>
                <w:sz w:val="14"/>
                <w:szCs w:val="14"/>
                <w:color w:val="auto"/>
              </w:rPr>
              <w:t>125.1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130.3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203"/>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07"/>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Share-based payment expense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07"/>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Special charges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07"/>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operating profit (Non-GAAP)</w:t>
            </w: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4"/>
                <w:szCs w:val="14"/>
                <w:color w:val="auto"/>
              </w:rPr>
              <w:t>141.8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141.3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Operating profit margin (GAAP)</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15.3 %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15.5 %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ind w:right="124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operating profit margin (Non-GAAP)</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17.3 %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16.8 %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ind w:right="124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52"/>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Acuity Intelligent Spaces</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February 28, 2026</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February 28, 2025</w:t>
            </w:r>
          </w:p>
        </w:tc>
        <w:tc>
          <w:tcPr>
            <w:tcW w:w="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1"/>
                <w:szCs w:val="11"/>
                <w:color w:val="auto"/>
              </w:rPr>
            </w:pPr>
          </w:p>
        </w:tc>
        <w:tc>
          <w:tcPr>
            <w:tcW w:w="154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452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(Decrease)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67"/>
              <w:spacing w:after="0"/>
              <w:rPr>
                <w:sz w:val="20"/>
                <w:szCs w:val="20"/>
                <w:color w:val="auto"/>
              </w:rPr>
            </w:pPr>
            <w:r>
              <w:rPr>
                <w:rFonts w:ascii="Arial" w:cs="Arial" w:eastAsia="Arial" w:hAnsi="Arial"/>
                <w:sz w:val="14"/>
                <w:szCs w:val="14"/>
                <w:color w:val="auto"/>
              </w:rPr>
              <w:t>248.1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171.5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44.7 %</w:t>
            </w:r>
          </w:p>
        </w:tc>
        <w:tc>
          <w:tcPr>
            <w:tcW w:w="0" w:type="dxa"/>
            <w:vAlign w:val="bottom"/>
          </w:tcPr>
          <w:p>
            <w:pPr>
              <w:spacing w:after="0"/>
              <w:rPr>
                <w:sz w:val="1"/>
                <w:szCs w:val="1"/>
                <w:color w:val="auto"/>
              </w:rPr>
            </w:pPr>
          </w:p>
        </w:tc>
      </w:tr>
      <w:tr>
        <w:trPr>
          <w:trHeight w:val="47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Gross profit (GAAP)</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67"/>
              <w:spacing w:after="0"/>
              <w:rPr>
                <w:sz w:val="20"/>
                <w:szCs w:val="20"/>
                <w:color w:val="auto"/>
              </w:rPr>
            </w:pPr>
            <w:r>
              <w:rPr>
                <w:rFonts w:ascii="Arial" w:cs="Arial" w:eastAsia="Arial" w:hAnsi="Arial"/>
                <w:sz w:val="14"/>
                <w:szCs w:val="14"/>
                <w:color w:val="auto"/>
              </w:rPr>
              <w:t>146.6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90.0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62.9 %</w:t>
            </w:r>
          </w:p>
        </w:tc>
        <w:tc>
          <w:tcPr>
            <w:tcW w:w="0" w:type="dxa"/>
            <w:vAlign w:val="bottom"/>
          </w:tcPr>
          <w:p>
            <w:pPr>
              <w:spacing w:after="0"/>
              <w:rPr>
                <w:sz w:val="1"/>
                <w:szCs w:val="1"/>
                <w:color w:val="auto"/>
              </w:rPr>
            </w:pPr>
          </w:p>
        </w:tc>
      </w:tr>
      <w:tr>
        <w:trPr>
          <w:trHeight w:val="207"/>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Acquired profit in inventory</w:t>
            </w: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10.4</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gross profit (Non-GAAP)</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67"/>
              <w:spacing w:after="0"/>
              <w:rPr>
                <w:sz w:val="20"/>
                <w:szCs w:val="20"/>
                <w:color w:val="auto"/>
              </w:rPr>
            </w:pPr>
            <w:r>
              <w:rPr>
                <w:rFonts w:ascii="Arial" w:cs="Arial" w:eastAsia="Arial" w:hAnsi="Arial"/>
                <w:sz w:val="14"/>
                <w:szCs w:val="14"/>
                <w:color w:val="auto"/>
              </w:rPr>
              <w:t>146.6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100.4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46.2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46.0 %</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Gross profit margin (GAAP)</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4"/>
                <w:szCs w:val="14"/>
                <w:color w:val="auto"/>
              </w:rPr>
              <w:t>59.1 %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52.5 %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ind w:right="120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gross profit margin (Non-GAAP)</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4"/>
                <w:szCs w:val="14"/>
                <w:color w:val="auto"/>
              </w:rPr>
              <w:t>59.1 %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58.5 %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ind w:right="120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7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Operating profit (GAAP)</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67"/>
              <w:spacing w:after="0"/>
              <w:rPr>
                <w:sz w:val="20"/>
                <w:szCs w:val="20"/>
                <w:color w:val="auto"/>
              </w:rPr>
            </w:pPr>
            <w:r>
              <w:rPr>
                <w:rFonts w:ascii="Arial" w:cs="Arial" w:eastAsia="Arial" w:hAnsi="Arial"/>
                <w:sz w:val="14"/>
                <w:szCs w:val="14"/>
                <w:color w:val="auto"/>
              </w:rPr>
              <w:t>28.3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9.9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185.9 %</w:t>
            </w:r>
          </w:p>
        </w:tc>
        <w:tc>
          <w:tcPr>
            <w:tcW w:w="0" w:type="dxa"/>
            <w:vAlign w:val="bottom"/>
          </w:tcPr>
          <w:p>
            <w:pPr>
              <w:spacing w:after="0"/>
              <w:rPr>
                <w:sz w:val="1"/>
                <w:szCs w:val="1"/>
                <w:color w:val="auto"/>
              </w:rPr>
            </w:pPr>
          </w:p>
        </w:tc>
      </w:tr>
      <w:tr>
        <w:trPr>
          <w:trHeight w:val="203"/>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67"/>
              <w:spacing w:after="0"/>
              <w:rPr>
                <w:sz w:val="20"/>
                <w:szCs w:val="20"/>
                <w:color w:val="auto"/>
              </w:rPr>
            </w:pPr>
            <w:r>
              <w:rPr>
                <w:rFonts w:ascii="Arial" w:cs="Arial" w:eastAsia="Arial" w:hAnsi="Arial"/>
                <w:sz w:val="14"/>
                <w:szCs w:val="14"/>
                <w:color w:val="auto"/>
              </w:rPr>
              <w:t>17.1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Share-based payment expense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67"/>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80" w:type="dxa"/>
            <w:vAlign w:val="bottom"/>
            <w:gridSpan w:val="3"/>
          </w:tcPr>
          <w:p>
            <w:pPr>
              <w:ind w:left="140"/>
              <w:spacing w:after="0"/>
              <w:rPr>
                <w:sz w:val="20"/>
                <w:szCs w:val="20"/>
                <w:color w:val="auto"/>
              </w:rPr>
            </w:pPr>
            <w:r>
              <w:rPr>
                <w:rFonts w:ascii="Arial" w:cs="Arial" w:eastAsia="Arial" w:hAnsi="Arial"/>
                <w:sz w:val="14"/>
                <w:szCs w:val="14"/>
                <w:color w:val="auto"/>
              </w:rPr>
              <w:t>Add-back: Acquired profit in inventory</w:t>
            </w: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10.4</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operating profit (Non-GAAP)</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67"/>
              <w:spacing w:after="0"/>
              <w:rPr>
                <w:sz w:val="20"/>
                <w:szCs w:val="20"/>
                <w:color w:val="auto"/>
              </w:rPr>
            </w:pPr>
            <w:r>
              <w:rPr>
                <w:rFonts w:ascii="Arial" w:cs="Arial" w:eastAsia="Arial" w:hAnsi="Arial"/>
                <w:sz w:val="14"/>
                <w:szCs w:val="14"/>
                <w:color w:val="auto"/>
              </w:rPr>
              <w:t>48.0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32.0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50.0 %</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Operating profit margin (GAAP)</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4"/>
                <w:szCs w:val="14"/>
                <w:color w:val="auto"/>
              </w:rPr>
              <w:t>11.4 %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5.8 %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ind w:right="120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Adjusted operating profit margin (Non-GAAP)</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4"/>
                <w:szCs w:val="14"/>
                <w:color w:val="auto"/>
              </w:rPr>
              <w:t>19.3 %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18.7 %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ind w:right="1204"/>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876"/>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ind w:right="527"/>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9" w:right="339" w:bottom="1440" w:gutter="0" w:footer="0" w:header="0"/>
        </w:sectPr>
      </w:pPr>
    </w:p>
    <w:bookmarkStart w:id="13" w:name="page14"/>
    <w:bookmarkEnd w:id="1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790"/>
        </w:trPr>
        <w:tc>
          <w:tcPr>
            <w:tcW w:w="4640" w:type="dxa"/>
            <w:vAlign w:val="bottom"/>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88"/>
              <w:spacing w:after="0" w:line="144" w:lineRule="exact"/>
              <w:rPr>
                <w:sz w:val="20"/>
                <w:szCs w:val="20"/>
                <w:color w:val="auto"/>
              </w:rPr>
            </w:pPr>
            <w:r>
              <w:rPr>
                <w:rFonts w:ascii="Arial" w:cs="Arial" w:eastAsia="Arial" w:hAnsi="Arial"/>
                <w:sz w:val="14"/>
                <w:szCs w:val="14"/>
                <w:b w:val="1"/>
                <w:bCs w:val="1"/>
                <w:color w:val="auto"/>
              </w:rPr>
              <w:t>February 28,</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right"/>
              <w:ind w:right="1048"/>
              <w:spacing w:after="0" w:line="144" w:lineRule="exact"/>
              <w:rPr>
                <w:sz w:val="20"/>
                <w:szCs w:val="20"/>
                <w:color w:val="auto"/>
              </w:rPr>
            </w:pPr>
            <w:r>
              <w:rPr>
                <w:rFonts w:ascii="Arial" w:cs="Arial" w:eastAsia="Arial" w:hAnsi="Arial"/>
                <w:sz w:val="14"/>
                <w:szCs w:val="14"/>
                <w:b w:val="1"/>
                <w:bCs w:val="1"/>
                <w:color w:val="auto"/>
              </w:rPr>
              <w:t>February 28,</w:t>
            </w:r>
          </w:p>
        </w:tc>
        <w:tc>
          <w:tcPr>
            <w:tcW w:w="140" w:type="dxa"/>
            <w:vAlign w:val="bottom"/>
          </w:tcPr>
          <w:p>
            <w:pPr>
              <w:spacing w:after="0"/>
              <w:rPr>
                <w:sz w:val="12"/>
                <w:szCs w:val="12"/>
                <w:color w:val="auto"/>
              </w:rPr>
            </w:pPr>
          </w:p>
        </w:tc>
        <w:tc>
          <w:tcPr>
            <w:tcW w:w="920" w:type="dxa"/>
            <w:vAlign w:val="bottom"/>
          </w:tcPr>
          <w:p>
            <w:pPr>
              <w:jc w:val="right"/>
              <w:ind w:right="148"/>
              <w:spacing w:after="0" w:line="144" w:lineRule="exact"/>
              <w:rPr>
                <w:sz w:val="20"/>
                <w:szCs w:val="20"/>
                <w:color w:val="auto"/>
              </w:rPr>
            </w:pPr>
            <w:r>
              <w:rPr>
                <w:rFonts w:ascii="Arial" w:cs="Arial" w:eastAsia="Arial" w:hAnsi="Arial"/>
                <w:sz w:val="14"/>
                <w:szCs w:val="14"/>
                <w:b w:val="1"/>
                <w:bCs w:val="1"/>
                <w:color w:val="auto"/>
              </w:rPr>
              <w:t>Increase</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(Decrease)</w:t>
            </w: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40" w:type="dxa"/>
            <w:vAlign w:val="bottom"/>
          </w:tcPr>
          <w:p>
            <w:pPr>
              <w:spacing w:after="0"/>
              <w:rPr>
                <w:sz w:val="20"/>
                <w:szCs w:val="20"/>
                <w:color w:val="auto"/>
              </w:rPr>
            </w:pPr>
            <w:r>
              <w:rPr>
                <w:rFonts w:ascii="Arial" w:cs="Arial" w:eastAsia="Arial" w:hAnsi="Arial"/>
                <w:sz w:val="14"/>
                <w:szCs w:val="14"/>
                <w:color w:val="auto"/>
              </w:rPr>
              <w:t>Net sales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2,199.4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1,957.9</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241.5</w:t>
            </w:r>
          </w:p>
        </w:tc>
        <w:tc>
          <w:tcPr>
            <w:tcW w:w="1240" w:type="dxa"/>
            <w:vAlign w:val="bottom"/>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473"/>
        </w:trPr>
        <w:tc>
          <w:tcPr>
            <w:tcW w:w="4640" w:type="dxa"/>
            <w:vAlign w:val="bottom"/>
          </w:tcPr>
          <w:p>
            <w:pPr>
              <w:spacing w:after="0"/>
              <w:rPr>
                <w:sz w:val="20"/>
                <w:szCs w:val="20"/>
                <w:color w:val="auto"/>
              </w:rPr>
            </w:pPr>
            <w:r>
              <w:rPr>
                <w:rFonts w:ascii="Arial" w:cs="Arial" w:eastAsia="Arial" w:hAnsi="Arial"/>
                <w:sz w:val="14"/>
                <w:szCs w:val="14"/>
                <w:color w:val="auto"/>
              </w:rPr>
              <w:t>Gross profit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1,074.2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917.3</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156.9</w:t>
            </w:r>
          </w:p>
        </w:tc>
        <w:tc>
          <w:tcPr>
            <w:tcW w:w="1240" w:type="dxa"/>
            <w:vAlign w:val="bottom"/>
          </w:tcPr>
          <w:p>
            <w:pPr>
              <w:jc w:val="right"/>
              <w:spacing w:after="0"/>
              <w:rPr>
                <w:sz w:val="20"/>
                <w:szCs w:val="20"/>
                <w:color w:val="auto"/>
              </w:rPr>
            </w:pPr>
            <w:r>
              <w:rPr>
                <w:rFonts w:ascii="Arial" w:cs="Arial" w:eastAsia="Arial" w:hAnsi="Arial"/>
                <w:sz w:val="14"/>
                <w:szCs w:val="14"/>
                <w:color w:val="auto"/>
              </w:rPr>
              <w:t>17.1 %</w:t>
            </w: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4"/>
                <w:szCs w:val="14"/>
                <w:i w:val="1"/>
                <w:iCs w:val="1"/>
                <w:color w:val="auto"/>
              </w:rPr>
              <w:t>Percent of net sales (GAAP)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i w:val="1"/>
                <w:iCs w:val="1"/>
                <w:color w:val="auto"/>
              </w:rPr>
              <w:t>48.8 %</w:t>
            </w:r>
          </w:p>
        </w:tc>
        <w:tc>
          <w:tcPr>
            <w:tcW w:w="160" w:type="dxa"/>
            <w:vAlign w:val="bottom"/>
          </w:tcPr>
          <w:p>
            <w:pPr>
              <w:spacing w:after="0"/>
              <w:rPr>
                <w:sz w:val="17"/>
                <w:szCs w:val="17"/>
                <w:color w:val="auto"/>
              </w:rPr>
            </w:pPr>
          </w:p>
        </w:tc>
        <w:tc>
          <w:tcPr>
            <w:tcW w:w="198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46.9 %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190</w:t>
            </w:r>
          </w:p>
        </w:tc>
        <w:tc>
          <w:tcPr>
            <w:tcW w:w="1240" w:type="dxa"/>
            <w:vAlign w:val="bottom"/>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7"/>
        </w:trPr>
        <w:tc>
          <w:tcPr>
            <w:tcW w:w="4640" w:type="dxa"/>
            <w:vAlign w:val="bottom"/>
          </w:tcPr>
          <w:p>
            <w:pPr>
              <w:spacing w:after="0"/>
              <w:rPr>
                <w:sz w:val="20"/>
                <w:szCs w:val="20"/>
                <w:color w:val="auto"/>
              </w:rPr>
            </w:pPr>
            <w:r>
              <w:rPr>
                <w:rFonts w:ascii="Arial" w:cs="Arial" w:eastAsia="Arial" w:hAnsi="Arial"/>
                <w:sz w:val="14"/>
                <w:szCs w:val="14"/>
                <w:color w:val="auto"/>
              </w:rPr>
              <w:t>Add-back: Acquired profit in inventory</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4"/>
                <w:szCs w:val="14"/>
                <w:color w:val="auto"/>
              </w:rPr>
              <w:t>Adjusted gross profit (Non-GAAP)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1,074.2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927.7</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146.5</w:t>
            </w:r>
          </w:p>
        </w:tc>
        <w:tc>
          <w:tcPr>
            <w:tcW w:w="1240" w:type="dxa"/>
            <w:vAlign w:val="bottom"/>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21"/>
        </w:trPr>
        <w:tc>
          <w:tcPr>
            <w:tcW w:w="464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Percent of net sales (Non-GAAP)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48.8 %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47.4 %</w:t>
            </w:r>
          </w:p>
        </w:tc>
        <w:tc>
          <w:tcPr>
            <w:tcW w:w="1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140</w:t>
            </w:r>
          </w:p>
        </w:tc>
        <w:tc>
          <w:tcPr>
            <w:tcW w:w="1240" w:type="dxa"/>
            <w:vAlign w:val="bottom"/>
            <w:vMerge w:val="restart"/>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61"/>
        </w:trPr>
        <w:tc>
          <w:tcPr>
            <w:tcW w:w="4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4640" w:type="dxa"/>
            <w:vAlign w:val="bottom"/>
          </w:tcPr>
          <w:p>
            <w:pPr>
              <w:spacing w:after="0"/>
              <w:rPr>
                <w:sz w:val="20"/>
                <w:szCs w:val="20"/>
                <w:color w:val="auto"/>
              </w:rPr>
            </w:pPr>
            <w:r>
              <w:rPr>
                <w:rFonts w:ascii="Arial" w:cs="Arial" w:eastAsia="Arial" w:hAnsi="Arial"/>
                <w:sz w:val="14"/>
                <w:szCs w:val="14"/>
                <w:color w:val="auto"/>
              </w:rPr>
              <w:t>Operating profit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293.4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243.5</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49.9</w:t>
            </w:r>
          </w:p>
        </w:tc>
        <w:tc>
          <w:tcPr>
            <w:tcW w:w="1240" w:type="dxa"/>
            <w:vAlign w:val="bottom"/>
          </w:tcPr>
          <w:p>
            <w:pPr>
              <w:jc w:val="right"/>
              <w:spacing w:after="0"/>
              <w:rPr>
                <w:sz w:val="20"/>
                <w:szCs w:val="20"/>
                <w:color w:val="auto"/>
              </w:rPr>
            </w:pPr>
            <w:r>
              <w:rPr>
                <w:rFonts w:ascii="Arial" w:cs="Arial" w:eastAsia="Arial" w:hAnsi="Arial"/>
                <w:sz w:val="14"/>
                <w:szCs w:val="14"/>
                <w:color w:val="auto"/>
              </w:rPr>
              <w:t>20.5 %</w:t>
            </w: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4"/>
                <w:szCs w:val="14"/>
                <w:i w:val="1"/>
                <w:iCs w:val="1"/>
                <w:color w:val="auto"/>
              </w:rPr>
              <w:t>Percent of net sales (GAAP)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i w:val="1"/>
                <w:iCs w:val="1"/>
                <w:color w:val="auto"/>
              </w:rPr>
              <w:t>13.3 %</w:t>
            </w:r>
          </w:p>
        </w:tc>
        <w:tc>
          <w:tcPr>
            <w:tcW w:w="160" w:type="dxa"/>
            <w:vAlign w:val="bottom"/>
          </w:tcPr>
          <w:p>
            <w:pPr>
              <w:spacing w:after="0"/>
              <w:rPr>
                <w:sz w:val="17"/>
                <w:szCs w:val="17"/>
                <w:color w:val="auto"/>
              </w:rPr>
            </w:pPr>
          </w:p>
        </w:tc>
        <w:tc>
          <w:tcPr>
            <w:tcW w:w="198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12.4 %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90</w:t>
            </w:r>
          </w:p>
        </w:tc>
        <w:tc>
          <w:tcPr>
            <w:tcW w:w="1240" w:type="dxa"/>
            <w:vAlign w:val="bottom"/>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Add-back: Amortization of acquired intangible assets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Add-back: Share-based payment expense</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20"/>
              <w:spacing w:after="0"/>
              <w:rPr>
                <w:sz w:val="20"/>
                <w:szCs w:val="20"/>
                <w:color w:val="auto"/>
              </w:rPr>
            </w:pPr>
            <w:r>
              <w:rPr>
                <w:rFonts w:ascii="Arial" w:cs="Arial" w:eastAsia="Arial" w:hAnsi="Arial"/>
                <w:sz w:val="14"/>
                <w:szCs w:val="14"/>
                <w:color w:val="auto"/>
              </w:rPr>
              <w:t xml:space="preserve">Add-back: Acquisition-related costs </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20"/>
              <w:spacing w:after="0"/>
              <w:rPr>
                <w:sz w:val="20"/>
                <w:szCs w:val="20"/>
                <w:color w:val="auto"/>
              </w:rPr>
            </w:pPr>
            <w:r>
              <w:rPr>
                <w:rFonts w:ascii="Arial" w:cs="Arial" w:eastAsia="Arial" w:hAnsi="Arial"/>
                <w:sz w:val="14"/>
                <w:szCs w:val="14"/>
                <w:color w:val="auto"/>
              </w:rPr>
              <w:t>Add-back: Acquired profit in inventory</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tcPr>
          <w:p>
            <w:pPr>
              <w:ind w:left="120"/>
              <w:spacing w:after="0"/>
              <w:rPr>
                <w:sz w:val="20"/>
                <w:szCs w:val="20"/>
                <w:color w:val="auto"/>
              </w:rPr>
            </w:pPr>
            <w:r>
              <w:rPr>
                <w:rFonts w:ascii="Arial" w:cs="Arial" w:eastAsia="Arial" w:hAnsi="Arial"/>
                <w:sz w:val="14"/>
                <w:szCs w:val="14"/>
                <w:color w:val="auto"/>
              </w:rPr>
              <w:t>Add-back: Special charges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4"/>
                <w:szCs w:val="14"/>
                <w:color w:val="auto"/>
              </w:rPr>
              <w:t>Adjusted operating profit (Non-GAAP)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372.3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321.6</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50.7</w:t>
            </w:r>
          </w:p>
        </w:tc>
        <w:tc>
          <w:tcPr>
            <w:tcW w:w="1240" w:type="dxa"/>
            <w:vAlign w:val="bottom"/>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Percent of net sales (Non-GAAP)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16.9 %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16.4 %</w:t>
            </w:r>
          </w:p>
        </w:tc>
        <w:tc>
          <w:tcPr>
            <w:tcW w:w="1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50</w:t>
            </w:r>
          </w:p>
        </w:tc>
        <w:tc>
          <w:tcPr>
            <w:tcW w:w="1240" w:type="dxa"/>
            <w:vAlign w:val="bottom"/>
            <w:vMerge w:val="restart"/>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61"/>
        </w:trPr>
        <w:tc>
          <w:tcPr>
            <w:tcW w:w="4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4"/>
                <w:szCs w:val="14"/>
                <w:color w:val="auto"/>
              </w:rPr>
              <w:t>Net income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217.3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184.2</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33.1</w:t>
            </w:r>
          </w:p>
        </w:tc>
        <w:tc>
          <w:tcPr>
            <w:tcW w:w="1240" w:type="dxa"/>
            <w:vAlign w:val="bottom"/>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Add-back: Amortization of acquired intangible asset</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Add-back: Share-based payment expense</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20"/>
              <w:spacing w:after="0"/>
              <w:rPr>
                <w:sz w:val="20"/>
                <w:szCs w:val="20"/>
                <w:color w:val="auto"/>
              </w:rPr>
            </w:pPr>
            <w:r>
              <w:rPr>
                <w:rFonts w:ascii="Arial" w:cs="Arial" w:eastAsia="Arial" w:hAnsi="Arial"/>
                <w:sz w:val="14"/>
                <w:szCs w:val="14"/>
                <w:color w:val="auto"/>
              </w:rPr>
              <w:t xml:space="preserve">Add-back: Acquisition-related costs </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20"/>
              <w:spacing w:after="0"/>
              <w:rPr>
                <w:sz w:val="20"/>
                <w:szCs w:val="20"/>
                <w:color w:val="auto"/>
              </w:rPr>
            </w:pPr>
            <w:r>
              <w:rPr>
                <w:rFonts w:ascii="Arial" w:cs="Arial" w:eastAsia="Arial" w:hAnsi="Arial"/>
                <w:sz w:val="14"/>
                <w:szCs w:val="14"/>
                <w:color w:val="auto"/>
              </w:rPr>
              <w:t>Add-back: Acquired profit in inventory</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40" w:type="dxa"/>
            <w:vAlign w:val="bottom"/>
          </w:tcPr>
          <w:p>
            <w:pPr>
              <w:ind w:left="120"/>
              <w:spacing w:after="0"/>
              <w:rPr>
                <w:sz w:val="20"/>
                <w:szCs w:val="20"/>
                <w:color w:val="auto"/>
              </w:rPr>
            </w:pPr>
            <w:r>
              <w:rPr>
                <w:rFonts w:ascii="Arial" w:cs="Arial" w:eastAsia="Arial" w:hAnsi="Arial"/>
                <w:sz w:val="14"/>
                <w:szCs w:val="14"/>
                <w:color w:val="auto"/>
              </w:rPr>
              <w:t>Add-back: Special charges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40" w:type="dxa"/>
            <w:vAlign w:val="bottom"/>
          </w:tcPr>
          <w:p>
            <w:pPr>
              <w:ind w:left="200"/>
              <w:spacing w:after="0"/>
              <w:rPr>
                <w:sz w:val="20"/>
                <w:szCs w:val="20"/>
                <w:color w:val="auto"/>
              </w:rPr>
            </w:pPr>
            <w:r>
              <w:rPr>
                <w:rFonts w:ascii="Arial" w:cs="Arial" w:eastAsia="Arial" w:hAnsi="Arial"/>
                <w:sz w:val="14"/>
                <w:szCs w:val="14"/>
                <w:color w:val="auto"/>
              </w:rPr>
              <w:t>Total pre-tax adjustments to net income</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78.9</w:t>
            </w:r>
          </w:p>
        </w:tc>
        <w:tc>
          <w:tcPr>
            <w:tcW w:w="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120"/>
              <w:spacing w:after="0"/>
              <w:rPr>
                <w:sz w:val="20"/>
                <w:szCs w:val="20"/>
                <w:color w:val="auto"/>
              </w:rPr>
            </w:pPr>
            <w:r>
              <w:rPr>
                <w:rFonts w:ascii="Arial" w:cs="Arial" w:eastAsia="Arial" w:hAnsi="Arial"/>
                <w:sz w:val="14"/>
                <w:szCs w:val="14"/>
                <w:color w:val="auto"/>
              </w:rPr>
              <w:t>Income tax effect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4"/>
                <w:szCs w:val="14"/>
                <w:color w:val="auto"/>
              </w:rPr>
              <w:t>Adjusted net income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278.0</w:t>
            </w:r>
          </w:p>
        </w:tc>
        <w:tc>
          <w:tcPr>
            <w:tcW w:w="9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244.4</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33.6</w:t>
            </w:r>
          </w:p>
        </w:tc>
        <w:tc>
          <w:tcPr>
            <w:tcW w:w="1240" w:type="dxa"/>
            <w:vAlign w:val="bottom"/>
          </w:tcPr>
          <w:p>
            <w:pPr>
              <w:jc w:val="right"/>
              <w:spacing w:after="0"/>
              <w:rPr>
                <w:sz w:val="20"/>
                <w:szCs w:val="20"/>
                <w:color w:val="auto"/>
              </w:rPr>
            </w:pPr>
            <w:r>
              <w:rPr>
                <w:rFonts w:ascii="Arial" w:cs="Arial" w:eastAsia="Arial" w:hAnsi="Arial"/>
                <w:sz w:val="14"/>
                <w:szCs w:val="14"/>
                <w:color w:val="auto"/>
              </w:rPr>
              <w:t>13.7 %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4640" w:type="dxa"/>
            <w:vAlign w:val="bottom"/>
          </w:tcPr>
          <w:p>
            <w:pPr>
              <w:spacing w:after="0"/>
              <w:rPr>
                <w:sz w:val="20"/>
                <w:szCs w:val="20"/>
                <w:color w:val="auto"/>
              </w:rPr>
            </w:pPr>
            <w:r>
              <w:rPr>
                <w:rFonts w:ascii="Arial" w:cs="Arial" w:eastAsia="Arial" w:hAnsi="Arial"/>
                <w:sz w:val="14"/>
                <w:szCs w:val="14"/>
                <w:color w:val="auto"/>
              </w:rPr>
              <w:t>Diluted earnings per share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6.91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5.80</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1.11</w:t>
            </w:r>
          </w:p>
        </w:tc>
        <w:tc>
          <w:tcPr>
            <w:tcW w:w="1240" w:type="dxa"/>
            <w:vAlign w:val="bottom"/>
          </w:tcPr>
          <w:p>
            <w:pPr>
              <w:jc w:val="right"/>
              <w:spacing w:after="0"/>
              <w:rPr>
                <w:sz w:val="20"/>
                <w:szCs w:val="20"/>
                <w:color w:val="auto"/>
              </w:rPr>
            </w:pPr>
            <w:r>
              <w:rPr>
                <w:rFonts w:ascii="Arial" w:cs="Arial" w:eastAsia="Arial" w:hAnsi="Arial"/>
                <w:sz w:val="14"/>
                <w:szCs w:val="14"/>
                <w:color w:val="auto"/>
              </w:rPr>
              <w:t>19.1 %</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4"/>
                <w:szCs w:val="14"/>
                <w:color w:val="auto"/>
              </w:rPr>
              <w:t>Adjusted diluted earnings per share (Non-GAAP)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8.84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7.70</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1.14</w:t>
            </w:r>
          </w:p>
        </w:tc>
        <w:tc>
          <w:tcPr>
            <w:tcW w:w="1240" w:type="dxa"/>
            <w:vAlign w:val="bottom"/>
          </w:tcPr>
          <w:p>
            <w:pPr>
              <w:jc w:val="right"/>
              <w:spacing w:after="0"/>
              <w:rPr>
                <w:sz w:val="20"/>
                <w:szCs w:val="20"/>
                <w:color w:val="auto"/>
              </w:rPr>
            </w:pPr>
            <w:r>
              <w:rPr>
                <w:rFonts w:ascii="Arial" w:cs="Arial" w:eastAsia="Arial" w:hAnsi="Arial"/>
                <w:sz w:val="14"/>
                <w:szCs w:val="14"/>
                <w:color w:val="auto"/>
              </w:rPr>
              <w:t>14.8 %</w:t>
            </w: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4"/>
                <w:szCs w:val="14"/>
                <w:color w:val="auto"/>
              </w:rPr>
              <w:t>Net income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217.3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184.2</w:t>
            </w:r>
          </w:p>
        </w:tc>
        <w:tc>
          <w:tcPr>
            <w:tcW w:w="9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33.1</w:t>
            </w:r>
          </w:p>
        </w:tc>
        <w:tc>
          <w:tcPr>
            <w:tcW w:w="1240" w:type="dxa"/>
            <w:vAlign w:val="bottom"/>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202"/>
        </w:trPr>
        <w:tc>
          <w:tcPr>
            <w:tcW w:w="4640" w:type="dxa"/>
            <w:vAlign w:val="bottom"/>
          </w:tcPr>
          <w:p>
            <w:pPr>
              <w:ind w:left="340"/>
              <w:spacing w:after="0"/>
              <w:rPr>
                <w:sz w:val="20"/>
                <w:szCs w:val="20"/>
                <w:color w:val="auto"/>
              </w:rPr>
            </w:pPr>
            <w:r>
              <w:rPr>
                <w:rFonts w:ascii="Arial" w:cs="Arial" w:eastAsia="Arial" w:hAnsi="Arial"/>
                <w:sz w:val="14"/>
                <w:szCs w:val="14"/>
                <w:i w:val="1"/>
                <w:iCs w:val="1"/>
                <w:color w:val="auto"/>
              </w:rPr>
              <w:t>Percent of net sales (GAAP)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i w:val="1"/>
                <w:iCs w:val="1"/>
                <w:color w:val="auto"/>
              </w:rPr>
              <w:t>9.9 %</w:t>
            </w:r>
          </w:p>
        </w:tc>
        <w:tc>
          <w:tcPr>
            <w:tcW w:w="160" w:type="dxa"/>
            <w:vAlign w:val="bottom"/>
          </w:tcPr>
          <w:p>
            <w:pPr>
              <w:spacing w:after="0"/>
              <w:rPr>
                <w:sz w:val="17"/>
                <w:szCs w:val="17"/>
                <w:color w:val="auto"/>
              </w:rPr>
            </w:pPr>
          </w:p>
        </w:tc>
        <w:tc>
          <w:tcPr>
            <w:tcW w:w="198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9.4 %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240" w:type="dxa"/>
            <w:vAlign w:val="bottom"/>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58.2</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26.6</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40" w:type="dxa"/>
            <w:vAlign w:val="bottom"/>
          </w:tcPr>
          <w:p>
            <w:pPr>
              <w:ind w:left="120"/>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w:t>
            </w:r>
          </w:p>
        </w:tc>
        <w:tc>
          <w:tcPr>
            <w:tcW w:w="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40" w:type="dxa"/>
            <w:vAlign w:val="bottom"/>
          </w:tcPr>
          <w:p>
            <w:pPr>
              <w:spacing w:after="0"/>
              <w:rPr>
                <w:sz w:val="20"/>
                <w:szCs w:val="20"/>
                <w:color w:val="auto"/>
              </w:rPr>
            </w:pPr>
            <w:r>
              <w:rPr>
                <w:rFonts w:ascii="Arial" w:cs="Arial" w:eastAsia="Arial" w:hAnsi="Arial"/>
                <w:sz w:val="14"/>
                <w:szCs w:val="14"/>
                <w:color w:val="auto"/>
              </w:rPr>
              <w:t>EBITDA (Non-GAAP)</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368.0</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292.1</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75.9</w:t>
            </w:r>
          </w:p>
        </w:tc>
        <w:tc>
          <w:tcPr>
            <w:tcW w:w="1240" w:type="dxa"/>
            <w:vAlign w:val="bottom"/>
          </w:tcPr>
          <w:p>
            <w:pPr>
              <w:jc w:val="right"/>
              <w:spacing w:after="0"/>
              <w:rPr>
                <w:sz w:val="20"/>
                <w:szCs w:val="20"/>
                <w:color w:val="auto"/>
              </w:rPr>
            </w:pPr>
            <w:r>
              <w:rPr>
                <w:rFonts w:ascii="Arial" w:cs="Arial" w:eastAsia="Arial" w:hAnsi="Arial"/>
                <w:sz w:val="14"/>
                <w:szCs w:val="14"/>
                <w:color w:val="auto"/>
              </w:rPr>
              <w:t>26.0 %</w:t>
            </w: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4"/>
                <w:szCs w:val="14"/>
                <w:i w:val="1"/>
                <w:iCs w:val="1"/>
                <w:color w:val="auto"/>
              </w:rPr>
              <w:t>Percent of net sales (Non-GAAP)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i w:val="1"/>
                <w:iCs w:val="1"/>
                <w:color w:val="auto"/>
              </w:rPr>
              <w:t>16.7 %</w:t>
            </w:r>
          </w:p>
        </w:tc>
        <w:tc>
          <w:tcPr>
            <w:tcW w:w="160" w:type="dxa"/>
            <w:vAlign w:val="bottom"/>
          </w:tcPr>
          <w:p>
            <w:pPr>
              <w:spacing w:after="0"/>
              <w:rPr>
                <w:sz w:val="17"/>
                <w:szCs w:val="17"/>
                <w:color w:val="auto"/>
              </w:rPr>
            </w:pPr>
          </w:p>
        </w:tc>
        <w:tc>
          <w:tcPr>
            <w:tcW w:w="198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14.9 %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180</w:t>
            </w:r>
          </w:p>
        </w:tc>
        <w:tc>
          <w:tcPr>
            <w:tcW w:w="1240" w:type="dxa"/>
            <w:vAlign w:val="bottom"/>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Share-based payment expense</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Miscellaneous expense, net</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4"/>
                <w:szCs w:val="14"/>
                <w:color w:val="auto"/>
              </w:rPr>
              <w:t>Special charges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20"/>
              <w:spacing w:after="0"/>
              <w:rPr>
                <w:sz w:val="20"/>
                <w:szCs w:val="20"/>
                <w:color w:val="auto"/>
              </w:rPr>
            </w:pPr>
            <w:r>
              <w:rPr>
                <w:rFonts w:ascii="Arial" w:cs="Arial" w:eastAsia="Arial" w:hAnsi="Arial"/>
                <w:sz w:val="14"/>
                <w:szCs w:val="14"/>
                <w:color w:val="auto"/>
              </w:rPr>
              <w:t xml:space="preserve">Acquisition-related costs </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40" w:type="dxa"/>
            <w:vAlign w:val="bottom"/>
          </w:tcPr>
          <w:p>
            <w:pPr>
              <w:ind w:left="120"/>
              <w:spacing w:after="0"/>
              <w:rPr>
                <w:sz w:val="20"/>
                <w:szCs w:val="20"/>
                <w:color w:val="auto"/>
              </w:rPr>
            </w:pPr>
            <w:r>
              <w:rPr>
                <w:rFonts w:ascii="Arial" w:cs="Arial" w:eastAsia="Arial" w:hAnsi="Arial"/>
                <w:sz w:val="14"/>
                <w:szCs w:val="14"/>
                <w:color w:val="auto"/>
              </w:rPr>
              <w:t>Acquired profit in inventory</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4"/>
                <w:szCs w:val="14"/>
                <w:color w:val="auto"/>
              </w:rPr>
              <w:t>Adjusted EBITDA (Non-GAAP)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402.0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348.2</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53.8</w:t>
            </w:r>
          </w:p>
        </w:tc>
        <w:tc>
          <w:tcPr>
            <w:tcW w:w="1240" w:type="dxa"/>
            <w:vAlign w:val="bottom"/>
          </w:tcPr>
          <w:p>
            <w:pPr>
              <w:jc w:val="right"/>
              <w:spacing w:after="0"/>
              <w:rPr>
                <w:sz w:val="20"/>
                <w:szCs w:val="20"/>
                <w:color w:val="auto"/>
              </w:rPr>
            </w:pPr>
            <w:r>
              <w:rPr>
                <w:rFonts w:ascii="Arial" w:cs="Arial" w:eastAsia="Arial" w:hAnsi="Arial"/>
                <w:sz w:val="14"/>
                <w:szCs w:val="14"/>
                <w:color w:val="auto"/>
              </w:rPr>
              <w:t>15.5 %</w:t>
            </w:r>
          </w:p>
        </w:tc>
        <w:tc>
          <w:tcPr>
            <w:tcW w:w="0" w:type="dxa"/>
            <w:vAlign w:val="bottom"/>
          </w:tcPr>
          <w:p>
            <w:pPr>
              <w:spacing w:after="0"/>
              <w:rPr>
                <w:sz w:val="1"/>
                <w:szCs w:val="1"/>
                <w:color w:val="auto"/>
              </w:rPr>
            </w:pPr>
          </w:p>
        </w:tc>
      </w:tr>
      <w:tr>
        <w:trPr>
          <w:trHeight w:val="21"/>
        </w:trPr>
        <w:tc>
          <w:tcPr>
            <w:tcW w:w="464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Percent of net sales (Non-GAAP)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18.3 %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i w:val="1"/>
                <w:iCs w:val="1"/>
                <w:color w:val="auto"/>
              </w:rPr>
              <w:t>17.8 %</w:t>
            </w:r>
          </w:p>
        </w:tc>
        <w:tc>
          <w:tcPr>
            <w:tcW w:w="1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50</w:t>
            </w:r>
          </w:p>
        </w:tc>
        <w:tc>
          <w:tcPr>
            <w:tcW w:w="1240" w:type="dxa"/>
            <w:vAlign w:val="bottom"/>
            <w:vMerge w:val="restart"/>
          </w:tcPr>
          <w:p>
            <w:pPr>
              <w:jc w:val="right"/>
              <w:ind w:right="886"/>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61"/>
        </w:trPr>
        <w:tc>
          <w:tcPr>
            <w:tcW w:w="4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3"/>
          <w:szCs w:val="13"/>
          <w:color w:val="auto"/>
        </w:rPr>
        <w:t xml:space="preserve"> Acquisition-related items include professional fees.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69"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w w:val="99"/>
              </w:rPr>
              <w:t>Press Release</w:t>
            </w:r>
          </w:p>
        </w:tc>
        <w:tc>
          <w:tcPr>
            <w:tcW w:w="0" w:type="dxa"/>
            <w:vAlign w:val="bottom"/>
          </w:tcPr>
          <w:p>
            <w:pPr>
              <w:spacing w:after="0"/>
              <w:rPr>
                <w:sz w:val="1"/>
                <w:szCs w:val="1"/>
                <w:color w:val="auto"/>
              </w:rPr>
            </w:pPr>
          </w:p>
        </w:tc>
      </w:tr>
      <w:tr>
        <w:trPr>
          <w:trHeight w:val="239"/>
        </w:trPr>
        <w:tc>
          <w:tcPr>
            <w:tcW w:w="4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w w:val="99"/>
              </w:rPr>
              <w:t>Exhibit 99.1</w:t>
            </w:r>
          </w:p>
        </w:tc>
        <w:tc>
          <w:tcPr>
            <w:tcW w:w="0" w:type="dxa"/>
            <w:vAlign w:val="bottom"/>
          </w:tcPr>
          <w:p>
            <w:pPr>
              <w:spacing w:after="0"/>
              <w:rPr>
                <w:sz w:val="1"/>
                <w:szCs w:val="1"/>
                <w:color w:val="auto"/>
              </w:rPr>
            </w:pPr>
          </w:p>
        </w:tc>
      </w:tr>
      <w:tr>
        <w:trPr>
          <w:trHeight w:val="628"/>
        </w:trPr>
        <w:tc>
          <w:tcPr>
            <w:tcW w:w="4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Acuity Brands Lighting</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February 28, 2026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February 28, 2025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46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(Decrease)</w:t>
            </w:r>
          </w:p>
        </w:tc>
        <w:tc>
          <w:tcPr>
            <w:tcW w:w="100" w:type="dxa"/>
            <w:vAlign w:val="bottom"/>
            <w:gridSpan w:val="2"/>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1,712.5</w:t>
            </w:r>
          </w:p>
        </w:tc>
        <w:tc>
          <w:tcPr>
            <w:tcW w:w="100" w:type="dxa"/>
            <w:vAlign w:val="bottom"/>
          </w:tcPr>
          <w:p>
            <w:pPr>
              <w:spacing w:after="0"/>
              <w:rPr>
                <w:sz w:val="16"/>
                <w:szCs w:val="16"/>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1,726.6</w:t>
            </w:r>
          </w:p>
        </w:tc>
        <w:tc>
          <w:tcPr>
            <w:tcW w:w="80" w:type="dxa"/>
            <w:vAlign w:val="bottom"/>
          </w:tcPr>
          <w:p>
            <w:pPr>
              <w:spacing w:after="0"/>
              <w:rPr>
                <w:sz w:val="16"/>
                <w:szCs w:val="16"/>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(14.1)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4660" w:type="dxa"/>
            <w:vAlign w:val="bottom"/>
          </w:tcPr>
          <w:p>
            <w:pPr>
              <w:ind w:left="20"/>
              <w:spacing w:after="0"/>
              <w:rPr>
                <w:sz w:val="20"/>
                <w:szCs w:val="20"/>
                <w:color w:val="auto"/>
              </w:rPr>
            </w:pPr>
            <w:r>
              <w:rPr>
                <w:rFonts w:ascii="Arial" w:cs="Arial" w:eastAsia="Arial" w:hAnsi="Arial"/>
                <w:sz w:val="14"/>
                <w:szCs w:val="14"/>
                <w:color w:val="auto"/>
              </w:rPr>
              <w:t>Gross profit (GAAP)</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774.4</w:t>
            </w:r>
          </w:p>
        </w:tc>
        <w:tc>
          <w:tcPr>
            <w:tcW w:w="100" w:type="dxa"/>
            <w:vAlign w:val="bottom"/>
          </w:tcPr>
          <w:p>
            <w:pPr>
              <w:spacing w:after="0"/>
              <w:rPr>
                <w:sz w:val="24"/>
                <w:szCs w:val="24"/>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784.4</w:t>
            </w:r>
          </w:p>
        </w:tc>
        <w:tc>
          <w:tcPr>
            <w:tcW w:w="8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Gross profit margin (GAAP)</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45.2 %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45.4 %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18"/>
        </w:trPr>
        <w:tc>
          <w:tcPr>
            <w:tcW w:w="4660" w:type="dxa"/>
            <w:vAlign w:val="bottom"/>
          </w:tcPr>
          <w:p>
            <w:pPr>
              <w:ind w:left="20"/>
              <w:spacing w:after="0"/>
              <w:rPr>
                <w:sz w:val="20"/>
                <w:szCs w:val="20"/>
                <w:color w:val="auto"/>
              </w:rPr>
            </w:pPr>
            <w:r>
              <w:rPr>
                <w:rFonts w:ascii="Arial" w:cs="Arial" w:eastAsia="Arial" w:hAnsi="Arial"/>
                <w:sz w:val="14"/>
                <w:szCs w:val="14"/>
                <w:color w:val="auto"/>
              </w:rPr>
              <w:t>Operating profit (GAAP)</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274.1</w:t>
            </w:r>
          </w:p>
        </w:tc>
        <w:tc>
          <w:tcPr>
            <w:tcW w:w="100" w:type="dxa"/>
            <w:vAlign w:val="bottom"/>
          </w:tcPr>
          <w:p>
            <w:pPr>
              <w:spacing w:after="0"/>
              <w:rPr>
                <w:sz w:val="24"/>
                <w:szCs w:val="24"/>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273.6</w:t>
            </w:r>
          </w:p>
        </w:tc>
        <w:tc>
          <w:tcPr>
            <w:tcW w:w="8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0.2 %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Arial" w:cs="Arial" w:eastAsia="Arial" w:hAnsi="Arial"/>
                <w:sz w:val="14"/>
                <w:szCs w:val="14"/>
                <w:color w:val="auto"/>
              </w:rPr>
              <w:t>Add-back: Special charges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tcPr>
          <w:p>
            <w:pPr>
              <w:ind w:left="20"/>
              <w:spacing w:after="0"/>
              <w:rPr>
                <w:sz w:val="20"/>
                <w:szCs w:val="20"/>
                <w:color w:val="auto"/>
              </w:rPr>
            </w:pPr>
            <w:r>
              <w:rPr>
                <w:rFonts w:ascii="Arial" w:cs="Arial" w:eastAsia="Arial" w:hAnsi="Arial"/>
                <w:sz w:val="14"/>
                <w:szCs w:val="14"/>
                <w:color w:val="auto"/>
              </w:rPr>
              <w:t>Adjusted operating profit (Non-GAAP)</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301.6</w:t>
            </w:r>
          </w:p>
        </w:tc>
        <w:tc>
          <w:tcPr>
            <w:tcW w:w="100" w:type="dxa"/>
            <w:vAlign w:val="bottom"/>
          </w:tcPr>
          <w:p>
            <w:pPr>
              <w:spacing w:after="0"/>
              <w:rPr>
                <w:sz w:val="17"/>
                <w:szCs w:val="17"/>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294.8</w:t>
            </w:r>
          </w:p>
        </w:tc>
        <w:tc>
          <w:tcPr>
            <w:tcW w:w="80" w:type="dxa"/>
            <w:vAlign w:val="bottom"/>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660" w:type="dxa"/>
            <w:vAlign w:val="bottom"/>
          </w:tcPr>
          <w:p>
            <w:pPr>
              <w:ind w:left="20"/>
              <w:spacing w:after="0"/>
              <w:rPr>
                <w:sz w:val="20"/>
                <w:szCs w:val="20"/>
                <w:color w:val="auto"/>
              </w:rPr>
            </w:pPr>
            <w:r>
              <w:rPr>
                <w:rFonts w:ascii="Arial" w:cs="Arial" w:eastAsia="Arial" w:hAnsi="Arial"/>
                <w:sz w:val="14"/>
                <w:szCs w:val="14"/>
                <w:color w:val="auto"/>
              </w:rPr>
              <w:t>Operating profit margin (GAAP)</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16.0 %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15.8 %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Adjusted operating profit margin (Non-GAAP)</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17.6 %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17.1 %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51"/>
        </w:trPr>
        <w:tc>
          <w:tcPr>
            <w:tcW w:w="4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Acuity Intelligent Spaces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February 28, 2026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February 28, 2025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46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(Decrease)</w:t>
            </w:r>
          </w:p>
        </w:tc>
        <w:tc>
          <w:tcPr>
            <w:tcW w:w="100" w:type="dxa"/>
            <w:vAlign w:val="bottom"/>
            <w:gridSpan w:val="2"/>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505.5</w:t>
            </w:r>
          </w:p>
        </w:tc>
        <w:tc>
          <w:tcPr>
            <w:tcW w:w="100" w:type="dxa"/>
            <w:vAlign w:val="bottom"/>
          </w:tcPr>
          <w:p>
            <w:pPr>
              <w:spacing w:after="0"/>
              <w:rPr>
                <w:sz w:val="16"/>
                <w:szCs w:val="16"/>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245.0</w:t>
            </w:r>
          </w:p>
        </w:tc>
        <w:tc>
          <w:tcPr>
            <w:tcW w:w="80" w:type="dxa"/>
            <w:vAlign w:val="bottom"/>
          </w:tcPr>
          <w:p>
            <w:pPr>
              <w:spacing w:after="0"/>
              <w:rPr>
                <w:sz w:val="16"/>
                <w:szCs w:val="16"/>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106.3 %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4660" w:type="dxa"/>
            <w:vAlign w:val="bottom"/>
          </w:tcPr>
          <w:p>
            <w:pPr>
              <w:ind w:left="20"/>
              <w:spacing w:after="0"/>
              <w:rPr>
                <w:sz w:val="20"/>
                <w:szCs w:val="20"/>
                <w:color w:val="auto"/>
              </w:rPr>
            </w:pPr>
            <w:r>
              <w:rPr>
                <w:rFonts w:ascii="Arial" w:cs="Arial" w:eastAsia="Arial" w:hAnsi="Arial"/>
                <w:sz w:val="14"/>
                <w:szCs w:val="14"/>
                <w:color w:val="auto"/>
              </w:rPr>
              <w:t>Gross profit (GAAP)</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299.8</w:t>
            </w:r>
          </w:p>
        </w:tc>
        <w:tc>
          <w:tcPr>
            <w:tcW w:w="100" w:type="dxa"/>
            <w:vAlign w:val="bottom"/>
          </w:tcPr>
          <w:p>
            <w:pPr>
              <w:spacing w:after="0"/>
              <w:rPr>
                <w:sz w:val="24"/>
                <w:szCs w:val="24"/>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132.9</w:t>
            </w:r>
          </w:p>
        </w:tc>
        <w:tc>
          <w:tcPr>
            <w:tcW w:w="8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166.9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125.6 %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Arial" w:cs="Arial" w:eastAsia="Arial" w:hAnsi="Arial"/>
                <w:sz w:val="14"/>
                <w:szCs w:val="14"/>
                <w:color w:val="auto"/>
              </w:rPr>
              <w:t>Add-back: Acquired profit in inventory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tcPr>
          <w:p>
            <w:pPr>
              <w:ind w:left="20"/>
              <w:spacing w:after="0"/>
              <w:rPr>
                <w:sz w:val="20"/>
                <w:szCs w:val="20"/>
                <w:color w:val="auto"/>
              </w:rPr>
            </w:pPr>
            <w:r>
              <w:rPr>
                <w:rFonts w:ascii="Arial" w:cs="Arial" w:eastAsia="Arial" w:hAnsi="Arial"/>
                <w:sz w:val="14"/>
                <w:szCs w:val="14"/>
                <w:color w:val="auto"/>
              </w:rPr>
              <w:t>Adjusted gross profit (Non-GAAP)</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299.8</w:t>
            </w:r>
          </w:p>
        </w:tc>
        <w:tc>
          <w:tcPr>
            <w:tcW w:w="100" w:type="dxa"/>
            <w:vAlign w:val="bottom"/>
          </w:tcPr>
          <w:p>
            <w:pPr>
              <w:spacing w:after="0"/>
              <w:rPr>
                <w:sz w:val="17"/>
                <w:szCs w:val="17"/>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143.3</w:t>
            </w:r>
          </w:p>
        </w:tc>
        <w:tc>
          <w:tcPr>
            <w:tcW w:w="80" w:type="dxa"/>
            <w:vAlign w:val="bottom"/>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156.5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109.2 %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660" w:type="dxa"/>
            <w:vAlign w:val="bottom"/>
          </w:tcPr>
          <w:p>
            <w:pPr>
              <w:ind w:left="20"/>
              <w:spacing w:after="0"/>
              <w:rPr>
                <w:sz w:val="20"/>
                <w:szCs w:val="20"/>
                <w:color w:val="auto"/>
              </w:rPr>
            </w:pPr>
            <w:r>
              <w:rPr>
                <w:rFonts w:ascii="Arial" w:cs="Arial" w:eastAsia="Arial" w:hAnsi="Arial"/>
                <w:sz w:val="14"/>
                <w:szCs w:val="14"/>
                <w:color w:val="auto"/>
              </w:rPr>
              <w:t>Gross profit margin (GAAP)</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59.3 %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54.2 %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Adjusted gross profit margin (Non-GAAP)</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59.3 %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58.5 %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418"/>
        </w:trPr>
        <w:tc>
          <w:tcPr>
            <w:tcW w:w="4660" w:type="dxa"/>
            <w:vAlign w:val="bottom"/>
          </w:tcPr>
          <w:p>
            <w:pPr>
              <w:ind w:left="20"/>
              <w:spacing w:after="0"/>
              <w:rPr>
                <w:sz w:val="20"/>
                <w:szCs w:val="20"/>
                <w:color w:val="auto"/>
              </w:rPr>
            </w:pPr>
            <w:r>
              <w:rPr>
                <w:rFonts w:ascii="Arial" w:cs="Arial" w:eastAsia="Arial" w:hAnsi="Arial"/>
                <w:sz w:val="14"/>
                <w:szCs w:val="14"/>
                <w:color w:val="auto"/>
              </w:rPr>
              <w:t>Operating profit (GAAP)</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24"/>
                <w:szCs w:val="24"/>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215.5 %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140"/>
              <w:spacing w:after="0"/>
              <w:rPr>
                <w:sz w:val="20"/>
                <w:szCs w:val="20"/>
                <w:color w:val="auto"/>
              </w:rPr>
            </w:pPr>
            <w:r>
              <w:rPr>
                <w:rFonts w:ascii="Arial" w:cs="Arial" w:eastAsia="Arial" w:hAnsi="Arial"/>
                <w:sz w:val="14"/>
                <w:szCs w:val="14"/>
                <w:color w:val="auto"/>
              </w:rPr>
              <w:t>Add-back: Acquired profit in inventory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tcPr>
          <w:p>
            <w:pPr>
              <w:ind w:left="20"/>
              <w:spacing w:after="0"/>
              <w:rPr>
                <w:sz w:val="20"/>
                <w:szCs w:val="20"/>
                <w:color w:val="auto"/>
              </w:rPr>
            </w:pPr>
            <w:r>
              <w:rPr>
                <w:rFonts w:ascii="Arial" w:cs="Arial" w:eastAsia="Arial" w:hAnsi="Arial"/>
                <w:sz w:val="14"/>
                <w:szCs w:val="14"/>
                <w:color w:val="auto"/>
              </w:rPr>
              <w:t>Adjusted operating profit (Non-GAAP)</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7"/>
                <w:szCs w:val="17"/>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80" w:type="dxa"/>
            <w:vAlign w:val="bottom"/>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120.7 %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4660" w:type="dxa"/>
            <w:vAlign w:val="bottom"/>
          </w:tcPr>
          <w:p>
            <w:pPr>
              <w:ind w:left="20"/>
              <w:spacing w:after="0"/>
              <w:rPr>
                <w:sz w:val="20"/>
                <w:szCs w:val="20"/>
                <w:color w:val="auto"/>
              </w:rPr>
            </w:pPr>
            <w:r>
              <w:rPr>
                <w:rFonts w:ascii="Arial" w:cs="Arial" w:eastAsia="Arial" w:hAnsi="Arial"/>
                <w:sz w:val="14"/>
                <w:szCs w:val="14"/>
                <w:color w:val="auto"/>
              </w:rPr>
              <w:t>Operating profit margin (GAAP)</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12.9 %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8.4 %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Adjusted operating profit margin (Non-GAAP)</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20.7 %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19.3 %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560"/>
        </w:trPr>
        <w:tc>
          <w:tcPr>
            <w:tcW w:w="4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right"/>
              <w:ind w:right="1028"/>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February 28, 2026</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February 28, 2025</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140"/>
              <w:spacing w:after="0" w:line="135" w:lineRule="exact"/>
              <w:rPr>
                <w:sz w:val="20"/>
                <w:szCs w:val="20"/>
                <w:color w:val="auto"/>
              </w:rPr>
            </w:pPr>
            <w:r>
              <w:rPr>
                <w:rFonts w:ascii="Arial" w:cs="Arial" w:eastAsia="Arial" w:hAnsi="Arial"/>
                <w:sz w:val="14"/>
                <w:szCs w:val="14"/>
                <w:b w:val="1"/>
                <w:bCs w:val="1"/>
                <w:color w:val="auto"/>
              </w:rPr>
              <w:t>Increase</w:t>
            </w:r>
          </w:p>
        </w:tc>
        <w:tc>
          <w:tcPr>
            <w:tcW w:w="152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Percent Change</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(GAAP)</w:t>
            </w:r>
          </w:p>
        </w:tc>
        <w:tc>
          <w:tcPr>
            <w:tcW w:w="1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229.9</w:t>
            </w:r>
          </w:p>
        </w:tc>
        <w:tc>
          <w:tcPr>
            <w:tcW w:w="100" w:type="dxa"/>
            <w:vAlign w:val="bottom"/>
          </w:tcPr>
          <w:p>
            <w:pPr>
              <w:spacing w:after="0"/>
              <w:rPr>
                <w:sz w:val="16"/>
                <w:szCs w:val="16"/>
                <w:color w:val="auto"/>
              </w:rPr>
            </w:pPr>
          </w:p>
        </w:tc>
        <w:tc>
          <w:tcPr>
            <w:tcW w:w="120" w:type="dxa"/>
            <w:vAlign w:val="bottom"/>
            <w:gridSpan w:val="3"/>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191.6</w:t>
            </w:r>
          </w:p>
        </w:tc>
        <w:tc>
          <w:tcPr>
            <w:tcW w:w="80" w:type="dxa"/>
            <w:vAlign w:val="bottom"/>
          </w:tcPr>
          <w:p>
            <w:pPr>
              <w:spacing w:after="0"/>
              <w:rPr>
                <w:sz w:val="16"/>
                <w:szCs w:val="16"/>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140"/>
              <w:spacing w:after="0"/>
              <w:rPr>
                <w:sz w:val="20"/>
                <w:szCs w:val="20"/>
                <w:color w:val="auto"/>
              </w:rPr>
            </w:pPr>
            <w:r>
              <w:rPr>
                <w:rFonts w:ascii="Arial" w:cs="Arial" w:eastAsia="Arial" w:hAnsi="Arial"/>
                <w:sz w:val="14"/>
                <w:szCs w:val="14"/>
                <w:color w:val="auto"/>
              </w:rPr>
              <w:t>Less: Purchases of property, plant, and equipment</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tcPr>
          <w:p>
            <w:pPr>
              <w:ind w:left="40"/>
              <w:spacing w:after="0"/>
              <w:rPr>
                <w:sz w:val="20"/>
                <w:szCs w:val="20"/>
                <w:color w:val="auto"/>
              </w:rPr>
            </w:pPr>
            <w:r>
              <w:rPr>
                <w:rFonts w:ascii="Arial" w:cs="Arial" w:eastAsia="Arial" w:hAnsi="Arial"/>
                <w:sz w:val="14"/>
                <w:szCs w:val="14"/>
                <w:color w:val="auto"/>
              </w:rPr>
              <w:t>Free cash flow (Non-GAAP)</w:t>
            </w:r>
          </w:p>
        </w:tc>
        <w:tc>
          <w:tcPr>
            <w:tcW w:w="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7"/>
                <w:szCs w:val="17"/>
                <w:color w:val="auto"/>
              </w:rPr>
            </w:pPr>
          </w:p>
        </w:tc>
        <w:tc>
          <w:tcPr>
            <w:tcW w:w="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w:t>
            </w:r>
          </w:p>
        </w:tc>
        <w:tc>
          <w:tcPr>
            <w:tcW w:w="80" w:type="dxa"/>
            <w:vAlign w:val="bottom"/>
          </w:tcPr>
          <w:p>
            <w:pPr>
              <w:spacing w:after="0"/>
              <w:rPr>
                <w:sz w:val="17"/>
                <w:szCs w:val="17"/>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2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1)"/>
      <w:numFmt w:val="decimal"/>
      <w:start w:val="404"/>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2026-04-02T06:28:18Z</dcterms:created>
  <dcterms:modified xsi:type="dcterms:W3CDTF">2026-04-02T06:28:18Z</dcterms:modified>
</cp:coreProperties>
</file>